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D625B">
      <w:pPr>
        <w:divId w:val="855773923"/>
        <w:rPr>
          <w:rFonts w:eastAsia="Times New Roman"/>
          <w:vanish/>
        </w:rPr>
      </w:pPr>
      <w:r>
        <w:rPr>
          <w:rFonts w:eastAsia="Times New Roman"/>
          <w:vanish/>
        </w:rPr>
        <w:t>0000884614FALSE2021Q39/3000008846142020-10-012021-06-300000884614us-gaap:CommonStockMember2020-10-012021-06-300000884614us-gaap:CapitalUnitsMember2020-10-012021-06-30xbrli:shares00008846142021-07-31iso4217:USD00008846142021-06-300000884614</w:t>
      </w:r>
      <w:r>
        <w:rPr>
          <w:rFonts w:eastAsia="Times New Roman"/>
          <w:vanish/>
        </w:rPr>
        <w:t>2020-09-3000008846142020-06-3000008846142021-04-012021-06-3000008846142020-04-012020-06-3000008846142019-10-012020-06-30iso4217:USDxbrli:shares00008846142019-09-300000884614us-gaap:PreferredStockMember2021-03-310000884614us-gaap:PreferredStockMember2020-03</w:t>
      </w:r>
      <w:r>
        <w:rPr>
          <w:rFonts w:eastAsia="Times New Roman"/>
          <w:vanish/>
        </w:rPr>
        <w:t>-310000884614us-gaap:PreferredStockMember2020-09-300000884614us-gaap:PreferredStockMember2019-09-300000884614us-gaap:PreferredStockMember2021-04-012021-06-300000884614us-gaap:PreferredStockMember2020-10-012021-06-300000884614us-gaap:PreferredStockMember202</w:t>
      </w:r>
      <w:r>
        <w:rPr>
          <w:rFonts w:eastAsia="Times New Roman"/>
          <w:vanish/>
        </w:rPr>
        <w:t>1-06-300000884614us-gaap:PreferredStockMember2020-06-300000884614us-gaap:CommonStockIncludingAdditionalPaidInCapitalMember2021-03-310000884614us-gaap:CommonStockIncludingAdditionalPaidInCapitalMember2020-03-310000884614us-gaap:CommonStockIncludingAdditiona</w:t>
      </w:r>
      <w:r>
        <w:rPr>
          <w:rFonts w:eastAsia="Times New Roman"/>
          <w:vanish/>
        </w:rPr>
        <w:t>lPaidInCapitalMember2020-09-300000884614us-gaap:CommonStockIncludingAdditionalPaidInCapitalMember2019-09-300000884614us-gaap:CommonStockIncludingAdditionalPaidInCapitalMember2021-04-012021-06-300000884614us-gaap:CommonStockIncludingAdditionalPaidInCapitalM</w:t>
      </w:r>
      <w:r>
        <w:rPr>
          <w:rFonts w:eastAsia="Times New Roman"/>
          <w:vanish/>
        </w:rPr>
        <w:t>ember2020-10-012021-06-300000884614us-gaap:CommonStockIncludingAdditionalPaidInCapitalMember2019-10-012020-06-300000884614us-gaap:CommonStockIncludingAdditionalPaidInCapitalMember2020-04-012020-06-300000884614us-gaap:CommonStockIncludingAdditionalPaidInCap</w:t>
      </w:r>
      <w:r>
        <w:rPr>
          <w:rFonts w:eastAsia="Times New Roman"/>
          <w:vanish/>
        </w:rPr>
        <w:t>italMember2021-06-300000884614us-gaap:CommonStockIncludingAdditionalPaidInCapitalMember2020-06-300000884614us-gaap:RetainedEarningsMember2021-03-310000884614us-gaap:RetainedEarningsMember2020-03-310000884614us-gaap:RetainedEarningsMember2020-09-30000088461</w:t>
      </w:r>
      <w:r>
        <w:rPr>
          <w:rFonts w:eastAsia="Times New Roman"/>
          <w:vanish/>
        </w:rPr>
        <w:t>4us-gaap:RetainedEarningsMember2019-09-300000884614us-gaap:RetainedEarningsMember2021-04-012021-06-300000884614us-gaap:RetainedEarningsMember2020-10-012021-06-300000884614us-gaap:RetainedEarningsMember2019-10-012020-06-300000884614us-gaap:RetainedEarningsM</w:t>
      </w:r>
      <w:r>
        <w:rPr>
          <w:rFonts w:eastAsia="Times New Roman"/>
          <w:vanish/>
        </w:rPr>
        <w:t>ember2020-04-012020-06-300000884614us-gaap:RetainedEarningsMember2021-06-300000884614us-gaap:RetainedEarningsMember2020-06-300000884614us-gaap:AociIncludingPortionAttributableToNoncontrollingInterestMember2021-03-310000884614us-gaap:AociIncludingPortionAtt</w:t>
      </w:r>
      <w:r>
        <w:rPr>
          <w:rFonts w:eastAsia="Times New Roman"/>
          <w:vanish/>
        </w:rPr>
        <w:t>ributableToNoncontrollingInterestMember2020-03-310000884614us-gaap:AociIncludingPortionAttributableToNoncontrollingInterestMember2020-09-300000884614us-gaap:AociIncludingPortionAttributableToNoncontrollingInterestMember2019-09-300000884614us-gaap:AociInclu</w:t>
      </w:r>
      <w:r>
        <w:rPr>
          <w:rFonts w:eastAsia="Times New Roman"/>
          <w:vanish/>
        </w:rPr>
        <w:t>dingPortionAttributableToNoncontrollingInterestMember2020-04-012020-06-300000884614us-gaap:AociIncludingPortionAttributableToNoncontrollingInterestMember2020-10-012021-06-300000884614us-gaap:AociIncludingPortionAttributableToNoncontrollingInterestMember201</w:t>
      </w:r>
      <w:r>
        <w:rPr>
          <w:rFonts w:eastAsia="Times New Roman"/>
          <w:vanish/>
        </w:rPr>
        <w:t>9-10-012020-06-300000884614us-gaap:AociIncludingPortionAttributableToNoncontrollingInterestMember2021-04-012021-06-300000884614us-gaap:AociIncludingPortionAttributableToNoncontrollingInterestMember2021-06-300000884614us-gaap:AociIncludingPortionAttributabl</w:t>
      </w:r>
      <w:r>
        <w:rPr>
          <w:rFonts w:eastAsia="Times New Roman"/>
          <w:vanish/>
        </w:rPr>
        <w:t>eToNoncontrollingInterestMember2020-06-300000884614us-gaap:TreasuryStockMember2021-03-310000884614us-gaap:TreasuryStockMember2020-03-310000884614us-gaap:TreasuryStockMember2020-09-300000884614us-gaap:TreasuryStockMember2019-09-300000884614us-gaap:TreasuryS</w:t>
      </w:r>
      <w:r>
        <w:rPr>
          <w:rFonts w:eastAsia="Times New Roman"/>
          <w:vanish/>
        </w:rPr>
        <w:t>tockMember2021-04-012021-06-300000884614us-gaap:TreasuryStockMember2020-04-012020-06-300000884614us-gaap:TreasuryStockMember2020-10-012021-06-300000884614us-gaap:TreasuryStockMember2019-10-012020-06-300000884614us-gaap:TreasuryStockMember2021-06-3000008846</w:t>
      </w:r>
      <w:r>
        <w:rPr>
          <w:rFonts w:eastAsia="Times New Roman"/>
          <w:vanish/>
        </w:rPr>
        <w:t>14us-gaap:TreasuryStockMember2020-06-300000884614us-gaap:ParentMember2021-06-300000884614us-gaap:ParentMember2020-06-300000884614us-gaap:NoncontrollingInterestMember2021-03-310000884614us-gaap:NoncontrollingInterestMember2020-03-310000884614us-gaap:Noncont</w:t>
      </w:r>
      <w:r>
        <w:rPr>
          <w:rFonts w:eastAsia="Times New Roman"/>
          <w:vanish/>
        </w:rPr>
        <w:t>rollingInterestMember2020-09-300000884614us-gaap:NoncontrollingInterestMember2019-09-300000884614us-gaap:NoncontrollingInterestMember2019-10-012020-06-300000884614us-gaap:NoncontrollingInterestMember2021-06-300000884614us-gaap:NoncontrollingInterestMember2</w:t>
      </w:r>
      <w:r>
        <w:rPr>
          <w:rFonts w:eastAsia="Times New Roman"/>
          <w:vanish/>
        </w:rPr>
        <w:t>020-06-30ugi:county0000884614stpr:MDsrt:SubsidiariesMember2020-10-012021-06-300000884614ugi:MountaineerMemberus-gaap:ScenarioPlanMember2020-12-292020-12-29ugi:Customer0000884614us-gaap:CapitalUnitsMemberus-gaap:PreferredStockMember2021-05-2500008846142021-</w:t>
      </w:r>
      <w:r>
        <w:rPr>
          <w:rFonts w:eastAsia="Times New Roman"/>
          <w:vanish/>
        </w:rPr>
        <w:t>05-310000884614us-gaap:ConvertiblePreferredStockMember2021-05-31xbrli:pure0000884614ugi:EnergyServicesMemberus-gaap:JointlyOwnedElectricityGenerationPlantMember2020-07-210000884614ugi:ResidentialMember2021-04-012021-06-300000884614us-gaap:IntersegmentElimi</w:t>
      </w:r>
      <w:r>
        <w:rPr>
          <w:rFonts w:eastAsia="Times New Roman"/>
          <w:vanish/>
        </w:rPr>
        <w:t>nationMemberugi:ResidentialMember2021-04-012021-06-300000884614ugi:ResidentialMemberus-gaap:OperatingSegmentsMemberugi:AmerigasPropaneMember2021-04-012021-06-300000884614ugi:ResidentialMemberus-gaap:OperatingSegmentsMemberugi:UGIInternationalMember2021-04-</w:t>
      </w:r>
      <w:r>
        <w:rPr>
          <w:rFonts w:eastAsia="Times New Roman"/>
          <w:vanish/>
        </w:rPr>
        <w:t>012021-06-300000884614ugi:ResidentialMemberugi:MidstreamAndMarketingMemberus-gaap:OperatingSegmentsMember2021-04-012021-06-300000884614ugi:ResidentialMemberus-gaap:OperatingSegmentsMemberugi:UgiUtilitiesMember2021-04-012021-06-300000884614ugi:ResidentialMe</w:t>
      </w:r>
      <w:r>
        <w:rPr>
          <w:rFonts w:eastAsia="Times New Roman"/>
          <w:vanish/>
        </w:rPr>
        <w:t>mberus-gaap:CorporateNonSegmentMember2021-04-012021-06-300000884614ugi:CommercialandIndustrialMember2021-04-012021-06-300000884614ugi:CommercialandIndustrialMemberus-gaap:IntersegmentEliminationMember2021-04-012021-06-300000884614ugi:CommercialandIndustria</w:t>
      </w:r>
      <w:r>
        <w:rPr>
          <w:rFonts w:eastAsia="Times New Roman"/>
          <w:vanish/>
        </w:rPr>
        <w:t>lMemberus-gaap:OperatingSegmentsMemberugi:AmerigasPropaneMember2021-04-012021-06-300000884614ugi:CommercialandIndustrialMemberus-gaap:OperatingSegmentsMemberugi:UGIInternationalMember2021-04-012021-06-300000884614ugi:CommercialandIndustrialMemberugi:Midstr</w:t>
      </w:r>
      <w:r>
        <w:rPr>
          <w:rFonts w:eastAsia="Times New Roman"/>
          <w:vanish/>
        </w:rPr>
        <w:t>eamAndMarketingMemberus-gaap:OperatingSegmentsMember2021-04-012021-06-300000884614ugi:CommercialandIndustrialMemberus-gaap:OperatingSegmentsMemberugi:UgiUtilitiesMember2021-04-012021-06-300000884614ugi:CommercialandIndustrialMemberus-gaap:CorporateNonSegme</w:t>
      </w:r>
      <w:r>
        <w:rPr>
          <w:rFonts w:eastAsia="Times New Roman"/>
          <w:vanish/>
        </w:rPr>
        <w:t>ntMember2021-04-012021-06-300000884614ugi:LargeDeliveryServiceMember2021-04-012021-06-300000884614us-gaap:IntersegmentEliminationMemberugi:LargeDeliveryServiceMember2021-04-012021-06-300000884614us-gaap:OperatingSegmentsMemberugi:LargeDeliveryServiceMember</w:t>
      </w:r>
      <w:r>
        <w:rPr>
          <w:rFonts w:eastAsia="Times New Roman"/>
          <w:vanish/>
        </w:rPr>
        <w:t>ugi:AmerigasPropaneMember2021-04-012021-06-300000884614us-gaap:OperatingSegmentsMemberugi:UGIInternationalMemberugi:LargeDeliveryServiceMember2021-04-012021-06-300000884614ugi:MidstreamAndMarketingMemberus-gaap:OperatingSegmentsMemberugi:LargeDeliveryServi</w:t>
      </w:r>
      <w:r>
        <w:rPr>
          <w:rFonts w:eastAsia="Times New Roman"/>
          <w:vanish/>
        </w:rPr>
        <w:t>ceMember2021-04-012021-06-300000884614us-gaap:OperatingSegmentsMemberugi:UgiUtilitiesMemberugi:LargeDeliveryServiceMember2021-04-012021-06-300000884614us-gaap:CorporateNonSegmentMemberugi:LargeDeliveryServiceMember2021-04-012021-06-300000884614ugi:OffSyste</w:t>
      </w:r>
      <w:r>
        <w:rPr>
          <w:rFonts w:eastAsia="Times New Roman"/>
          <w:vanish/>
        </w:rPr>
        <w:t>mSalesandCapacityReleasesMember2021-04-012021-06-300000884614ugi:OffSystemSalesandCapacityReleasesMemberus-gaap:IntersegmentEliminationMember2021-04-012021-06-300000884614ugi:OffSystemSalesandCapacityReleasesMemberus-gaap:OperatingSegmentsMemberugi:Ameriga</w:t>
      </w:r>
      <w:r>
        <w:rPr>
          <w:rFonts w:eastAsia="Times New Roman"/>
          <w:vanish/>
        </w:rPr>
        <w:t>sPropaneMember2021-04-012021-06-300000884614ugi:OffSystemSalesandCapacityReleasesMemberus-gaap:OperatingSegmentsMemberugi:UGIInternationalMember2021-04-012021-06-300000884614ugi:OffSystemSalesandCapacityReleasesMemberugi:MidstreamAndMarketingMemberus-gaap:</w:t>
      </w:r>
      <w:r>
        <w:rPr>
          <w:rFonts w:eastAsia="Times New Roman"/>
          <w:vanish/>
        </w:rPr>
        <w:t>OperatingSegmentsMember2021-04-012021-06-300000884614ugi:OffSystemSalesandCapacityReleasesMemberus-gaap:OperatingSegmentsMemberugi:UgiUtilitiesMember2021-04-012021-06-300000884614ugi:OffSystemSalesandCapacityReleasesMemberus-gaap:CorporateNonSegmentMember2</w:t>
      </w:r>
      <w:r>
        <w:rPr>
          <w:rFonts w:eastAsia="Times New Roman"/>
          <w:vanish/>
        </w:rPr>
        <w:t>021-04-012021-06-300000884614ugi:UtilityOtherMember2021-04-012021-06-300000884614us-gaap:IntersegmentEliminationMemberugi:UtilityOtherMember2021-04-012021-06-300000884614ugi:UtilityOtherMemberus-gaap:OperatingSegmentsMemberugi:AmerigasPropaneMember2021-04-</w:t>
      </w:r>
      <w:r>
        <w:rPr>
          <w:rFonts w:eastAsia="Times New Roman"/>
          <w:vanish/>
        </w:rPr>
        <w:t>012021-06-300000884614ugi:UtilityOtherMemberus-gaap:OperatingSegmentsMemberugi:UGIInternationalMember2021-04-012021-06-300000884614ugi:UtilityOtherMemberugi:MidstreamAndMarketingMemberus-gaap:OperatingSegmentsMember2021-04-012021-06-300000884614ugi:Utility</w:t>
      </w:r>
      <w:r>
        <w:rPr>
          <w:rFonts w:eastAsia="Times New Roman"/>
          <w:vanish/>
        </w:rPr>
        <w:t>OtherMemberus-gaap:OperatingSegmentsMemberugi:UgiUtilitiesMember2021-04-012021-06-300000884614ugi:UtilityOtherMemberus-gaap:CorporateNonSegmentMember2021-04-012021-06-300000884614ugi:UtilityMember2021-04-012021-06-300000884614us-gaap:IntersegmentEliminatio</w:t>
      </w:r>
      <w:r>
        <w:rPr>
          <w:rFonts w:eastAsia="Times New Roman"/>
          <w:vanish/>
        </w:rPr>
        <w:t>nMemberugi:UtilityMember2021-04-012021-06-300000884614us-gaap:OperatingSegmentsMemberugi:AmerigasPropaneMemberugi:UtilityMember2021-04-012021-06-300000884614us-gaap:OperatingSegmentsMemberugi:UGIInternationalMemberugi:UtilityMember2021-04-012021-06-3000008</w:t>
      </w:r>
      <w:r>
        <w:rPr>
          <w:rFonts w:eastAsia="Times New Roman"/>
          <w:vanish/>
        </w:rPr>
        <w:t>84614ugi:MidstreamAndMarketingMemberus-gaap:OperatingSegmentsMemberugi:UtilityMember2021-04-012021-06-300000884614us-gaap:OperatingSegmentsMemberugi:UgiUtilitiesMemberugi:UtilityMember2021-04-012021-06-300000884614us-gaap:CorporateNonSegmentMemberugi:Utili</w:t>
      </w:r>
      <w:r>
        <w:rPr>
          <w:rFonts w:eastAsia="Times New Roman"/>
          <w:vanish/>
        </w:rPr>
        <w:t>tyMember2021-04-012021-06-300000884614us-gaap:RetailMember2021-04-012021-06-300000884614us-gaap:RetailMemberus-gaap:IntersegmentEliminationMember2021-04-012021-06-300000884614us-gaap:RetailMemberus-gaap:OperatingSegmentsMemberugi:AmerigasPropaneMember2021-</w:t>
      </w:r>
      <w:r>
        <w:rPr>
          <w:rFonts w:eastAsia="Times New Roman"/>
          <w:vanish/>
        </w:rPr>
        <w:t>04-012021-06-300000884614us-gaap:RetailMemberus-gaap:OperatingSegmentsMemberugi:UGIInternationalMember2021-04-012021-06-300000884614us-gaap:RetailMemberugi:MidstreamAndMarketingMemberus-gaap:OperatingSegmentsMember2021-04-012021-06-300000884614us-gaap:Reta</w:t>
      </w:r>
      <w:r>
        <w:rPr>
          <w:rFonts w:eastAsia="Times New Roman"/>
          <w:vanish/>
        </w:rPr>
        <w:t>ilMemberus-gaap:OperatingSegmentsMemberugi:UgiUtilitiesMember2021-04-012021-06-300000884614us-gaap:RetailMemberus-gaap:CorporateNonSegmentMember2021-04-012021-06-300000884614ugi:WholesaleMember2021-04-012021-06-300000884614us-gaap:IntersegmentEliminationMe</w:t>
      </w:r>
      <w:r>
        <w:rPr>
          <w:rFonts w:eastAsia="Times New Roman"/>
          <w:vanish/>
        </w:rPr>
        <w:t>mberugi:WholesaleMember2021-04-012021-06-300000884614ugi:WholesaleMemberus-gaap:OperatingSegmentsMemberugi:AmerigasPropaneMember2021-04-012021-06-300000884614ugi:WholesaleMemberus-gaap:OperatingSegmentsMemberugi:UGIInternationalMember2021-04-012021-06-3000</w:t>
      </w:r>
      <w:r>
        <w:rPr>
          <w:rFonts w:eastAsia="Times New Roman"/>
          <w:vanish/>
        </w:rPr>
        <w:t>00884614ugi:WholesaleMemberugi:MidstreamAndMarketingMemberus-gaap:OperatingSegmentsMember2021-04-012021-06-300000884614ugi:WholesaleMemberus-gaap:OperatingSegmentsMemberugi:UgiUtilitiesMember2021-04-012021-06-300000884614ugi:WholesaleMemberus-gaap:Corporat</w:t>
      </w:r>
      <w:r>
        <w:rPr>
          <w:rFonts w:eastAsia="Times New Roman"/>
          <w:vanish/>
        </w:rPr>
        <w:t>eNonSegmentMember2021-04-012021-06-300000884614ugi:EnergyMarketingMember2021-04-012021-06-300000884614ugi:EnergyMarketingMemberus-gaap:IntersegmentEliminationMember2021-04-012021-06-300000884614ugi:EnergyMarketingMemberus-gaap:OperatingSegmentsMemberugi:Am</w:t>
      </w:r>
      <w:r>
        <w:rPr>
          <w:rFonts w:eastAsia="Times New Roman"/>
          <w:vanish/>
        </w:rPr>
        <w:t>erigasPropaneMember2021-04-012021-06-300000884614ugi:EnergyMarketingMemberus-gaap:OperatingSegmentsMemberugi:UGIInternationalMember2021-04-012021-06-300000884614ugi:EnergyMarketingMemberugi:MidstreamAndMarketingMemberus-gaap:OperatingSegmentsMember2021-04-</w:t>
      </w:r>
      <w:r>
        <w:rPr>
          <w:rFonts w:eastAsia="Times New Roman"/>
          <w:vanish/>
        </w:rPr>
        <w:t>012021-06-300000884614ugi:EnergyMarketingMemberus-gaap:OperatingSegmentsMemberugi:UgiUtilitiesMember2021-04-012021-06-300000884614ugi:EnergyMarketingMemberus-gaap:CorporateNonSegmentMember2021-04-012021-06-300000884614ugi:PipelineMember2021-04-012021-06-30</w:t>
      </w:r>
      <w:r>
        <w:rPr>
          <w:rFonts w:eastAsia="Times New Roman"/>
          <w:vanish/>
        </w:rPr>
        <w:t>0000884614us-gaap:IntersegmentEliminationMemberugi:PipelineMember2021-04-012021-06-300000884614ugi:PipelineMemberus-gaap:OperatingSegmentsMemberugi:AmerigasPropaneMember2021-04-012021-06-300000884614ugi:PipelineMemberus-gaap:OperatingSegmentsMemberugi:UGII</w:t>
      </w:r>
      <w:r>
        <w:rPr>
          <w:rFonts w:eastAsia="Times New Roman"/>
          <w:vanish/>
        </w:rPr>
        <w:t>nternationalMember2021-04-012021-06-300000884614ugi:MidstreamAndMarketingMemberugi:PipelineMemberus-gaap:OperatingSegmentsMember2021-04-012021-06-300000884614ugi:PipelineMemberus-gaap:OperatingSegmentsMemberugi:UgiUtilitiesMember2021-04-012021-06-300000884</w:t>
      </w:r>
      <w:r>
        <w:rPr>
          <w:rFonts w:eastAsia="Times New Roman"/>
          <w:vanish/>
        </w:rPr>
        <w:t>614ugi:PipelineMemberus-gaap:CorporateNonSegmentMember2021-04-012021-06-300000884614ugi:PeakingMember2021-04-012021-06-300000884614us-gaap:IntersegmentEliminationMemberugi:PeakingMember2021-04-012021-06-300000884614us-gaap:OperatingSegmentsMemberugi:Amerig</w:t>
      </w:r>
      <w:r>
        <w:rPr>
          <w:rFonts w:eastAsia="Times New Roman"/>
          <w:vanish/>
        </w:rPr>
        <w:t>asPropaneMemberugi:PeakingMember2021-04-012021-06-300000884614us-gaap:OperatingSegmentsMemberugi:UGIInternationalMemberugi:PeakingMember2021-04-012021-06-300000884614ugi:MidstreamAndMarketingMemberus-gaap:OperatingSegmentsMemberugi:PeakingMember2021-04-012</w:t>
      </w:r>
      <w:r>
        <w:rPr>
          <w:rFonts w:eastAsia="Times New Roman"/>
          <w:vanish/>
        </w:rPr>
        <w:t>021-06-300000884614us-gaap:OperatingSegmentsMemberugi:UgiUtilitiesMemberugi:PeakingMember2021-04-012021-06-300000884614us-gaap:CorporateNonSegmentMemberugi:PeakingMember2021-04-012021-06-300000884614ugi:MidstreamOtherMember2021-04-012021-06-300000884614us-</w:t>
      </w:r>
      <w:r>
        <w:rPr>
          <w:rFonts w:eastAsia="Times New Roman"/>
          <w:vanish/>
        </w:rPr>
        <w:t>gaap:IntersegmentEliminationMemberugi:MidstreamOtherMember2021-04-012021-06-300000884614us-gaap:OperatingSegmentsMemberugi:MidstreamOtherMemberugi:AmerigasPropaneMember2021-04-012021-06-300000884614us-gaap:OperatingSegmentsMemberugi:UGIInternationalMemberu</w:t>
      </w:r>
      <w:r>
        <w:rPr>
          <w:rFonts w:eastAsia="Times New Roman"/>
          <w:vanish/>
        </w:rPr>
        <w:t>gi:MidstreamOtherMember2021-04-012021-06-300000884614ugi:MidstreamAndMarketingMemberus-gaap:OperatingSegmentsMemberugi:MidstreamOtherMember2021-04-012021-06-300000884614us-gaap:OperatingSegmentsMemberugi:UgiUtilitiesMemberugi:MidstreamOtherMember2021-04-01</w:t>
      </w:r>
      <w:r>
        <w:rPr>
          <w:rFonts w:eastAsia="Times New Roman"/>
          <w:vanish/>
        </w:rPr>
        <w:t>2021-06-300000884614us-gaap:CorporateNonSegmentMemberugi:MidstreamOtherMember2021-04-012021-06-300000884614us-gaap:ElectricityGenerationMember2021-04-012021-06-300000884614us-gaap:ElectricityGenerationMemberus-gaap:IntersegmentEliminationMember2021-04-0120</w:t>
      </w:r>
      <w:r>
        <w:rPr>
          <w:rFonts w:eastAsia="Times New Roman"/>
          <w:vanish/>
        </w:rPr>
        <w:t>21-06-300000884614us-gaap:ElectricityGenerationMemberus-gaap:OperatingSegmentsMemberugi:AmerigasPropaneMember2021-04-012021-06-300000884614us-gaap:ElectricityGenerationMemberus-gaap:OperatingSegmentsMemberugi:UGIInternationalMember2021-04-012021-06-3000008</w:t>
      </w:r>
      <w:r>
        <w:rPr>
          <w:rFonts w:eastAsia="Times New Roman"/>
          <w:vanish/>
        </w:rPr>
        <w:t>84614us-gaap:ElectricityGenerationMemberugi:MidstreamAndMarketingMemberus-gaap:OperatingSegmentsMember2021-04-012021-06-300000884614us-gaap:ElectricityGenerationMemberus-gaap:OperatingSegmentsMemberugi:UgiUtilitiesMember2021-04-012021-06-300000884614us-gaa</w:t>
      </w:r>
      <w:r>
        <w:rPr>
          <w:rFonts w:eastAsia="Times New Roman"/>
          <w:vanish/>
        </w:rPr>
        <w:t>p:ElectricityGenerationMemberus-gaap:CorporateNonSegmentMember2021-04-012021-06-300000884614ugi:NonutilityOtherMember2021-04-012021-06-300000884614us-gaap:IntersegmentEliminationMemberugi:NonutilityOtherMember2021-04-012021-06-300000884614ugi:NonutilityOth</w:t>
      </w:r>
      <w:r>
        <w:rPr>
          <w:rFonts w:eastAsia="Times New Roman"/>
          <w:vanish/>
        </w:rPr>
        <w:t>erMemberus-gaap:OperatingSegmentsMemberugi:AmerigasPropaneMember2021-04-012021-06-300000884614ugi:NonutilityOtherMemberus-gaap:OperatingSegmentsMemberugi:UGIInternationalMember2021-04-012021-06-300000884614ugi:NonutilityOtherMemberugi:MidstreamAndMarketing</w:t>
      </w:r>
      <w:r>
        <w:rPr>
          <w:rFonts w:eastAsia="Times New Roman"/>
          <w:vanish/>
        </w:rPr>
        <w:t>Memberus-gaap:OperatingSegmentsMember2021-04-012021-06-300000884614ugi:NonutilityOtherMemberus-gaap:OperatingSegmentsMemberugi:UgiUtilitiesMember2021-04-012021-06-300000884614ugi:NonutilityOtherMemberus-gaap:CorporateNonSegmentMember2021-04-012021-06-30000</w:t>
      </w:r>
      <w:r>
        <w:rPr>
          <w:rFonts w:eastAsia="Times New Roman"/>
          <w:vanish/>
        </w:rPr>
        <w:t>0884614ugi:NonutilityMember2021-04-012021-06-300000884614us-gaap:IntersegmentEliminationMemberugi:NonutilityMember2021-04-012021-06-300000884614ugi:NonutilityMemberus-gaap:OperatingSegmentsMemberugi:AmerigasPropaneMember2021-04-012021-06-300000884614ugi:No</w:t>
      </w:r>
      <w:r>
        <w:rPr>
          <w:rFonts w:eastAsia="Times New Roman"/>
          <w:vanish/>
        </w:rPr>
        <w:t>nutilityMemberus-gaap:OperatingSegmentsMemberugi:UGIInternationalMember2021-04-012021-06-300000884614ugi:NonutilityMemberugi:MidstreamAndMarketingMemberus-gaap:OperatingSegmentsMember2021-04-012021-06-300000884614ugi:NonutilityMemberus-gaap:OperatingSegmen</w:t>
      </w:r>
      <w:r>
        <w:rPr>
          <w:rFonts w:eastAsia="Times New Roman"/>
          <w:vanish/>
        </w:rPr>
        <w:t>tsMemberugi:UgiUtilitiesMember2021-04-012021-06-300000884614ugi:NonutilityMemberus-gaap:CorporateNonSegmentMember2021-04-012021-06-300000884614us-gaap:IntersegmentEliminationMember2021-04-012021-06-300000884614us-gaap:OperatingSegmentsMemberugi:AmerigasPro</w:t>
      </w:r>
      <w:r>
        <w:rPr>
          <w:rFonts w:eastAsia="Times New Roman"/>
          <w:vanish/>
        </w:rPr>
        <w:t>paneMember2021-04-012021-06-300000884614us-gaap:OperatingSegmentsMemberugi:UGIInternationalMember2021-04-012021-06-300000884614ugi:MidstreamAndMarketingMemberus-gaap:OperatingSegmentsMember2021-04-012021-06-300000884614us-gaap:OperatingSegmentsMemberugi:Ug</w:t>
      </w:r>
      <w:r>
        <w:rPr>
          <w:rFonts w:eastAsia="Times New Roman"/>
          <w:vanish/>
        </w:rPr>
        <w:t>iUtilitiesMember2021-04-012021-06-300000884614us-gaap:CorporateNonSegmentMember2021-04-012021-06-300000884614ugi:ResidentialMember2020-04-012020-06-300000884614us-gaap:IntersegmentEliminationMemberugi:ResidentialMember2020-04-012020-06-300000884614ugi:Resi</w:t>
      </w:r>
      <w:r>
        <w:rPr>
          <w:rFonts w:eastAsia="Times New Roman"/>
          <w:vanish/>
        </w:rPr>
        <w:t>dentialMemberus-gaap:OperatingSegmentsMemberugi:AmerigasPropaneMember2020-04-012020-06-300000884614ugi:ResidentialMemberus-gaap:OperatingSegmentsMemberugi:UGIInternationalMember2020-04-012020-06-300000884614ugi:ResidentialMemberugi:MidstreamAndMarketingMem</w:t>
      </w:r>
      <w:r>
        <w:rPr>
          <w:rFonts w:eastAsia="Times New Roman"/>
          <w:vanish/>
        </w:rPr>
        <w:t>berus-gaap:OperatingSegmentsMember2020-04-012020-06-300000884614ugi:ResidentialMemberus-gaap:OperatingSegmentsMemberugi:UgiUtilitiesMember2020-04-012020-06-300000884614ugi:ResidentialMemberus-gaap:CorporateNonSegmentMember2020-04-012020-06-300000884614ugi:</w:t>
      </w:r>
      <w:r>
        <w:rPr>
          <w:rFonts w:eastAsia="Times New Roman"/>
          <w:vanish/>
        </w:rPr>
        <w:t>CommercialandIndustrialMember2020-04-012020-06-300000884614ugi:CommercialandIndustrialMemberus-gaap:IntersegmentEliminationMember2020-04-012020-06-300000884614ugi:CommercialandIndustrialMemberus-gaap:OperatingSegmentsMemberugi:AmerigasPropaneMember2020-04-</w:t>
      </w:r>
      <w:r>
        <w:rPr>
          <w:rFonts w:eastAsia="Times New Roman"/>
          <w:vanish/>
        </w:rPr>
        <w:t>012020-06-300000884614ugi:CommercialandIndustrialMemberus-gaap:OperatingSegmentsMemberugi:UGIInternationalMember2020-04-012020-06-300000884614ugi:CommercialandIndustrialMemberugi:MidstreamAndMarketingMemberus-gaap:OperatingSegmentsMember2020-04-012020-06-3</w:t>
      </w:r>
      <w:r>
        <w:rPr>
          <w:rFonts w:eastAsia="Times New Roman"/>
          <w:vanish/>
        </w:rPr>
        <w:t>00000884614ugi:CommercialandIndustrialMemberus-gaap:OperatingSegmentsMemberugi:UgiUtilitiesMember2020-04-012020-06-300000884614ugi:CommercialandIndustrialMemberus-gaap:CorporateNonSegmentMember2020-04-012020-06-300000884614ugi:LargeDeliveryServiceMember202</w:t>
      </w:r>
      <w:r>
        <w:rPr>
          <w:rFonts w:eastAsia="Times New Roman"/>
          <w:vanish/>
        </w:rPr>
        <w:t>0-04-012020-06-300000884614us-gaap:IntersegmentEliminationMemberugi:LargeDeliveryServiceMember2020-04-012020-06-300000884614us-gaap:OperatingSegmentsMemberugi:LargeDeliveryServiceMemberugi:AmerigasPropaneMember2020-04-012020-06-300000884614us-gaap:Operatin</w:t>
      </w:r>
      <w:r>
        <w:rPr>
          <w:rFonts w:eastAsia="Times New Roman"/>
          <w:vanish/>
        </w:rPr>
        <w:t>gSegmentsMemberugi:UGIInternationalMemberugi:LargeDeliveryServiceMember2020-04-012020-06-300000884614ugi:MidstreamAndMarketingMemberus-gaap:OperatingSegmentsMemberugi:LargeDeliveryServiceMember2020-04-012020-06-300000884614us-gaap:OperatingSegmentsMemberug</w:t>
      </w:r>
      <w:r>
        <w:rPr>
          <w:rFonts w:eastAsia="Times New Roman"/>
          <w:vanish/>
        </w:rPr>
        <w:t>i:UgiUtilitiesMemberugi:LargeDeliveryServiceMember2020-04-012020-06-300000884614us-gaap:CorporateNonSegmentMemberugi:LargeDeliveryServiceMember2020-04-012020-06-300000884614ugi:OffSystemSalesandCapacityReleasesMember2020-04-012020-06-300000884614ugi:OffSys</w:t>
      </w:r>
      <w:r>
        <w:rPr>
          <w:rFonts w:eastAsia="Times New Roman"/>
          <w:vanish/>
        </w:rPr>
        <w:t>temSalesandCapacityReleasesMemberus-gaap:IntersegmentEliminationMember2020-04-012020-06-300000884614ugi:OffSystemSalesandCapacityReleasesMemberus-gaap:OperatingSegmentsMemberugi:AmerigasPropaneMember2020-04-012020-06-300000884614ugi:OffSystemSalesandCapaci</w:t>
      </w:r>
      <w:r>
        <w:rPr>
          <w:rFonts w:eastAsia="Times New Roman"/>
          <w:vanish/>
        </w:rPr>
        <w:t>tyReleasesMemberus-gaap:OperatingSegmentsMemberugi:UGIInternationalMember2020-04-012020-06-300000884614ugi:OffSystemSalesandCapacityReleasesMemberugi:MidstreamAndMarketingMemberus-gaap:OperatingSegmentsMember2020-04-012020-06-300000884614ugi:OffSystemSales</w:t>
      </w:r>
      <w:r>
        <w:rPr>
          <w:rFonts w:eastAsia="Times New Roman"/>
          <w:vanish/>
        </w:rPr>
        <w:t>andCapacityReleasesMemberus-gaap:OperatingSegmentsMemberugi:UgiUtilitiesMember2020-04-012020-06-300000884614ugi:OffSystemSalesandCapacityReleasesMemberus-gaap:CorporateNonSegmentMember2020-04-012020-06-300000884614ugi:UtilityOtherMember2020-04-012020-06-30</w:t>
      </w:r>
      <w:r>
        <w:rPr>
          <w:rFonts w:eastAsia="Times New Roman"/>
          <w:vanish/>
        </w:rPr>
        <w:t>0000884614us-gaap:IntersegmentEliminationMemberugi:UtilityOtherMember2020-04-012020-06-300000884614ugi:UtilityOtherMemberus-gaap:OperatingSegmentsMemberugi:AmerigasPropaneMember2020-04-012020-06-300000884614ugi:UtilityOtherMemberus-gaap:OperatingSegmentsMe</w:t>
      </w:r>
      <w:r>
        <w:rPr>
          <w:rFonts w:eastAsia="Times New Roman"/>
          <w:vanish/>
        </w:rPr>
        <w:t>mberugi:UGIInternationalMember2020-04-012020-06-300000884614ugi:UtilityOtherMemberugi:MidstreamAndMarketingMemberus-gaap:OperatingSegmentsMember2020-04-012020-06-300000884614ugi:UtilityOtherMemberus-gaap:OperatingSegmentsMemberugi:UgiUtilitiesMember2020-04</w:t>
      </w:r>
      <w:r>
        <w:rPr>
          <w:rFonts w:eastAsia="Times New Roman"/>
          <w:vanish/>
        </w:rPr>
        <w:t>-012020-06-300000884614ugi:UtilityOtherMemberus-gaap:CorporateNonSegmentMember2020-04-012020-06-300000884614ugi:UtilityMember2020-04-012020-06-300000884614us-gaap:IntersegmentEliminationMemberugi:UtilityMember2020-04-012020-06-300000884614us-gaap:Operating</w:t>
      </w:r>
      <w:r>
        <w:rPr>
          <w:rFonts w:eastAsia="Times New Roman"/>
          <w:vanish/>
        </w:rPr>
        <w:t>SegmentsMemberugi:AmerigasPropaneMemberugi:UtilityMember2020-04-012020-06-300000884614us-gaap:OperatingSegmentsMemberugi:UGIInternationalMemberugi:UtilityMember2020-04-012020-06-300000884614ugi:MidstreamAndMarketingMemberus-gaap:OperatingSegmentsMemberugi:</w:t>
      </w:r>
      <w:r>
        <w:rPr>
          <w:rFonts w:eastAsia="Times New Roman"/>
          <w:vanish/>
        </w:rPr>
        <w:t>UtilityMember2020-04-012020-06-300000884614us-gaap:OperatingSegmentsMemberugi:UgiUtilitiesMemberugi:UtilityMember2020-04-012020-06-300000884614us-gaap:CorporateNonSegmentMemberugi:UtilityMember2020-04-012020-06-300000884614us-gaap:RetailMember2020-04-01202</w:t>
      </w:r>
      <w:r>
        <w:rPr>
          <w:rFonts w:eastAsia="Times New Roman"/>
          <w:vanish/>
        </w:rPr>
        <w:t>0-06-300000884614us-gaap:RetailMemberus-gaap:IntersegmentEliminationMember2020-04-012020-06-300000884614us-gaap:RetailMemberus-gaap:OperatingSegmentsMemberugi:AmerigasPropaneMember2020-04-012020-06-300000884614us-gaap:RetailMemberus-gaap:OperatingSegmentsM</w:t>
      </w:r>
      <w:r>
        <w:rPr>
          <w:rFonts w:eastAsia="Times New Roman"/>
          <w:vanish/>
        </w:rPr>
        <w:t>emberugi:UGIInternationalMember2020-04-012020-06-300000884614us-gaap:RetailMemberugi:MidstreamAndMarketingMemberus-gaap:OperatingSegmentsMember2020-04-012020-06-300000884614us-gaap:RetailMemberus-gaap:OperatingSegmentsMemberugi:UgiUtilitiesMember2020-04-01</w:t>
      </w:r>
      <w:r>
        <w:rPr>
          <w:rFonts w:eastAsia="Times New Roman"/>
          <w:vanish/>
        </w:rPr>
        <w:t>2020-06-300000884614us-gaap:RetailMemberus-gaap:CorporateNonSegmentMember2020-04-012020-06-300000884614ugi:WholesaleMember2020-04-012020-06-300000884614us-gaap:IntersegmentEliminationMemberugi:WholesaleMember2020-04-012020-06-300000884614ugi:WholesaleMembe</w:t>
      </w:r>
      <w:r>
        <w:rPr>
          <w:rFonts w:eastAsia="Times New Roman"/>
          <w:vanish/>
        </w:rPr>
        <w:t>rus-gaap:OperatingSegmentsMemberugi:AmerigasPropaneMember2020-04-012020-06-300000884614ugi:WholesaleMemberus-gaap:OperatingSegmentsMemberugi:UGIInternationalMember2020-04-012020-06-300000884614ugi:WholesaleMemberugi:MidstreamAndMarketingMemberus-gaap:Opera</w:t>
      </w:r>
      <w:r>
        <w:rPr>
          <w:rFonts w:eastAsia="Times New Roman"/>
          <w:vanish/>
        </w:rPr>
        <w:t>tingSegmentsMember2020-04-012020-06-300000884614ugi:WholesaleMemberus-gaap:OperatingSegmentsMemberugi:UgiUtilitiesMember2020-04-012020-06-300000884614ugi:WholesaleMemberus-gaap:CorporateNonSegmentMember2020-04-012020-06-300000884614ugi:EnergyMarketingMembe</w:t>
      </w:r>
      <w:r>
        <w:rPr>
          <w:rFonts w:eastAsia="Times New Roman"/>
          <w:vanish/>
        </w:rPr>
        <w:t>r2020-04-012020-06-300000884614ugi:EnergyMarketingMemberus-gaap:IntersegmentEliminationMember2020-04-012020-06-300000884614ugi:EnergyMarketingMemberus-gaap:OperatingSegmentsMemberugi:AmerigasPropaneMember2020-04-012020-06-300000884614ugi:EnergyMarketingMem</w:t>
      </w:r>
      <w:r>
        <w:rPr>
          <w:rFonts w:eastAsia="Times New Roman"/>
          <w:vanish/>
        </w:rPr>
        <w:t>berus-gaap:OperatingSegmentsMemberugi:UGIInternationalMember2020-04-012020-06-300000884614ugi:EnergyMarketingMemberugi:MidstreamAndMarketingMemberus-gaap:OperatingSegmentsMember2020-04-012020-06-300000884614ugi:EnergyMarketingMemberus-gaap:OperatingSegment</w:t>
      </w:r>
      <w:r>
        <w:rPr>
          <w:rFonts w:eastAsia="Times New Roman"/>
          <w:vanish/>
        </w:rPr>
        <w:t>sMemberugi:UgiUtilitiesMember2020-04-012020-06-300000884614ugi:EnergyMarketingMemberus-gaap:CorporateNonSegmentMember2020-04-012020-06-300000884614ugi:PipelineMember2020-04-012020-06-300000884614us-gaap:IntersegmentEliminationMemberugi:PipelineMember2020-0</w:t>
      </w:r>
      <w:r>
        <w:rPr>
          <w:rFonts w:eastAsia="Times New Roman"/>
          <w:vanish/>
        </w:rPr>
        <w:t>4-012020-06-300000884614ugi:PipelineMemberus-gaap:OperatingSegmentsMemberugi:AmerigasPropaneMember2020-04-012020-06-300000884614ugi:PipelineMemberus-gaap:OperatingSegmentsMemberugi:UGIInternationalMember2020-04-012020-06-300000884614ugi:MidstreamAndMarketi</w:t>
      </w:r>
      <w:r>
        <w:rPr>
          <w:rFonts w:eastAsia="Times New Roman"/>
          <w:vanish/>
        </w:rPr>
        <w:t>ngMemberugi:PipelineMemberus-gaap:OperatingSegmentsMember2020-04-012020-06-300000884614ugi:PipelineMemberus-gaap:OperatingSegmentsMemberugi:UgiUtilitiesMember2020-04-012020-06-300000884614ugi:PipelineMemberus-gaap:CorporateNonSegmentMember2020-04-012020-06</w:t>
      </w:r>
      <w:r>
        <w:rPr>
          <w:rFonts w:eastAsia="Times New Roman"/>
          <w:vanish/>
        </w:rPr>
        <w:t>-300000884614ugi:PeakingMember2020-04-012020-06-300000884614us-gaap:IntersegmentEliminationMemberugi:PeakingMember2020-04-012020-06-300000884614us-gaap:OperatingSegmentsMemberugi:AmerigasPropaneMemberugi:PeakingMember2020-04-012020-06-300000884614us-gaap:O</w:t>
      </w:r>
      <w:r>
        <w:rPr>
          <w:rFonts w:eastAsia="Times New Roman"/>
          <w:vanish/>
        </w:rPr>
        <w:t>peratingSegmentsMemberugi:UGIInternationalMemberugi:PeakingMember2020-04-012020-06-300000884614ugi:MidstreamAndMarketingMemberus-gaap:OperatingSegmentsMemberugi:PeakingMember2020-04-012020-06-300000884614us-gaap:OperatingSegmentsMemberugi:UgiUtilitiesMembe</w:t>
      </w:r>
      <w:r>
        <w:rPr>
          <w:rFonts w:eastAsia="Times New Roman"/>
          <w:vanish/>
        </w:rPr>
        <w:t>rugi:PeakingMember2020-04-012020-06-300000884614us-gaap:CorporateNonSegmentMemberugi:PeakingMember2020-04-012020-06-300000884614ugi:MidstreamOtherMember2020-04-012020-06-300000884614us-gaap:IntersegmentEliminationMemberugi:MidstreamOtherMember2020-04-01202</w:t>
      </w:r>
      <w:r>
        <w:rPr>
          <w:rFonts w:eastAsia="Times New Roman"/>
          <w:vanish/>
        </w:rPr>
        <w:t>0-06-300000884614us-gaap:OperatingSegmentsMemberugi:MidstreamOtherMemberugi:AmerigasPropaneMember2020-04-012020-06-300000884614us-gaap:OperatingSegmentsMemberugi:UGIInternationalMemberugi:MidstreamOtherMember2020-04-012020-06-300000884614ugi:MidstreamAndMa</w:t>
      </w:r>
      <w:r>
        <w:rPr>
          <w:rFonts w:eastAsia="Times New Roman"/>
          <w:vanish/>
        </w:rPr>
        <w:t>rketingMemberus-gaap:OperatingSegmentsMemberugi:MidstreamOtherMember2020-04-012020-06-300000884614us-gaap:OperatingSegmentsMemberugi:UgiUtilitiesMemberugi:MidstreamOtherMember2020-04-012020-06-300000884614us-gaap:CorporateNonSegmentMemberugi:MidstreamOther</w:t>
      </w:r>
      <w:r>
        <w:rPr>
          <w:rFonts w:eastAsia="Times New Roman"/>
          <w:vanish/>
        </w:rPr>
        <w:t>Member2020-04-012020-06-300000884614us-gaap:ElectricityGenerationMember2020-04-012020-06-300000884614us-gaap:ElectricityGenerationMemberus-gaap:IntersegmentEliminationMember2020-04-012020-06-300000884614us-gaap:ElectricityGenerationMemberus-gaap:OperatingS</w:t>
      </w:r>
      <w:r>
        <w:rPr>
          <w:rFonts w:eastAsia="Times New Roman"/>
          <w:vanish/>
        </w:rPr>
        <w:t>egmentsMemberugi:AmerigasPropaneMember2020-04-012020-06-300000884614us-gaap:ElectricityGenerationMemberus-gaap:OperatingSegmentsMemberugi:UGIInternationalMember2020-04-012020-06-300000884614us-gaap:ElectricityGenerationMemberugi:MidstreamAndMarketingMember</w:t>
      </w:r>
      <w:r>
        <w:rPr>
          <w:rFonts w:eastAsia="Times New Roman"/>
          <w:vanish/>
        </w:rPr>
        <w:t>us-gaap:OperatingSegmentsMember2020-04-012020-06-300000884614us-gaap:ElectricityGenerationMemberus-gaap:OperatingSegmentsMemberugi:UgiUtilitiesMember2020-04-012020-06-300000884614us-gaap:ElectricityGenerationMemberus-gaap:CorporateNonSegmentMember2020-04-0</w:t>
      </w:r>
      <w:r>
        <w:rPr>
          <w:rFonts w:eastAsia="Times New Roman"/>
          <w:vanish/>
        </w:rPr>
        <w:t>12020-06-300000884614ugi:NonutilityOtherMember2020-04-012020-06-300000884614us-gaap:IntersegmentEliminationMemberugi:NonutilityOtherMember2020-04-012020-06-300000884614ugi:NonutilityOtherMemberus-gaap:OperatingSegmentsMemberugi:AmerigasPropaneMember2020-04</w:t>
      </w:r>
      <w:r>
        <w:rPr>
          <w:rFonts w:eastAsia="Times New Roman"/>
          <w:vanish/>
        </w:rPr>
        <w:t>-012020-06-300000884614ugi:NonutilityOtherMemberus-gaap:OperatingSegmentsMemberugi:UGIInternationalMember2020-04-012020-06-300000884614ugi:NonutilityOtherMemberugi:MidstreamAndMarketingMemberus-gaap:OperatingSegmentsMember2020-04-012020-06-300000884614ugi:</w:t>
      </w:r>
      <w:r>
        <w:rPr>
          <w:rFonts w:eastAsia="Times New Roman"/>
          <w:vanish/>
        </w:rPr>
        <w:t>NonutilityOtherMemberus-gaap:OperatingSegmentsMemberugi:UgiUtilitiesMember2020-04-012020-06-300000884614ugi:NonutilityOtherMemberus-gaap:CorporateNonSegmentMember2020-04-012020-06-300000884614ugi:NonutilityMember2020-04-012020-06-300000884614us-gaap:Inters</w:t>
      </w:r>
      <w:r>
        <w:rPr>
          <w:rFonts w:eastAsia="Times New Roman"/>
          <w:vanish/>
        </w:rPr>
        <w:t>egmentEliminationMemberugi:NonutilityMember2020-04-012020-06-300000884614ugi:NonutilityMemberus-gaap:OperatingSegmentsMemberugi:AmerigasPropaneMember2020-04-012020-06-300000884614ugi:NonutilityMemberus-gaap:OperatingSegmentsMemberugi:UGIInternationalMember</w:t>
      </w:r>
      <w:r>
        <w:rPr>
          <w:rFonts w:eastAsia="Times New Roman"/>
          <w:vanish/>
        </w:rPr>
        <w:t>2020-04-012020-06-300000884614ugi:NonutilityMemberugi:MidstreamAndMarketingMemberus-gaap:OperatingSegmentsMember2020-04-012020-06-300000884614ugi:NonutilityMemberus-gaap:OperatingSegmentsMemberugi:UgiUtilitiesMember2020-04-012020-06-300000884614ugi:Nonutil</w:t>
      </w:r>
      <w:r>
        <w:rPr>
          <w:rFonts w:eastAsia="Times New Roman"/>
          <w:vanish/>
        </w:rPr>
        <w:t>ityMemberus-gaap:CorporateNonSegmentMember2020-04-012020-06-300000884614us-gaap:IntersegmentEliminationMember2020-04-012020-06-300000884614us-gaap:OperatingSegmentsMemberugi:AmerigasPropaneMember2020-04-012020-06-300000884614us-gaap:OperatingSegmentsMember</w:t>
      </w:r>
      <w:r>
        <w:rPr>
          <w:rFonts w:eastAsia="Times New Roman"/>
          <w:vanish/>
        </w:rPr>
        <w:t>ugi:UGIInternationalMember2020-04-012020-06-300000884614ugi:MidstreamAndMarketingMemberus-gaap:OperatingSegmentsMember2020-04-012020-06-300000884614us-gaap:OperatingSegmentsMemberugi:UgiUtilitiesMember2020-04-012020-06-300000884614us-gaap:CorporateNonSegme</w:t>
      </w:r>
      <w:r>
        <w:rPr>
          <w:rFonts w:eastAsia="Times New Roman"/>
          <w:vanish/>
        </w:rPr>
        <w:t>ntMember2020-04-012020-06-300000884614ugi:ResidentialMember2020-10-012021-06-300000884614us-gaap:IntersegmentEliminationMemberugi:ResidentialMember2020-10-012021-06-300000884614ugi:ResidentialMemberus-gaap:OperatingSegmentsMemberugi:AmerigasPropaneMember20</w:t>
      </w:r>
      <w:r>
        <w:rPr>
          <w:rFonts w:eastAsia="Times New Roman"/>
          <w:vanish/>
        </w:rPr>
        <w:t>20-10-012021-06-300000884614ugi:ResidentialMemberus-gaap:OperatingSegmentsMemberugi:UGIInternationalMember2020-10-012021-06-300000884614ugi:ResidentialMemberugi:MidstreamAndMarketingMemberus-gaap:OperatingSegmentsMember2020-10-012021-06-300000884614ugi:Res</w:t>
      </w:r>
      <w:r>
        <w:rPr>
          <w:rFonts w:eastAsia="Times New Roman"/>
          <w:vanish/>
        </w:rPr>
        <w:t>identialMemberus-gaap:OperatingSegmentsMemberugi:UgiUtilitiesMember2020-10-012021-06-300000884614ugi:ResidentialMemberus-gaap:CorporateNonSegmentMember2020-10-012021-06-300000884614ugi:CommercialandIndustrialMember2020-10-012021-06-300000884614ugi:Commerci</w:t>
      </w:r>
      <w:r>
        <w:rPr>
          <w:rFonts w:eastAsia="Times New Roman"/>
          <w:vanish/>
        </w:rPr>
        <w:t>alandIndustrialMemberus-gaap:IntersegmentEliminationMember2020-10-012021-06-300000884614ugi:CommercialandIndustrialMemberus-gaap:OperatingSegmentsMemberugi:AmerigasPropaneMember2020-10-012021-06-300000884614ugi:CommercialandIndustrialMemberus-gaap:Operatin</w:t>
      </w:r>
      <w:r>
        <w:rPr>
          <w:rFonts w:eastAsia="Times New Roman"/>
          <w:vanish/>
        </w:rPr>
        <w:t>gSegmentsMemberugi:UGIInternationalMember2020-10-012021-06-300000884614ugi:CommercialandIndustrialMemberugi:MidstreamAndMarketingMemberus-gaap:OperatingSegmentsMember2020-10-012021-06-300000884614ugi:CommercialandIndustrialMemberus-gaap:OperatingSegmentsMe</w:t>
      </w:r>
      <w:r>
        <w:rPr>
          <w:rFonts w:eastAsia="Times New Roman"/>
          <w:vanish/>
        </w:rPr>
        <w:t>mberugi:UgiUtilitiesMember2020-10-012021-06-300000884614ugi:CommercialandIndustrialMemberus-gaap:CorporateNonSegmentMember2020-10-012021-06-300000884614ugi:LargeDeliveryServiceMember2020-10-012021-06-300000884614us-gaap:IntersegmentEliminationMemberugi:Lar</w:t>
      </w:r>
      <w:r>
        <w:rPr>
          <w:rFonts w:eastAsia="Times New Roman"/>
          <w:vanish/>
        </w:rPr>
        <w:t>geDeliveryServiceMember2020-10-012021-06-300000884614us-gaap:OperatingSegmentsMemberugi:LargeDeliveryServiceMemberugi:AmerigasPropaneMember2020-10-012021-06-300000884614us-gaap:OperatingSegmentsMemberugi:UGIInternationalMemberugi:LargeDeliveryServiceMember</w:t>
      </w:r>
      <w:r>
        <w:rPr>
          <w:rFonts w:eastAsia="Times New Roman"/>
          <w:vanish/>
        </w:rPr>
        <w:t>2020-10-012021-06-300000884614ugi:MidstreamAndMarketingMemberus-gaap:OperatingSegmentsMemberugi:LargeDeliveryServiceMember2020-10-012021-06-300000884614us-gaap:OperatingSegmentsMemberugi:UgiUtilitiesMemberugi:LargeDeliveryServiceMember2020-10-012021-06-300</w:t>
      </w:r>
      <w:r>
        <w:rPr>
          <w:rFonts w:eastAsia="Times New Roman"/>
          <w:vanish/>
        </w:rPr>
        <w:t>000884614us-gaap:CorporateNonSegmentMemberugi:LargeDeliveryServiceMember2020-10-012021-06-300000884614ugi:OffSystemSalesandCapacityReleasesMember2020-10-012021-06-300000884614ugi:OffSystemSalesandCapacityReleasesMemberus-gaap:IntersegmentEliminationMember2</w:t>
      </w:r>
      <w:r>
        <w:rPr>
          <w:rFonts w:eastAsia="Times New Roman"/>
          <w:vanish/>
        </w:rPr>
        <w:t>020-10-012021-06-300000884614ugi:OffSystemSalesandCapacityReleasesMemberus-gaap:OperatingSegmentsMemberugi:AmerigasPropaneMember2020-10-012021-06-300000884614ugi:OffSystemSalesandCapacityReleasesMemberus-gaap:OperatingSegmentsMemberugi:UGIInternationalMemb</w:t>
      </w:r>
      <w:r>
        <w:rPr>
          <w:rFonts w:eastAsia="Times New Roman"/>
          <w:vanish/>
        </w:rPr>
        <w:t>er2020-10-012021-06-300000884614ugi:OffSystemSalesandCapacityReleasesMemberugi:MidstreamAndMarketingMemberus-gaap:OperatingSegmentsMember2020-10-012021-06-300000884614ugi:OffSystemSalesandCapacityReleasesMemberus-gaap:OperatingSegmentsMemberugi:UgiUtilitie</w:t>
      </w:r>
      <w:r>
        <w:rPr>
          <w:rFonts w:eastAsia="Times New Roman"/>
          <w:vanish/>
        </w:rPr>
        <w:t>sMember2020-10-012021-06-300000884614ugi:OffSystemSalesandCapacityReleasesMemberus-gaap:CorporateNonSegmentMember2020-10-012021-06-300000884614ugi:UtilityOtherMember2020-10-012021-06-300000884614us-gaap:IntersegmentEliminationMemberugi:UtilityOtherMember20</w:t>
      </w:r>
      <w:r>
        <w:rPr>
          <w:rFonts w:eastAsia="Times New Roman"/>
          <w:vanish/>
        </w:rPr>
        <w:t>20-10-012021-06-300000884614ugi:UtilityOtherMemberus-gaap:OperatingSegmentsMemberugi:AmerigasPropaneMember2020-10-012021-06-300000884614ugi:UtilityOtherMemberus-gaap:OperatingSegmentsMemberugi:UGIInternationalMember2020-10-012021-06-300000884614ugi:Utility</w:t>
      </w:r>
      <w:r>
        <w:rPr>
          <w:rFonts w:eastAsia="Times New Roman"/>
          <w:vanish/>
        </w:rPr>
        <w:t>OtherMemberugi:MidstreamAndMarketingMemberus-gaap:OperatingSegmentsMember2020-10-012021-06-300000884614ugi:UtilityOtherMemberus-gaap:OperatingSegmentsMemberugi:UgiUtilitiesMember2020-10-012021-06-300000884614ugi:UtilityOtherMemberus-gaap:CorporateNonSegmen</w:t>
      </w:r>
      <w:r>
        <w:rPr>
          <w:rFonts w:eastAsia="Times New Roman"/>
          <w:vanish/>
        </w:rPr>
        <w:t>tMember2020-10-012021-06-300000884614ugi:UtilityMember2020-10-012021-06-300000884614us-gaap:IntersegmentEliminationMemberugi:UtilityMember2020-10-012021-06-300000884614us-gaap:OperatingSegmentsMemberugi:AmerigasPropaneMemberugi:UtilityMember2020-10-012021-</w:t>
      </w:r>
      <w:r>
        <w:rPr>
          <w:rFonts w:eastAsia="Times New Roman"/>
          <w:vanish/>
        </w:rPr>
        <w:t>06-300000884614us-gaap:OperatingSegmentsMemberugi:UGIInternationalMemberugi:UtilityMember2020-10-012021-06-300000884614ugi:MidstreamAndMarketingMemberus-gaap:OperatingSegmentsMemberugi:UtilityMember2020-10-012021-06-300000884614us-gaap:OperatingSegmentsMem</w:t>
      </w:r>
      <w:r>
        <w:rPr>
          <w:rFonts w:eastAsia="Times New Roman"/>
          <w:vanish/>
        </w:rPr>
        <w:t>berugi:UgiUtilitiesMemberugi:UtilityMember2020-10-012021-06-300000884614us-gaap:CorporateNonSegmentMemberugi:UtilityMember2020-10-012021-06-300000884614us-gaap:RetailMember2020-10-012021-06-300000884614us-gaap:RetailMemberus-gaap:IntersegmentEliminationMem</w:t>
      </w:r>
      <w:r>
        <w:rPr>
          <w:rFonts w:eastAsia="Times New Roman"/>
          <w:vanish/>
        </w:rPr>
        <w:t>ber2020-10-012021-06-300000884614us-gaap:RetailMemberus-gaap:OperatingSegmentsMemberugi:AmerigasPropaneMember2020-10-012021-06-300000884614us-gaap:RetailMemberus-gaap:OperatingSegmentsMemberugi:UGIInternationalMember2020-10-012021-06-300000884614us-gaap:Re</w:t>
      </w:r>
      <w:r>
        <w:rPr>
          <w:rFonts w:eastAsia="Times New Roman"/>
          <w:vanish/>
        </w:rPr>
        <w:t>tailMemberugi:MidstreamAndMarketingMemberus-gaap:OperatingSegmentsMember2020-10-012021-06-300000884614us-gaap:RetailMemberus-gaap:OperatingSegmentsMemberugi:UgiUtilitiesMember2020-10-012021-06-300000884614us-gaap:RetailMemberus-gaap:CorporateNonSegmentMemb</w:t>
      </w:r>
      <w:r>
        <w:rPr>
          <w:rFonts w:eastAsia="Times New Roman"/>
          <w:vanish/>
        </w:rPr>
        <w:t>er2020-10-012021-06-300000884614ugi:WholesaleMember2020-10-012021-06-300000884614us-gaap:IntersegmentEliminationMemberugi:WholesaleMember2020-10-012021-06-300000884614ugi:WholesaleMemberus-gaap:OperatingSegmentsMemberugi:AmerigasPropaneMember2020-10-012021</w:t>
      </w:r>
      <w:r>
        <w:rPr>
          <w:rFonts w:eastAsia="Times New Roman"/>
          <w:vanish/>
        </w:rPr>
        <w:t>-06-300000884614ugi:WholesaleMemberus-gaap:OperatingSegmentsMemberugi:UGIInternationalMember2020-10-012021-06-300000884614ugi:WholesaleMemberugi:MidstreamAndMarketingMemberus-gaap:OperatingSegmentsMember2020-10-012021-06-300000884614ugi:WholesaleMemberus-g</w:t>
      </w:r>
      <w:r>
        <w:rPr>
          <w:rFonts w:eastAsia="Times New Roman"/>
          <w:vanish/>
        </w:rPr>
        <w:t>aap:OperatingSegmentsMemberugi:UgiUtilitiesMember2020-10-012021-06-300000884614ugi:WholesaleMemberus-gaap:CorporateNonSegmentMember2020-10-012021-06-300000884614ugi:EnergyMarketingMember2020-10-012021-06-300000884614ugi:EnergyMarketingMemberus-gaap:Interse</w:t>
      </w:r>
      <w:r>
        <w:rPr>
          <w:rFonts w:eastAsia="Times New Roman"/>
          <w:vanish/>
        </w:rPr>
        <w:t>gmentEliminationMember2020-10-012021-06-300000884614ugi:EnergyMarketingMemberus-gaap:OperatingSegmentsMemberugi:AmerigasPropaneMember2020-10-012021-06-300000884614ugi:EnergyMarketingMemberus-gaap:OperatingSegmentsMemberugi:UGIInternationalMember2020-10-012</w:t>
      </w:r>
      <w:r>
        <w:rPr>
          <w:rFonts w:eastAsia="Times New Roman"/>
          <w:vanish/>
        </w:rPr>
        <w:t>021-06-300000884614ugi:EnergyMarketingMemberugi:MidstreamAndMarketingMemberus-gaap:OperatingSegmentsMember2020-10-012021-06-300000884614ugi:EnergyMarketingMemberus-gaap:OperatingSegmentsMemberugi:UgiUtilitiesMember2020-10-012021-06-300000884614ugi:EnergyMa</w:t>
      </w:r>
      <w:r>
        <w:rPr>
          <w:rFonts w:eastAsia="Times New Roman"/>
          <w:vanish/>
        </w:rPr>
        <w:t>rketingMemberus-gaap:CorporateNonSegmentMember2020-10-012021-06-300000884614ugi:PipelineMember2020-10-012021-06-300000884614us-gaap:IntersegmentEliminationMemberugi:PipelineMember2020-10-012021-06-300000884614ugi:PipelineMemberus-gaap:OperatingSegmentsMemb</w:t>
      </w:r>
      <w:r>
        <w:rPr>
          <w:rFonts w:eastAsia="Times New Roman"/>
          <w:vanish/>
        </w:rPr>
        <w:t>erugi:AmerigasPropaneMember2020-10-012021-06-300000884614ugi:PipelineMemberus-gaap:OperatingSegmentsMemberugi:UGIInternationalMember2020-10-012021-06-300000884614ugi:MidstreamAndMarketingMemberugi:PipelineMemberus-gaap:OperatingSegmentsMember2020-10-012021</w:t>
      </w:r>
      <w:r>
        <w:rPr>
          <w:rFonts w:eastAsia="Times New Roman"/>
          <w:vanish/>
        </w:rPr>
        <w:t>-06-300000884614ugi:PipelineMemberus-gaap:OperatingSegmentsMemberugi:UgiUtilitiesMember2020-10-012021-06-300000884614ugi:PipelineMemberus-gaap:CorporateNonSegmentMember2020-10-012021-06-300000884614ugi:PeakingMember2020-10-012021-06-300000884614us-gaap:Int</w:t>
      </w:r>
      <w:r>
        <w:rPr>
          <w:rFonts w:eastAsia="Times New Roman"/>
          <w:vanish/>
        </w:rPr>
        <w:t>ersegmentEliminationMemberugi:PeakingMember2020-10-012021-06-300000884614us-gaap:OperatingSegmentsMemberugi:AmerigasPropaneMemberugi:PeakingMember2020-10-012021-06-300000884614us-gaap:OperatingSegmentsMemberugi:UGIInternationalMemberugi:PeakingMember2020-1</w:t>
      </w:r>
      <w:r>
        <w:rPr>
          <w:rFonts w:eastAsia="Times New Roman"/>
          <w:vanish/>
        </w:rPr>
        <w:t>0-012021-06-300000884614ugi:MidstreamAndMarketingMemberus-gaap:OperatingSegmentsMemberugi:PeakingMember2020-10-012021-06-300000884614us-gaap:OperatingSegmentsMemberugi:UgiUtilitiesMemberugi:PeakingMember2020-10-012021-06-300000884614us-gaap:CorporateNonSeg</w:t>
      </w:r>
      <w:r>
        <w:rPr>
          <w:rFonts w:eastAsia="Times New Roman"/>
          <w:vanish/>
        </w:rPr>
        <w:t>mentMemberugi:PeakingMember2020-10-012021-06-300000884614ugi:MidstreamOtherMember2020-10-012021-06-300000884614us-gaap:IntersegmentEliminationMemberugi:MidstreamOtherMember2020-10-012021-06-300000884614us-gaap:OperatingSegmentsMemberugi:MidstreamOtherMembe</w:t>
      </w:r>
      <w:r>
        <w:rPr>
          <w:rFonts w:eastAsia="Times New Roman"/>
          <w:vanish/>
        </w:rPr>
        <w:t>rugi:AmerigasPropaneMember2020-10-012021-06-300000884614us-gaap:OperatingSegmentsMemberugi:UGIInternationalMemberugi:MidstreamOtherMember2020-10-012021-06-300000884614ugi:MidstreamAndMarketingMemberus-gaap:OperatingSegmentsMemberugi:MidstreamOtherMember202</w:t>
      </w:r>
      <w:r>
        <w:rPr>
          <w:rFonts w:eastAsia="Times New Roman"/>
          <w:vanish/>
        </w:rPr>
        <w:t>0-10-012021-06-300000884614us-gaap:OperatingSegmentsMemberugi:UgiUtilitiesMemberugi:MidstreamOtherMember2020-10-012021-06-300000884614us-gaap:CorporateNonSegmentMemberugi:MidstreamOtherMember2020-10-012021-06-300000884614us-gaap:ElectricityGenerationMember</w:t>
      </w:r>
      <w:r>
        <w:rPr>
          <w:rFonts w:eastAsia="Times New Roman"/>
          <w:vanish/>
        </w:rPr>
        <w:t>2020-10-012021-06-300000884614us-gaap:ElectricityGenerationMemberus-gaap:IntersegmentEliminationMember2020-10-012021-06-300000884614us-gaap:ElectricityGenerationMemberus-gaap:OperatingSegmentsMemberugi:AmerigasPropaneMember2020-10-012021-06-300000884614us-</w:t>
      </w:r>
      <w:r>
        <w:rPr>
          <w:rFonts w:eastAsia="Times New Roman"/>
          <w:vanish/>
        </w:rPr>
        <w:t>gaap:ElectricityGenerationMemberus-gaap:OperatingSegmentsMemberugi:UGIInternationalMember2020-10-012021-06-300000884614us-gaap:ElectricityGenerationMemberugi:MidstreamAndMarketingMemberus-gaap:OperatingSegmentsMember2020-10-012021-06-300000884614us-gaap:El</w:t>
      </w:r>
      <w:r>
        <w:rPr>
          <w:rFonts w:eastAsia="Times New Roman"/>
          <w:vanish/>
        </w:rPr>
        <w:t>ectricityGenerationMemberus-gaap:OperatingSegmentsMemberugi:UgiUtilitiesMember2020-10-012021-06-300000884614us-gaap:ElectricityGenerationMemberus-gaap:CorporateNonSegmentMember2020-10-012021-06-300000884614ugi:NonutilityOtherMember2020-10-012021-06-3000008</w:t>
      </w:r>
      <w:r>
        <w:rPr>
          <w:rFonts w:eastAsia="Times New Roman"/>
          <w:vanish/>
        </w:rPr>
        <w:t>84614us-gaap:IntersegmentEliminationMemberugi:NonutilityOtherMember2020-10-012021-06-300000884614ugi:NonutilityOtherMemberus-gaap:OperatingSegmentsMemberugi:AmerigasPropaneMember2020-10-012021-06-300000884614ugi:NonutilityOtherMemberus-gaap:OperatingSegmen</w:t>
      </w:r>
      <w:r>
        <w:rPr>
          <w:rFonts w:eastAsia="Times New Roman"/>
          <w:vanish/>
        </w:rPr>
        <w:t>tsMemberugi:UGIInternationalMember2020-10-012021-06-300000884614ugi:NonutilityOtherMemberugi:MidstreamAndMarketingMemberus-gaap:OperatingSegmentsMember2020-10-012021-06-300000884614ugi:NonutilityOtherMemberus-gaap:OperatingSegmentsMemberugi:UgiUtilitiesMem</w:t>
      </w:r>
      <w:r>
        <w:rPr>
          <w:rFonts w:eastAsia="Times New Roman"/>
          <w:vanish/>
        </w:rPr>
        <w:t>ber2020-10-012021-06-300000884614ugi:NonutilityOtherMemberus-gaap:CorporateNonSegmentMember2020-10-012021-06-300000884614ugi:NonutilityMember2020-10-012021-06-300000884614us-gaap:IntersegmentEliminationMemberugi:NonutilityMember2020-10-012021-06-3000008846</w:t>
      </w:r>
      <w:r>
        <w:rPr>
          <w:rFonts w:eastAsia="Times New Roman"/>
          <w:vanish/>
        </w:rPr>
        <w:t>14ugi:NonutilityMemberus-gaap:OperatingSegmentsMemberugi:AmerigasPropaneMember2020-10-012021-06-300000884614ugi:NonutilityMemberus-gaap:OperatingSegmentsMemberugi:UGIInternationalMember2020-10-012021-06-300000884614ugi:NonutilityMemberugi:MidstreamAndMarke</w:t>
      </w:r>
      <w:r>
        <w:rPr>
          <w:rFonts w:eastAsia="Times New Roman"/>
          <w:vanish/>
        </w:rPr>
        <w:t>tingMemberus-gaap:OperatingSegmentsMember2020-10-012021-06-300000884614ugi:NonutilityMemberus-gaap:OperatingSegmentsMemberugi:UgiUtilitiesMember2020-10-012021-06-300000884614ugi:NonutilityMemberus-gaap:CorporateNonSegmentMember2020-10-012021-06-30000088461</w:t>
      </w:r>
      <w:r>
        <w:rPr>
          <w:rFonts w:eastAsia="Times New Roman"/>
          <w:vanish/>
        </w:rPr>
        <w:t>4us-gaap:IntersegmentEliminationMember2020-10-012021-06-300000884614us-gaap:OperatingSegmentsMemberugi:AmerigasPropaneMember2020-10-012021-06-300000884614us-gaap:OperatingSegmentsMemberugi:UGIInternationalMember2020-10-012021-06-300000884614ugi:MidstreamAn</w:t>
      </w:r>
      <w:r>
        <w:rPr>
          <w:rFonts w:eastAsia="Times New Roman"/>
          <w:vanish/>
        </w:rPr>
        <w:t>dMarketingMemberus-gaap:OperatingSegmentsMember2020-10-012021-06-300000884614us-gaap:OperatingSegmentsMemberugi:UgiUtilitiesMember2020-10-012021-06-300000884614us-gaap:CorporateNonSegmentMember2020-10-012021-06-300000884614ugi:ResidentialMember2019-10-0120</w:t>
      </w:r>
      <w:r>
        <w:rPr>
          <w:rFonts w:eastAsia="Times New Roman"/>
          <w:vanish/>
        </w:rPr>
        <w:t>20-06-300000884614us-gaap:IntersegmentEliminationMemberugi:ResidentialMember2019-10-012020-06-300000884614ugi:ResidentialMemberus-gaap:OperatingSegmentsMemberugi:AmerigasPropaneMember2019-10-012020-06-300000884614ugi:ResidentialMemberus-gaap:OperatingSegme</w:t>
      </w:r>
      <w:r>
        <w:rPr>
          <w:rFonts w:eastAsia="Times New Roman"/>
          <w:vanish/>
        </w:rPr>
        <w:t>ntsMemberugi:UGIInternationalMember2019-10-012020-06-300000884614ugi:ResidentialMemberugi:MidstreamAndMarketingMemberus-gaap:OperatingSegmentsMember2019-10-012020-06-300000884614ugi:ResidentialMemberus-gaap:OperatingSegmentsMemberugi:UgiUtilitiesMember2019</w:t>
      </w:r>
      <w:r>
        <w:rPr>
          <w:rFonts w:eastAsia="Times New Roman"/>
          <w:vanish/>
        </w:rPr>
        <w:t>-10-012020-06-300000884614ugi:ResidentialMemberus-gaap:CorporateNonSegmentMember2019-10-012020-06-300000884614ugi:CommercialandIndustrialMember2019-10-012020-06-300000884614ugi:CommercialandIndustrialMemberus-gaap:IntersegmentEliminationMember2019-10-01202</w:t>
      </w:r>
      <w:r>
        <w:rPr>
          <w:rFonts w:eastAsia="Times New Roman"/>
          <w:vanish/>
        </w:rPr>
        <w:t>0-06-300000884614ugi:CommercialandIndustrialMemberus-gaap:OperatingSegmentsMemberugi:AmerigasPropaneMember2019-10-012020-06-300000884614ugi:CommercialandIndustrialMemberus-gaap:OperatingSegmentsMemberugi:UGIInternationalMember2019-10-012020-06-300000884614</w:t>
      </w:r>
      <w:r>
        <w:rPr>
          <w:rFonts w:eastAsia="Times New Roman"/>
          <w:vanish/>
        </w:rPr>
        <w:t>ugi:CommercialandIndustrialMemberugi:MidstreamAndMarketingMemberus-gaap:OperatingSegmentsMember2019-10-012020-06-300000884614ugi:CommercialandIndustrialMemberus-gaap:OperatingSegmentsMemberugi:UgiUtilitiesMember2019-10-012020-06-300000884614ugi:Commerciala</w:t>
      </w:r>
      <w:r>
        <w:rPr>
          <w:rFonts w:eastAsia="Times New Roman"/>
          <w:vanish/>
        </w:rPr>
        <w:t>ndIndustrialMemberus-gaap:CorporateNonSegmentMember2019-10-012020-06-300000884614ugi:LargeDeliveryServiceMember2019-10-012020-06-300000884614us-gaap:IntersegmentEliminationMemberugi:LargeDeliveryServiceMember2019-10-012020-06-300000884614us-gaap:OperatingS</w:t>
      </w:r>
      <w:r>
        <w:rPr>
          <w:rFonts w:eastAsia="Times New Roman"/>
          <w:vanish/>
        </w:rPr>
        <w:t>egmentsMemberugi:LargeDeliveryServiceMemberugi:AmerigasPropaneMember2019-10-012020-06-300000884614us-gaap:OperatingSegmentsMemberugi:UGIInternationalMemberugi:LargeDeliveryServiceMember2019-10-012020-06-300000884614ugi:MidstreamAndMarketingMemberus-gaap:Op</w:t>
      </w:r>
      <w:r>
        <w:rPr>
          <w:rFonts w:eastAsia="Times New Roman"/>
          <w:vanish/>
        </w:rPr>
        <w:t>eratingSegmentsMemberugi:LargeDeliveryServiceMember2019-10-012020-06-300000884614us-gaap:OperatingSegmentsMemberugi:UgiUtilitiesMemberugi:LargeDeliveryServiceMember2019-10-012020-06-300000884614us-gaap:CorporateNonSegmentMemberugi:LargeDeliveryServiceMembe</w:t>
      </w:r>
      <w:r>
        <w:rPr>
          <w:rFonts w:eastAsia="Times New Roman"/>
          <w:vanish/>
        </w:rPr>
        <w:t>r2019-10-012020-06-300000884614ugi:OffSystemSalesandCapacityReleasesMember2019-10-012020-06-300000884614ugi:OffSystemSalesandCapacityReleasesMemberus-gaap:IntersegmentEliminationMember2019-10-012020-06-300000884614ugi:OffSystemSalesandCapacityReleasesMembe</w:t>
      </w:r>
      <w:r>
        <w:rPr>
          <w:rFonts w:eastAsia="Times New Roman"/>
          <w:vanish/>
        </w:rPr>
        <w:t>rus-gaap:OperatingSegmentsMemberugi:AmerigasPropaneMember2019-10-012020-06-300000884614ugi:OffSystemSalesandCapacityReleasesMemberus-gaap:OperatingSegmentsMemberugi:UGIInternationalMember2019-10-012020-06-300000884614ugi:OffSystemSalesandCapacityReleasesMe</w:t>
      </w:r>
      <w:r>
        <w:rPr>
          <w:rFonts w:eastAsia="Times New Roman"/>
          <w:vanish/>
        </w:rPr>
        <w:t>mberugi:MidstreamAndMarketingMemberus-gaap:OperatingSegmentsMember2019-10-012020-06-300000884614ugi:OffSystemSalesandCapacityReleasesMemberus-gaap:OperatingSegmentsMemberugi:UgiUtilitiesMember2019-10-012020-06-300000884614ugi:OffSystemSalesandCapacityRelea</w:t>
      </w:r>
      <w:r>
        <w:rPr>
          <w:rFonts w:eastAsia="Times New Roman"/>
          <w:vanish/>
        </w:rPr>
        <w:t>sesMemberus-gaap:CorporateNonSegmentMember2019-10-012020-06-300000884614ugi:UtilityOtherMember2019-10-012020-06-300000884614us-gaap:IntersegmentEliminationMemberugi:UtilityOtherMember2019-10-012020-06-300000884614ugi:UtilityOtherMemberus-gaap:OperatingSegm</w:t>
      </w:r>
      <w:r>
        <w:rPr>
          <w:rFonts w:eastAsia="Times New Roman"/>
          <w:vanish/>
        </w:rPr>
        <w:t>entsMemberugi:AmerigasPropaneMember2019-10-012020-06-300000884614ugi:UtilityOtherMemberus-gaap:OperatingSegmentsMemberugi:UGIInternationalMember2019-10-012020-06-300000884614ugi:UtilityOtherMemberugi:MidstreamAndMarketingMemberus-gaap:OperatingSegmentsMemb</w:t>
      </w:r>
      <w:r>
        <w:rPr>
          <w:rFonts w:eastAsia="Times New Roman"/>
          <w:vanish/>
        </w:rPr>
        <w:t>er2019-10-012020-06-300000884614ugi:UtilityOtherMemberus-gaap:OperatingSegmentsMemberugi:UgiUtilitiesMember2019-10-012020-06-300000884614ugi:UtilityOtherMemberus-gaap:CorporateNonSegmentMember2019-10-012020-06-300000884614ugi:UtilityMember2019-10-012020-06</w:t>
      </w:r>
      <w:r>
        <w:rPr>
          <w:rFonts w:eastAsia="Times New Roman"/>
          <w:vanish/>
        </w:rPr>
        <w:t>-300000884614us-gaap:IntersegmentEliminationMemberugi:UtilityMember2019-10-012020-06-300000884614us-gaap:OperatingSegmentsMemberugi:AmerigasPropaneMemberugi:UtilityMember2019-10-012020-06-300000884614us-gaap:OperatingSegmentsMemberugi:UGIInternationalMembe</w:t>
      </w:r>
      <w:r>
        <w:rPr>
          <w:rFonts w:eastAsia="Times New Roman"/>
          <w:vanish/>
        </w:rPr>
        <w:t>rugi:UtilityMember2019-10-012020-06-300000884614ugi:MidstreamAndMarketingMemberus-gaap:OperatingSegmentsMemberugi:UtilityMember2019-10-012020-06-300000884614us-gaap:OperatingSegmentsMemberugi:UgiUtilitiesMemberugi:UtilityMember2019-10-012020-06-30000088461</w:t>
      </w:r>
      <w:r>
        <w:rPr>
          <w:rFonts w:eastAsia="Times New Roman"/>
          <w:vanish/>
        </w:rPr>
        <w:t>4us-gaap:CorporateNonSegmentMemberugi:UtilityMember2019-10-012020-06-300000884614us-gaap:RetailMember2019-10-012020-06-300000884614us-gaap:RetailMemberus-gaap:IntersegmentEliminationMember2019-10-012020-06-300000884614us-gaap:RetailMemberus-gaap:OperatingS</w:t>
      </w:r>
      <w:r>
        <w:rPr>
          <w:rFonts w:eastAsia="Times New Roman"/>
          <w:vanish/>
        </w:rPr>
        <w:t>egmentsMemberugi:AmerigasPropaneMember2019-10-012020-06-300000884614us-gaap:RetailMemberus-gaap:OperatingSegmentsMemberugi:UGIInternationalMember2019-10-012020-06-300000884614us-gaap:RetailMemberugi:MidstreamAndMarketingMemberus-gaap:OperatingSegmentsMembe</w:t>
      </w:r>
      <w:r>
        <w:rPr>
          <w:rFonts w:eastAsia="Times New Roman"/>
          <w:vanish/>
        </w:rPr>
        <w:t>r2019-10-012020-06-300000884614us-gaap:RetailMemberus-gaap:OperatingSegmentsMemberugi:UgiUtilitiesMember2019-10-012020-06-300000884614us-gaap:RetailMemberus-gaap:CorporateNonSegmentMember2019-10-012020-06-300000884614ugi:WholesaleMember2019-10-012020-06-30</w:t>
      </w:r>
      <w:r>
        <w:rPr>
          <w:rFonts w:eastAsia="Times New Roman"/>
          <w:vanish/>
        </w:rPr>
        <w:t>0000884614us-gaap:IntersegmentEliminationMemberugi:WholesaleMember2019-10-012020-06-300000884614ugi:WholesaleMemberus-gaap:OperatingSegmentsMemberugi:AmerigasPropaneMember2019-10-012020-06-300000884614ugi:WholesaleMemberus-gaap:OperatingSegmentsMemberugi:U</w:t>
      </w:r>
      <w:r>
        <w:rPr>
          <w:rFonts w:eastAsia="Times New Roman"/>
          <w:vanish/>
        </w:rPr>
        <w:t>GIInternationalMember2019-10-012020-06-300000884614ugi:WholesaleMemberugi:MidstreamAndMarketingMemberus-gaap:OperatingSegmentsMember2019-10-012020-06-300000884614ugi:WholesaleMemberus-gaap:OperatingSegmentsMemberugi:UgiUtilitiesMember2019-10-012020-06-3000</w:t>
      </w:r>
      <w:r>
        <w:rPr>
          <w:rFonts w:eastAsia="Times New Roman"/>
          <w:vanish/>
        </w:rPr>
        <w:t>00884614ugi:WholesaleMemberus-gaap:CorporateNonSegmentMember2019-10-012020-06-300000884614ugi:EnergyMarketingMember2019-10-012020-06-300000884614ugi:EnergyMarketingMemberus-gaap:IntersegmentEliminationMember2019-10-012020-06-300000884614ugi:EnergyMarketing</w:t>
      </w:r>
      <w:r>
        <w:rPr>
          <w:rFonts w:eastAsia="Times New Roman"/>
          <w:vanish/>
        </w:rPr>
        <w:t>Memberus-gaap:OperatingSegmentsMemberugi:AmerigasPropaneMember2019-10-012020-06-300000884614ugi:EnergyMarketingMemberus-gaap:OperatingSegmentsMemberugi:UGIInternationalMember2019-10-012020-06-300000884614ugi:EnergyMarketingMemberugi:MidstreamAndMarketingMe</w:t>
      </w:r>
      <w:r>
        <w:rPr>
          <w:rFonts w:eastAsia="Times New Roman"/>
          <w:vanish/>
        </w:rPr>
        <w:t>mberus-gaap:OperatingSegmentsMember2019-10-012020-06-300000884614ugi:EnergyMarketingMemberus-gaap:OperatingSegmentsMemberugi:UgiUtilitiesMember2019-10-012020-06-300000884614ugi:EnergyMarketingMemberus-gaap:CorporateNonSegmentMember2019-10-012020-06-3000008</w:t>
      </w:r>
      <w:r>
        <w:rPr>
          <w:rFonts w:eastAsia="Times New Roman"/>
          <w:vanish/>
        </w:rPr>
        <w:t>84614ugi:PipelineMember2019-10-012020-06-300000884614us-gaap:IntersegmentEliminationMemberugi:PipelineMember2019-10-012020-06-300000884614ugi:PipelineMemberus-gaap:OperatingSegmentsMemberugi:AmerigasPropaneMember2019-10-012020-06-300000884614ugi:PipelineMe</w:t>
      </w:r>
      <w:r>
        <w:rPr>
          <w:rFonts w:eastAsia="Times New Roman"/>
          <w:vanish/>
        </w:rPr>
        <w:t>mberus-gaap:OperatingSegmentsMemberugi:UGIInternationalMember2019-10-012020-06-300000884614ugi:MidstreamAndMarketingMemberugi:PipelineMemberus-gaap:OperatingSegmentsMember2019-10-012020-06-300000884614ugi:PipelineMemberus-gaap:OperatingSegmentsMemberugi:Ug</w:t>
      </w:r>
      <w:r>
        <w:rPr>
          <w:rFonts w:eastAsia="Times New Roman"/>
          <w:vanish/>
        </w:rPr>
        <w:t>iUtilitiesMember2019-10-012020-06-300000884614ugi:PipelineMemberus-gaap:CorporateNonSegmentMember2019-10-012020-06-300000884614ugi:PeakingMember2019-10-012020-06-300000884614us-gaap:IntersegmentEliminationMemberugi:PeakingMember2019-10-012020-06-3000008846</w:t>
      </w:r>
      <w:r>
        <w:rPr>
          <w:rFonts w:eastAsia="Times New Roman"/>
          <w:vanish/>
        </w:rPr>
        <w:t>14us-gaap:OperatingSegmentsMemberugi:AmerigasPropaneMemberugi:PeakingMember2019-10-012020-06-300000884614us-gaap:OperatingSegmentsMemberugi:UGIInternationalMemberugi:PeakingMember2019-10-012020-06-300000884614ugi:MidstreamAndMarketingMemberus-gaap:Operatin</w:t>
      </w:r>
      <w:r>
        <w:rPr>
          <w:rFonts w:eastAsia="Times New Roman"/>
          <w:vanish/>
        </w:rPr>
        <w:t>gSegmentsMemberugi:PeakingMember2019-10-012020-06-300000884614us-gaap:OperatingSegmentsMemberugi:UgiUtilitiesMemberugi:PeakingMember2019-10-012020-06-300000884614us-gaap:CorporateNonSegmentMemberugi:PeakingMember2019-10-012020-06-300000884614ugi:MidstreamO</w:t>
      </w:r>
      <w:r>
        <w:rPr>
          <w:rFonts w:eastAsia="Times New Roman"/>
          <w:vanish/>
        </w:rPr>
        <w:t>therMember2019-10-012020-06-300000884614us-gaap:IntersegmentEliminationMemberugi:MidstreamOtherMember2019-10-012020-06-300000884614us-gaap:OperatingSegmentsMemberugi:MidstreamOtherMemberugi:AmerigasPropaneMember2019-10-012020-06-300000884614us-gaap:Operati</w:t>
      </w:r>
      <w:r>
        <w:rPr>
          <w:rFonts w:eastAsia="Times New Roman"/>
          <w:vanish/>
        </w:rPr>
        <w:t>ngSegmentsMemberugi:UGIInternationalMemberugi:MidstreamOtherMember2019-10-012020-06-300000884614ugi:MidstreamAndMarketingMemberus-gaap:OperatingSegmentsMemberugi:MidstreamOtherMember2019-10-012020-06-300000884614us-gaap:OperatingSegmentsMemberugi:UgiUtilit</w:t>
      </w:r>
      <w:r>
        <w:rPr>
          <w:rFonts w:eastAsia="Times New Roman"/>
          <w:vanish/>
        </w:rPr>
        <w:t>iesMemberugi:MidstreamOtherMember2019-10-012020-06-300000884614us-gaap:CorporateNonSegmentMemberugi:MidstreamOtherMember2019-10-012020-06-300000884614us-gaap:ElectricityGenerationMember2019-10-012020-06-300000884614us-gaap:ElectricityGenerationMemberus-gaa</w:t>
      </w:r>
      <w:r>
        <w:rPr>
          <w:rFonts w:eastAsia="Times New Roman"/>
          <w:vanish/>
        </w:rPr>
        <w:t>p:IntersegmentEliminationMember2019-10-012020-06-300000884614us-gaap:ElectricityGenerationMemberus-gaap:OperatingSegmentsMemberugi:AmerigasPropaneMember2019-10-012020-06-300000884614us-gaap:ElectricityGenerationMemberus-gaap:OperatingSegmentsMemberugi:UGII</w:t>
      </w:r>
      <w:r>
        <w:rPr>
          <w:rFonts w:eastAsia="Times New Roman"/>
          <w:vanish/>
        </w:rPr>
        <w:t>nternationalMember2019-10-012020-06-300000884614us-gaap:ElectricityGenerationMemberugi:MidstreamAndMarketingMemberus-gaap:OperatingSegmentsMember2019-10-012020-06-300000884614us-gaap:ElectricityGenerationMemberus-gaap:OperatingSegmentsMemberugi:UgiUtilitie</w:t>
      </w:r>
      <w:r>
        <w:rPr>
          <w:rFonts w:eastAsia="Times New Roman"/>
          <w:vanish/>
        </w:rPr>
        <w:t>sMember2019-10-012020-06-300000884614us-gaap:ElectricityGenerationMemberus-gaap:CorporateNonSegmentMember2019-10-012020-06-300000884614ugi:NonutilityOtherMember2019-10-012020-06-300000884614us-gaap:IntersegmentEliminationMemberugi:NonutilityOtherMember2019</w:t>
      </w:r>
      <w:r>
        <w:rPr>
          <w:rFonts w:eastAsia="Times New Roman"/>
          <w:vanish/>
        </w:rPr>
        <w:t>-10-012020-06-300000884614ugi:NonutilityOtherMemberus-gaap:OperatingSegmentsMemberugi:AmerigasPropaneMember2019-10-012020-06-300000884614ugi:NonutilityOtherMemberus-gaap:OperatingSegmentsMemberugi:UGIInternationalMember2019-10-012020-06-300000884614ugi:Non</w:t>
      </w:r>
      <w:r>
        <w:rPr>
          <w:rFonts w:eastAsia="Times New Roman"/>
          <w:vanish/>
        </w:rPr>
        <w:t>utilityOtherMemberugi:MidstreamAndMarketingMemberus-gaap:OperatingSegmentsMember2019-10-012020-06-300000884614ugi:NonutilityOtherMemberus-gaap:OperatingSegmentsMemberugi:UgiUtilitiesMember2019-10-012020-06-300000884614ugi:NonutilityOtherMemberus-gaap:Corpo</w:t>
      </w:r>
      <w:r>
        <w:rPr>
          <w:rFonts w:eastAsia="Times New Roman"/>
          <w:vanish/>
        </w:rPr>
        <w:t>rateNonSegmentMember2019-10-012020-06-300000884614ugi:NonutilityMember2019-10-012020-06-300000884614us-gaap:IntersegmentEliminationMemberugi:NonutilityMember2019-10-012020-06-300000884614ugi:NonutilityMemberus-gaap:OperatingSegmentsMemberugi:AmerigasPropan</w:t>
      </w:r>
      <w:r>
        <w:rPr>
          <w:rFonts w:eastAsia="Times New Roman"/>
          <w:vanish/>
        </w:rPr>
        <w:t>eMember2019-10-012020-06-300000884614ugi:NonutilityMemberus-gaap:OperatingSegmentsMemberugi:UGIInternationalMember2019-10-012020-06-300000884614ugi:NonutilityMemberugi:MidstreamAndMarketingMemberus-gaap:OperatingSegmentsMember2019-10-012020-06-300000884614</w:t>
      </w:r>
      <w:r>
        <w:rPr>
          <w:rFonts w:eastAsia="Times New Roman"/>
          <w:vanish/>
        </w:rPr>
        <w:t>ugi:NonutilityMemberus-gaap:OperatingSegmentsMemberugi:UgiUtilitiesMember2019-10-012020-06-300000884614ugi:NonutilityMemberus-gaap:CorporateNonSegmentMember2019-10-012020-06-300000884614us-gaap:IntersegmentEliminationMember2019-10-012020-06-300000884614us-</w:t>
      </w:r>
      <w:r>
        <w:rPr>
          <w:rFonts w:eastAsia="Times New Roman"/>
          <w:vanish/>
        </w:rPr>
        <w:t>gaap:OperatingSegmentsMemberugi:AmerigasPropaneMember2019-10-012020-06-300000884614us-gaap:OperatingSegmentsMemberugi:UGIInternationalMember2019-10-012020-06-300000884614ugi:MidstreamAndMarketingMemberus-gaap:OperatingSegmentsMember2019-10-012020-06-300000</w:t>
      </w:r>
      <w:r>
        <w:rPr>
          <w:rFonts w:eastAsia="Times New Roman"/>
          <w:vanish/>
        </w:rPr>
        <w:t>884614us-gaap:OperatingSegmentsMemberugi:UgiUtilitiesMember2019-10-012020-06-300000884614us-gaap:CorporateNonSegmentMember2019-10-012020-06-3000008846142018-10-012019-06-300000884614ugi:MidstreamAndMarketingMember2021-06-300000884614ugi:UgiUtilitiesMember2</w:t>
      </w:r>
      <w:r>
        <w:rPr>
          <w:rFonts w:eastAsia="Times New Roman"/>
          <w:vanish/>
        </w:rPr>
        <w:t>021-06-300000884614ugi:NonUtilityLpgAndNaturalGasMember2021-06-300000884614ugi:NonUtilityLpgAndNaturalGasMember2020-09-300000884614ugi:NonUtilityLpgAndNaturalGasMember2020-06-300000884614ugi:GasUtilityNaturalGasMember2021-06-300000884614ugi:GasUtilityNatur</w:t>
      </w:r>
      <w:r>
        <w:rPr>
          <w:rFonts w:eastAsia="Times New Roman"/>
          <w:vanish/>
        </w:rPr>
        <w:t>alGasMember2020-09-300000884614ugi:GasUtilityNaturalGasMember2020-06-300000884614ugi:MaterialsSuppliesAndOtherMember2021-06-300000884614ugi:MaterialsSuppliesAndOtherMember2020-09-300000884614ugi:MaterialsSuppliesAndOtherMember2020-06-300000884614ugi:Income</w:t>
      </w:r>
      <w:r>
        <w:rPr>
          <w:rFonts w:eastAsia="Times New Roman"/>
          <w:vanish/>
        </w:rPr>
        <w:t>TaxesRecoverableMemberugi:UgiUtilitiesMember2021-06-300000884614ugi:IncomeTaxesRecoverableMemberugi:UgiUtilitiesMember2020-09-300000884614ugi:IncomeTaxesRecoverableMemberugi:UgiUtilitiesMember2020-06-300000884614us-gaap:PensionCostsMemberugi:UgiUtilitiesMe</w:t>
      </w:r>
      <w:r>
        <w:rPr>
          <w:rFonts w:eastAsia="Times New Roman"/>
          <w:vanish/>
        </w:rPr>
        <w:t>mber2021-06-300000884614us-gaap:PensionCostsMemberugi:UgiUtilitiesMember2020-09-300000884614us-gaap:PensionCostsMemberugi:UgiUtilitiesMember2020-06-300000884614ugi:UgiUtilitiesMemberus-gaap:EnvironmentalRestorationCostsMember2021-06-300000884614ugi:UgiUtil</w:t>
      </w:r>
      <w:r>
        <w:rPr>
          <w:rFonts w:eastAsia="Times New Roman"/>
          <w:vanish/>
        </w:rPr>
        <w:t>itiesMemberus-gaap:EnvironmentalRestorationCostsMember2020-09-300000884614ugi:UgiUtilitiesMemberus-gaap:EnvironmentalRestorationCostsMember2020-06-300000884614ugi:RemovalCostsNetMemberugi:UgiUtilitiesMember2021-06-300000884614ugi:RemovalCostsNetMemberugi:U</w:t>
      </w:r>
      <w:r>
        <w:rPr>
          <w:rFonts w:eastAsia="Times New Roman"/>
          <w:vanish/>
        </w:rPr>
        <w:t>giUtilitiesMember2020-09-300000884614ugi:RemovalCostsNetMemberugi:UgiUtilitiesMember2020-06-300000884614ugi:UgiUtilitiesMemberugi:OtherRegulatoryAssetsMember2021-06-300000884614ugi:UgiUtilitiesMemberugi:OtherRegulatoryAssetsMember2020-09-300000884614ugi:Ug</w:t>
      </w:r>
      <w:r>
        <w:rPr>
          <w:rFonts w:eastAsia="Times New Roman"/>
          <w:vanish/>
        </w:rPr>
        <w:t>iUtilitiesMemberugi:OtherRegulatoryAssetsMember2020-06-300000884614ugi:UgiUtilitiesMember2021-06-300000884614ugi:UgiUtilitiesMember2020-09-300000884614ugi:UgiUtilitiesMember2020-06-300000884614ugi:UgiUtilitiesMemberus-gaap:PostretirementBenefitCostsMember2</w:t>
      </w:r>
      <w:r>
        <w:rPr>
          <w:rFonts w:eastAsia="Times New Roman"/>
          <w:vanish/>
        </w:rPr>
        <w:t>021-06-300000884614ugi:UgiUtilitiesMemberus-gaap:PostretirementBenefitCostsMember2020-09-300000884614ugi:UgiUtilitiesMemberus-gaap:PostretirementBenefitCostsMember2020-06-300000884614ugi:UgiUtilitiesMemberugi:DeferredFuelAndPowerRefundsMember2021-06-300000</w:t>
      </w:r>
      <w:r>
        <w:rPr>
          <w:rFonts w:eastAsia="Times New Roman"/>
          <w:vanish/>
        </w:rPr>
        <w:t>884614ugi:UgiUtilitiesMemberugi:DeferredFuelAndPowerRefundsMember2020-09-300000884614ugi:UgiUtilitiesMemberugi:DeferredFuelAndPowerRefundsMember2020-06-300000884614ugi:UgiUtilitiesMemberus-gaap:DeferredIncomeTaxChargesMember2021-06-300000884614ugi:UgiUtili</w:t>
      </w:r>
      <w:r>
        <w:rPr>
          <w:rFonts w:eastAsia="Times New Roman"/>
          <w:vanish/>
        </w:rPr>
        <w:t>tiesMemberus-gaap:DeferredIncomeTaxChargesMember2020-09-300000884614ugi:UgiUtilitiesMemberus-gaap:DeferredIncomeTaxChargesMember2020-06-300000884614ugi:UgiUtilitiesMemberugi:PAPUCTemporaryRatesOrderMember2021-06-300000884614ugi:UgiUtilitiesMemberugi:PAPUCT</w:t>
      </w:r>
      <w:r>
        <w:rPr>
          <w:rFonts w:eastAsia="Times New Roman"/>
          <w:vanish/>
        </w:rPr>
        <w:t>emporaryRatesOrderMember2020-09-300000884614ugi:UgiUtilitiesMemberugi:PAPUCTemporaryRatesOrderMember2020-06-300000884614ugi:UgiUtilitiesMemberugi:ExcessFederalDeferredIncomeTaxesMember2021-06-300000884614ugi:UgiUtilitiesMemberugi:ExcessFederalDeferredIncom</w:t>
      </w:r>
      <w:r>
        <w:rPr>
          <w:rFonts w:eastAsia="Times New Roman"/>
          <w:vanish/>
        </w:rPr>
        <w:t>eTaxesMember2020-09-300000884614ugi:UgiUtilitiesMemberugi:ExcessFederalDeferredIncomeTaxesMember2020-06-300000884614ugi:UgiUtilitiesMemberus-gaap:OtherLiabilitiesMember2021-06-300000884614ugi:UgiUtilitiesMemberus-gaap:OtherLiabilitiesMember2020-09-30000088</w:t>
      </w:r>
      <w:r>
        <w:rPr>
          <w:rFonts w:eastAsia="Times New Roman"/>
          <w:vanish/>
        </w:rPr>
        <w:t>4614ugi:UgiUtilitiesMemberus-gaap:OtherLiabilitiesMember2020-06-300000884614ugi:GasUtilityMember2021-06-300000884614ugi:GasUtilityMember2020-09-300000884614ugi:GasUtilityMember2020-06-300000884614ugi:UGIElectricMemberugi:PennsylvaniaPublicUtilityCommission</w:t>
      </w:r>
      <w:r>
        <w:rPr>
          <w:rFonts w:eastAsia="Times New Roman"/>
          <w:vanish/>
        </w:rPr>
        <w:t>Member2021-02-082021-02-080000884614us-gaap:SubsequentEventMemberugi:UGIElectricMemberugi:JointPetitionForApprovalOfSettlementMemberugi:PennsylvaniaPublicUtilityCommissionMember2021-07-192021-07-190000884614ugi:UGIGasMemberugi:PennsylvaniaPublicUtilityComm</w:t>
      </w:r>
      <w:r>
        <w:rPr>
          <w:rFonts w:eastAsia="Times New Roman"/>
          <w:vanish/>
        </w:rPr>
        <w:t>issionMember2020-01-282020-01-280000884614ugi:UGIGasMemberugi:PennsylvaniaPublicUtilityCommissionMember2020-10-082020-10-080000884614ugi:PublicUtilityRequestedRateIncreaseTermOneMemberugi:UGIGasMemberugi:PennsylvaniaPublicUtilityCommissionMember2020-10-082</w:t>
      </w:r>
      <w:r>
        <w:rPr>
          <w:rFonts w:eastAsia="Times New Roman"/>
          <w:vanish/>
        </w:rPr>
        <w:t>020-10-080000884614ugi:PublicUtilityRequestedRateIncreaseTermTwoMemberugi:UGIGasMemberugi:PennsylvaniaPublicUtilityCommissionMember2020-10-082020-10-080000884614ugi:UGIGasMemberugi:PennsylvaniaPublicUtilityCommissionMember2020-10-080000884614ugi:UGIGasMemb</w:t>
      </w:r>
      <w:r>
        <w:rPr>
          <w:rFonts w:eastAsia="Times New Roman"/>
          <w:vanish/>
        </w:rPr>
        <w:t>erugi:PennsylvaniaPublicUtilityCommissionMember2019-01-282019-01-280000884614ugi:UGIGasMemberugi:PennsylvaniaPublicUtilityCommissionMember2019-10-112019-10-110000884614ugi:TermLoanMemberugi:UGICorporationSeniorCreditFacilityMember2021-05-032021-05-03000088</w:t>
      </w:r>
      <w:r>
        <w:rPr>
          <w:rFonts w:eastAsia="Times New Roman"/>
          <w:vanish/>
        </w:rPr>
        <w:t>4614ugi:TermLoanMemberugi:UGICorporationSeniorCreditFacilityMember2021-05-030000884614ugi:TermLoanMemberugi:UGICorporationSeniorCreditFacilityMember2021-05-042021-05-040000884614ugi:TermLoanMemberugi:UGICorporationSeniorCreditFacilityMember2021-06-08000088</w:t>
      </w:r>
      <w:r>
        <w:rPr>
          <w:rFonts w:eastAsia="Times New Roman"/>
          <w:vanish/>
        </w:rPr>
        <w:t>4614ugi:TermLoanMemberugi:UGICorporationSeniorCreditFacilityMember2021-06-090000884614us-gaap:LineOfCreditMembersrt:MinimumMemberus-gaap:PrimeRateMemberugi:UGICorporationSeniorCreditFacilityMember2021-05-042021-05-040000884614srt:MaximumMemberus-gaap:LineO</w:t>
      </w:r>
      <w:r>
        <w:rPr>
          <w:rFonts w:eastAsia="Times New Roman"/>
          <w:vanish/>
        </w:rPr>
        <w:t>fCreditMemberus-gaap:PrimeRateMemberugi:UGICorporationSeniorCreditFacilityMember2021-05-042021-05-040000884614us-gaap:LineOfCreditMembersrt:MinimumMemberus-gaap:LondonInterbankOfferedRateLIBORMemberugi:UGICorporationSeniorCreditFacilityMember2021-05-042021</w:t>
      </w:r>
      <w:r>
        <w:rPr>
          <w:rFonts w:eastAsia="Times New Roman"/>
          <w:vanish/>
        </w:rPr>
        <w:t>-05-040000884614srt:MaximumMemberus-gaap:LineOfCreditMemberus-gaap:LondonInterbankOfferedRateLIBORMemberugi:UGICorporationSeniorCreditFacilityMember2021-05-042021-05-040000884614us-gaap:LineOfCreditMemberugi:UGICorporationSeniorCreditFacilityMember2021-05-</w:t>
      </w:r>
      <w:r>
        <w:rPr>
          <w:rFonts w:eastAsia="Times New Roman"/>
          <w:vanish/>
        </w:rPr>
        <w:t>040000884614us-gaap:LineOfCreditMemberus-gaap:RevolvingCreditFacilityMember2020-10-012021-06-300000884614us-gaap:LineOfCreditMemberus-gaap:RevolvingCreditFacilityMember2021-06-300000884614us-gaap:LineOfCreditMemberus-gaap:SubsequentEventMemberus-gaap:Revol</w:t>
      </w:r>
      <w:r>
        <w:rPr>
          <w:rFonts w:eastAsia="Times New Roman"/>
          <w:vanish/>
        </w:rPr>
        <w:t>vingCreditFacilityMember2021-07-092021-07-090000884614us-gaap:ScenarioPlanMemberus-gaap:SeniorNotesMemberugi:UgiUtilitiesMemberugi:A159SeniorNotesDueJune2026Member2021-05-070000884614us-gaap:ScenarioPlanMemberus-gaap:SeniorNotesMemberugi:UgiUtilitiesMember</w:t>
      </w:r>
      <w:r>
        <w:rPr>
          <w:rFonts w:eastAsia="Times New Roman"/>
          <w:vanish/>
        </w:rPr>
        <w:t>ugi:A164SeniorNotesDueSeptember2026Member2021-05-070000884614us-gaap:SeniorNotesMemberugi:UgiUtilitiesMemberugi:A159SeniorNotesDueJune2026Member2021-06-150000884614us-gaap:SeniorNotesMemberugi:UgiUtilitiesMemberugi:UGICorporationSeniorCreditFacilityMember2</w:t>
      </w:r>
      <w:r>
        <w:rPr>
          <w:rFonts w:eastAsia="Times New Roman"/>
          <w:vanish/>
        </w:rPr>
        <w:t>021-05-070000884614us-gaap:CapitalUnitsMemberus-gaap:PreferredStockMember2021-05-252021-05-250000884614us-gaap:PreferredStockMemberus-gaap:ConvertiblePreferredStockMember2021-05-252021-05-250000884614us-gaap:PreferredStockMemberus-gaap:ConvertiblePreferred</w:t>
      </w:r>
      <w:r>
        <w:rPr>
          <w:rFonts w:eastAsia="Times New Roman"/>
          <w:vanish/>
        </w:rPr>
        <w:t>StockMember2021-05-250000884614us-gaap:LineOfCreditMemberus-gaap:RevolvingCreditFacilityMember2021-05-252021-05-250000884614us-gaap:LineOfCreditMemberus-gaap:RevolvingCreditFacilityMember2021-05-250000884614us-gaap:ConvertiblePreferredStockMember2021-05-25</w:t>
      </w:r>
      <w:r>
        <w:rPr>
          <w:rFonts w:eastAsia="Times New Roman"/>
          <w:vanish/>
        </w:rPr>
        <w:t>2021-05-2500008846142021-05-250000884614us-gaap:ConvertiblePreferredStockMember2021-05-250000884614ugi:A2024PurchaseContractsMembersrt:ScenarioForecastMember2024-06-012024-06-010000884614ugi:A2024PurchaseContractsMember2021-05-252021-05-250000884614ugi:A20</w:t>
      </w:r>
      <w:r>
        <w:rPr>
          <w:rFonts w:eastAsia="Times New Roman"/>
          <w:vanish/>
        </w:rPr>
        <w:t>24PurchaseContractsMember2021-05-2500008846142021-05-17ugi:subsidiary0000884614ugi:PNGandCPGMemberugi:UgiUtilitiesMember2021-06-300000884614ugi:CPGCOA.PNGCOAandUGIGasCOAMember2021-06-300000884614ugi:CPGCOA.PNGCOAandUGIGasCOAMember2020-09-300000884614ugi:CP</w:t>
      </w:r>
      <w:r>
        <w:rPr>
          <w:rFonts w:eastAsia="Times New Roman"/>
          <w:vanish/>
        </w:rPr>
        <w:t>GCOA.PNGCOAandUGIGasCOAMember2020-06-30ugi:record_of_decision0000884614ugi:AmeriGasOLPMemberugi:NewYorkStateDepartmentOfEnvironmentConservationRecordOfDecisionMemberugi:SaranacLakeNewYorkMember2016-10-012017-09-300000884614ugi:AmeriGasOLPMemberugi:NewYorkS</w:t>
      </w:r>
      <w:r>
        <w:rPr>
          <w:rFonts w:eastAsia="Times New Roman"/>
          <w:vanish/>
        </w:rPr>
        <w:t>tateDepartmentOfEnvironmentConservationRecordOfDecisionMemberugi:SaranacLakeNewYorkMember2017-09-300000884614ugi:AmeriGasOLPMemberugi:NewYorkStateDepartmentOfEnvironmentConservationRecordOfDecisionMemberugi:SaranacLakeNewYorkMember2021-06-30utr:lb000088461</w:t>
      </w:r>
      <w:r>
        <w:rPr>
          <w:rFonts w:eastAsia="Times New Roman"/>
          <w:vanish/>
        </w:rPr>
        <w:t>42007-01-012007-12-3100008846142008-01-012008-12-310000884614us-gaap:PensionPlansDefinedBenefitMember2021-04-012021-06-300000884614us-gaap:PensionPlansDefinedBenefitMember2020-04-012020-06-300000884614us-gaap:PensionPlansDefinedBenefitMember2020-10-012021-</w:t>
      </w:r>
      <w:r>
        <w:rPr>
          <w:rFonts w:eastAsia="Times New Roman"/>
          <w:vanish/>
        </w:rPr>
        <w:t>06-300000884614us-gaap:PensionPlansDefinedBenefitMember2019-10-012020-06-300000884614us-gaap:CommodityContractMemberus-gaap:FairValueMeasurementsRecurringMemberus-gaap:FairValueInputsLevel1Member2021-06-300000884614us-gaap:FairValueInputsLevel2Memberus-gaa</w:t>
      </w:r>
      <w:r>
        <w:rPr>
          <w:rFonts w:eastAsia="Times New Roman"/>
          <w:vanish/>
        </w:rPr>
        <w:t>p:CommodityContractMemberus-gaap:FairValueMeasurementsRecurringMember2021-06-300000884614us-gaap:CommodityContractMemberus-gaap:FairValueInputsLevel3Memberus-gaap:FairValueMeasurementsRecurringMember2021-06-300000884614us-gaap:CommodityContractMemberus-gaa</w:t>
      </w:r>
      <w:r>
        <w:rPr>
          <w:rFonts w:eastAsia="Times New Roman"/>
          <w:vanish/>
        </w:rPr>
        <w:t>p:FairValueMeasurementsRecurringMember2021-06-300000884614us-gaap:FairValueMeasurementsRecurringMemberus-gaap:FairValueInputsLevel1Memberus-gaap:ForeignExchangeContractMember2021-06-300000884614us-gaap:FairValueInputsLevel2Memberus-gaap:FairValueMeasuremen</w:t>
      </w:r>
      <w:r>
        <w:rPr>
          <w:rFonts w:eastAsia="Times New Roman"/>
          <w:vanish/>
        </w:rPr>
        <w:t>tsRecurringMemberus-gaap:ForeignExchangeContractMember2021-06-300000884614us-gaap:FairValueInputsLevel3Memberus-gaap:FairValueMeasurementsRecurringMemberus-gaap:ForeignExchangeContractMember2021-06-300000884614us-gaap:FairValueMeasurementsRecurringMemberus</w:t>
      </w:r>
      <w:r>
        <w:rPr>
          <w:rFonts w:eastAsia="Times New Roman"/>
          <w:vanish/>
        </w:rPr>
        <w:t>-gaap:ForeignExchangeContractMember2021-06-300000884614us-gaap:InterestRateContractMemberus-gaap:FairValueMeasurementsRecurringMemberus-gaap:FairValueInputsLevel1Member2021-06-300000884614us-gaap:FairValueInputsLevel2Memberus-gaap:InterestRateContractMembe</w:t>
      </w:r>
      <w:r>
        <w:rPr>
          <w:rFonts w:eastAsia="Times New Roman"/>
          <w:vanish/>
        </w:rPr>
        <w:t>rus-gaap:FairValueMeasurementsRecurringMember2021-06-300000884614us-gaap:FairValueInputsLevel3Memberus-gaap:InterestRateContractMemberus-gaap:FairValueMeasurementsRecurringMember2021-06-300000884614us-gaap:InterestRateContractMemberus-gaap:FairValueMeasure</w:t>
      </w:r>
      <w:r>
        <w:rPr>
          <w:rFonts w:eastAsia="Times New Roman"/>
          <w:vanish/>
        </w:rPr>
        <w:t>mentsRecurringMember2021-06-300000884614us-gaap:FairValueMeasurementsRecurringMemberus-gaap:FairValueInputsLevel1Member2021-06-300000884614us-gaap:FairValueInputsLevel2Memberus-gaap:FairValueMeasurementsRecurringMember2021-06-300000884614us-gaap:FairValueI</w:t>
      </w:r>
      <w:r>
        <w:rPr>
          <w:rFonts w:eastAsia="Times New Roman"/>
          <w:vanish/>
        </w:rPr>
        <w:t>nputsLevel3Memberus-gaap:FairValueMeasurementsRecurringMember2021-06-300000884614us-gaap:FairValueMeasurementsRecurringMember2021-06-300000884614us-gaap:CommodityContractMemberus-gaap:FairValueMeasurementsRecurringMemberus-gaap:FairValueInputsLevel1Member2</w:t>
      </w:r>
      <w:r>
        <w:rPr>
          <w:rFonts w:eastAsia="Times New Roman"/>
          <w:vanish/>
        </w:rPr>
        <w:t>020-09-300000884614us-gaap:FairValueInputsLevel2Memberus-gaap:CommodityContractMemberus-gaap:FairValueMeasurementsRecurringMember2020-09-300000884614us-gaap:CommodityContractMemberus-gaap:FairValueInputsLevel3Memberus-gaap:FairValueMeasurementsRecurringMem</w:t>
      </w:r>
      <w:r>
        <w:rPr>
          <w:rFonts w:eastAsia="Times New Roman"/>
          <w:vanish/>
        </w:rPr>
        <w:t>ber2020-09-300000884614us-gaap:CommodityContractMemberus-gaap:FairValueMeasurementsRecurringMember2020-09-300000884614us-gaap:FairValueMeasurementsRecurringMemberus-gaap:FairValueInputsLevel1Memberus-gaap:ForeignExchangeContractMember2020-09-300000884614us</w:t>
      </w:r>
      <w:r>
        <w:rPr>
          <w:rFonts w:eastAsia="Times New Roman"/>
          <w:vanish/>
        </w:rPr>
        <w:t>-gaap:FairValueInputsLevel2Memberus-gaap:FairValueMeasurementsRecurringMemberus-gaap:ForeignExchangeContractMember2020-09-300000884614us-gaap:FairValueInputsLevel3Memberus-gaap:FairValueMeasurementsRecurringMemberus-gaap:ForeignExchangeContractMember2020-0</w:t>
      </w:r>
      <w:r>
        <w:rPr>
          <w:rFonts w:eastAsia="Times New Roman"/>
          <w:vanish/>
        </w:rPr>
        <w:t>9-300000884614us-gaap:FairValueMeasurementsRecurringMemberus-gaap:ForeignExchangeContractMember2020-09-300000884614us-gaap:InterestRateContractMemberus-gaap:FairValueMeasurementsRecurringMemberus-gaap:FairValueInputsLevel1Member2020-09-300000884614us-gaap:</w:t>
      </w:r>
      <w:r>
        <w:rPr>
          <w:rFonts w:eastAsia="Times New Roman"/>
          <w:vanish/>
        </w:rPr>
        <w:t>FairValueInputsLevel2Memberus-gaap:InterestRateContractMemberus-gaap:FairValueMeasurementsRecurringMember2020-09-300000884614us-gaap:FairValueInputsLevel3Memberus-gaap:InterestRateContractMemberus-gaap:FairValueMeasurementsRecurringMember2020-09-3000008846</w:t>
      </w:r>
      <w:r>
        <w:rPr>
          <w:rFonts w:eastAsia="Times New Roman"/>
          <w:vanish/>
        </w:rPr>
        <w:t>14us-gaap:InterestRateContractMemberus-gaap:FairValueMeasurementsRecurringMember2020-09-300000884614us-gaap:FairValueMeasurementsRecurringMemberus-gaap:FairValueInputsLevel1Member2020-09-300000884614us-gaap:FairValueInputsLevel2Memberus-gaap:FairValueMeasu</w:t>
      </w:r>
      <w:r>
        <w:rPr>
          <w:rFonts w:eastAsia="Times New Roman"/>
          <w:vanish/>
        </w:rPr>
        <w:t>rementsRecurringMember2020-09-300000884614us-gaap:FairValueInputsLevel3Memberus-gaap:FairValueMeasurementsRecurringMember2020-09-300000884614us-gaap:FairValueMeasurementsRecurringMember2020-09-300000884614us-gaap:CommodityContractMemberus-gaap:FairValueMea</w:t>
      </w:r>
      <w:r>
        <w:rPr>
          <w:rFonts w:eastAsia="Times New Roman"/>
          <w:vanish/>
        </w:rPr>
        <w:t>surementsRecurringMemberus-gaap:FairValueInputsLevel1Member2020-06-300000884614us-gaap:FairValueInputsLevel2Memberus-gaap:CommodityContractMemberus-gaap:FairValueMeasurementsRecurringMember2020-06-300000884614us-gaap:CommodityContractMemberus-gaap:FairValu</w:t>
      </w:r>
      <w:r>
        <w:rPr>
          <w:rFonts w:eastAsia="Times New Roman"/>
          <w:vanish/>
        </w:rPr>
        <w:t>eInputsLevel3Memberus-gaap:FairValueMeasurementsRecurringMember2020-06-300000884614us-gaap:CommodityContractMemberus-gaap:FairValueMeasurementsRecurringMember2020-06-300000884614us-gaap:FairValueMeasurementsRecurringMemberus-gaap:FairValueInputsLevel1Membe</w:t>
      </w:r>
      <w:r>
        <w:rPr>
          <w:rFonts w:eastAsia="Times New Roman"/>
          <w:vanish/>
        </w:rPr>
        <w:t>rus-gaap:ForeignExchangeContractMember2020-06-300000884614us-gaap:FairValueInputsLevel2Memberus-gaap:FairValueMeasurementsRecurringMemberus-gaap:ForeignExchangeContractMember2020-06-300000884614us-gaap:FairValueInputsLevel3Memberus-gaap:FairValueMeasuremen</w:t>
      </w:r>
      <w:r>
        <w:rPr>
          <w:rFonts w:eastAsia="Times New Roman"/>
          <w:vanish/>
        </w:rPr>
        <w:t>tsRecurringMemberus-gaap:ForeignExchangeContractMember2020-06-300000884614us-gaap:FairValueMeasurementsRecurringMemberus-gaap:ForeignExchangeContractMember2020-06-300000884614us-gaap:InterestRateContractMemberus-gaap:FairValueMeasurementsRecurringMemberus-</w:t>
      </w:r>
      <w:r>
        <w:rPr>
          <w:rFonts w:eastAsia="Times New Roman"/>
          <w:vanish/>
        </w:rPr>
        <w:t>gaap:FairValueInputsLevel1Member2020-06-300000884614us-gaap:FairValueInputsLevel2Memberus-gaap:InterestRateContractMemberus-gaap:FairValueMeasurementsRecurringMember2020-06-300000884614us-gaap:FairValueInputsLevel3Memberus-gaap:InterestRateContractMemberus</w:t>
      </w:r>
      <w:r>
        <w:rPr>
          <w:rFonts w:eastAsia="Times New Roman"/>
          <w:vanish/>
        </w:rPr>
        <w:t>-gaap:FairValueMeasurementsRecurringMember2020-06-300000884614us-gaap:InterestRateContractMemberus-gaap:FairValueMeasurementsRecurringMember2020-06-300000884614us-gaap:FairValueMeasurementsRecurringMemberus-gaap:FairValueInputsLevel1Member2020-06-300000884</w:t>
      </w:r>
      <w:r>
        <w:rPr>
          <w:rFonts w:eastAsia="Times New Roman"/>
          <w:vanish/>
        </w:rPr>
        <w:t>614us-gaap:FairValueInputsLevel2Memberus-gaap:FairValueMeasurementsRecurringMember2020-06-300000884614us-gaap:FairValueInputsLevel3Memberus-gaap:FairValueMeasurementsRecurringMember2020-06-300000884614us-gaap:FairValueMeasurementsRecurringMember2020-06-300</w:t>
      </w:r>
      <w:r>
        <w:rPr>
          <w:rFonts w:eastAsia="Times New Roman"/>
          <w:vanish/>
        </w:rPr>
        <w:t>000884614us-gaap:CarryingReportedAmountFairValueDisclosureMember2021-06-300000884614us-gaap:CarryingReportedAmountFairValueDisclosureMember2020-09-300000884614us-gaap:CarryingReportedAmountFairValueDisclosureMember2020-06-300000884614us-gaap:EstimateOfFair</w:t>
      </w:r>
      <w:r>
        <w:rPr>
          <w:rFonts w:eastAsia="Times New Roman"/>
          <w:vanish/>
        </w:rPr>
        <w:t>ValueFairValueDisclosureMember2021-06-300000884614us-gaap:EstimateOfFairValueFairValueDisclosureMember2020-09-300000884614us-gaap:EstimateOfFairValueFairValueDisclosureMember2020-06-30ugi:agreement0000884614ugi:ForwardStartingPayFixedReceiveVariableInteres</w:t>
      </w:r>
      <w:r>
        <w:rPr>
          <w:rFonts w:eastAsia="Times New Roman"/>
          <w:vanish/>
        </w:rPr>
        <w:t>tRateSwapAgreementMember2021-06-300000884614ugi:ForwardStartingPayFixedReceiveVariableInterestRateSwapAgreementMemberus-gaap:DesignatedAsHedgingInstrumentMember2021-06-300000884614ugi:InterestRateProtectionAgreementsMember2021-06-300000884614ugi:InterestRa</w:t>
      </w:r>
      <w:r>
        <w:rPr>
          <w:rFonts w:eastAsia="Times New Roman"/>
          <w:vanish/>
        </w:rPr>
        <w:t>teProtectionAgreementsMember2020-06-300000884614ugi:InterestRateProtectionAgreementsMember2020-09-300000884614us-gaap:ForeignExchangeForwardMember2021-06-30ugi:DTH0000884614us-gaap:CommodityContractMemberus-gaap:RegulatedOperationMemberugi:NaturalGasMember</w:t>
      </w:r>
      <w:r>
        <w:rPr>
          <w:rFonts w:eastAsia="Times New Roman"/>
          <w:vanish/>
        </w:rPr>
        <w:t>2021-06-300000884614us-gaap:CommodityContractMemberus-gaap:RegulatedOperationMemberugi:NaturalGasMember2020-09-300000884614us-gaap:CommodityContractMemberus-gaap:RegulatedOperationMemberugi:NaturalGasMember2020-06-30utr:gal0000884614us-gaap:CommodityContra</w:t>
      </w:r>
      <w:r>
        <w:rPr>
          <w:rFonts w:eastAsia="Times New Roman"/>
          <w:vanish/>
        </w:rPr>
        <w:t>ctMemberus-gaap:UnregulatedOperationMemberus-gaap:PublicUtilitiesInventoryPropaneMember2021-06-300000884614us-gaap:CommodityContractMemberus-gaap:UnregulatedOperationMemberus-gaap:PublicUtilitiesInventoryPropaneMember2020-09-300000884614us-gaap:CommodityCo</w:t>
      </w:r>
      <w:r>
        <w:rPr>
          <w:rFonts w:eastAsia="Times New Roman"/>
          <w:vanish/>
        </w:rPr>
        <w:t>ntractMemberus-gaap:UnregulatedOperationMemberus-gaap:PublicUtilitiesInventoryPropaneMember2020-06-300000884614us-gaap:UnregulatedOperationMemberugi:NaturalGasFuturesForwardAndPipelineContractsMemberugi:NaturalGasMember2021-06-300000884614us-gaap:Unregulat</w:t>
      </w:r>
      <w:r>
        <w:rPr>
          <w:rFonts w:eastAsia="Times New Roman"/>
          <w:vanish/>
        </w:rPr>
        <w:t>edOperationMemberugi:NaturalGasFuturesForwardAndPipelineContractsMemberugi:NaturalGasMember2020-09-300000884614us-gaap:UnregulatedOperationMemberugi:NaturalGasFuturesForwardAndPipelineContractsMemberugi:NaturalGasMember2020-06-30utr:kWh0000884614us-gaap:Lo</w:t>
      </w:r>
      <w:r>
        <w:rPr>
          <w:rFonts w:eastAsia="Times New Roman"/>
          <w:vanish/>
        </w:rPr>
        <w:t>ngMemberus-gaap:CommodityContractMemberus-gaap:UnregulatedOperationMemberus-gaap:ElectricityMember2021-06-300000884614us-gaap:LongMemberus-gaap:CommodityContractMemberus-gaap:UnregulatedOperationMemberus-gaap:ElectricityMember2020-09-300000884614us-gaap:Lo</w:t>
      </w:r>
      <w:r>
        <w:rPr>
          <w:rFonts w:eastAsia="Times New Roman"/>
          <w:vanish/>
        </w:rPr>
        <w:t>ngMemberus-gaap:CommodityContractMemberus-gaap:UnregulatedOperationMemberus-gaap:ElectricityMember2020-06-30iso4217:EUR0000884614us-gaap:InterestRateSwapMember2021-06-300000884614us-gaap:InterestRateSwapMember2020-09-300000884614us-gaap:InterestRateSwapMem</w:t>
      </w:r>
      <w:r>
        <w:rPr>
          <w:rFonts w:eastAsia="Times New Roman"/>
          <w:vanish/>
        </w:rPr>
        <w:t>ber2020-06-300000884614us-gaap:ForeignExchangeContractMember2021-06-300000884614us-gaap:ForeignExchangeContractMember2020-09-300000884614us-gaap:ForeignExchangeContractMember2020-06-300000884614us-gaap:DesignatedAsHedgingInstrumentMemberus-gaap:ForeignExch</w:t>
      </w:r>
      <w:r>
        <w:rPr>
          <w:rFonts w:eastAsia="Times New Roman"/>
          <w:vanish/>
        </w:rPr>
        <w:t>angeContractMember2021-06-300000884614us-gaap:DesignatedAsHedgingInstrumentMemberus-gaap:ForeignExchangeContractMember2020-09-300000884614us-gaap:DesignatedAsHedgingInstrumentMemberus-gaap:ForeignExchangeContractMember2020-06-300000884614us-gaap:CommodityC</w:t>
      </w:r>
      <w:r>
        <w:rPr>
          <w:rFonts w:eastAsia="Times New Roman"/>
          <w:vanish/>
        </w:rPr>
        <w:t>ontractMember2021-06-300000884614us-gaap:CommodityContractMember2020-09-300000884614us-gaap:CommodityContractMember2020-06-300000884614us-gaap:CommodityContractMemberus-gaap:NondesignatedMember2021-06-300000884614us-gaap:CommodityContractMemberus-gaap:Nond</w:t>
      </w:r>
      <w:r>
        <w:rPr>
          <w:rFonts w:eastAsia="Times New Roman"/>
          <w:vanish/>
        </w:rPr>
        <w:t>esignatedMember2020-09-300000884614us-gaap:CommodityContractMemberus-gaap:NondesignatedMember2020-06-300000884614us-gaap:NondesignatedMemberus-gaap:ForeignExchangeContractMember2021-06-300000884614us-gaap:NondesignatedMemberus-gaap:ForeignExchangeContractM</w:t>
      </w:r>
      <w:r>
        <w:rPr>
          <w:rFonts w:eastAsia="Times New Roman"/>
          <w:vanish/>
        </w:rPr>
        <w:t>ember2020-09-300000884614us-gaap:NondesignatedMemberus-gaap:ForeignExchangeContractMember2020-06-300000884614us-gaap:NondesignatedMember2021-06-300000884614us-gaap:NondesignatedMember2020-09-300000884614us-gaap:NondesignatedMember2020-06-300000884614us-gaa</w:t>
      </w:r>
      <w:r>
        <w:rPr>
          <w:rFonts w:eastAsia="Times New Roman"/>
          <w:vanish/>
        </w:rPr>
        <w:t>p:InterestRateContractMemberus-gaap:DesignatedAsHedgingInstrumentMember2021-06-300000884614us-gaap:InterestRateContractMemberus-gaap:DesignatedAsHedgingInstrumentMember2020-09-300000884614us-gaap:InterestRateContractMemberus-gaap:DesignatedAsHedgingInstrum</w:t>
      </w:r>
      <w:r>
        <w:rPr>
          <w:rFonts w:eastAsia="Times New Roman"/>
          <w:vanish/>
        </w:rPr>
        <w:t>entMember2020-06-300000884614us-gaap:InterestRateContractMemberus-gaap:DesignatedAsHedgingInstrumentMemberus-gaap:CashFlowHedgingMember2021-04-012021-06-300000884614us-gaap:InterestRateContractMemberus-gaap:DesignatedAsHedgingInstrumentMemberus-gaap:CashFl</w:t>
      </w:r>
      <w:r>
        <w:rPr>
          <w:rFonts w:eastAsia="Times New Roman"/>
          <w:vanish/>
        </w:rPr>
        <w:t>owHedgingMember2020-04-012020-06-300000884614us-gaap:InterestExpenseMemberus-gaap:InterestRateContractMemberus-gaap:DesignatedAsHedgingInstrumentMemberus-gaap:CashFlowHedgingMember2021-04-012021-06-300000884614us-gaap:InterestExpenseMemberus-gaap:InterestR</w:t>
      </w:r>
      <w:r>
        <w:rPr>
          <w:rFonts w:eastAsia="Times New Roman"/>
          <w:vanish/>
        </w:rPr>
        <w:t>ateContractMemberus-gaap:DesignatedAsHedgingInstrumentMemberus-gaap:CashFlowHedgingMember2020-04-012020-06-300000884614us-gaap:NetInvestmentHedgingMemberus-gaap:DesignatedAsHedgingInstrumentMemberus-gaap:ForeignExchangeContractMember2021-04-012021-06-30000</w:t>
      </w:r>
      <w:r>
        <w:rPr>
          <w:rFonts w:eastAsia="Times New Roman"/>
          <w:vanish/>
        </w:rPr>
        <w:t>0884614us-gaap:NetInvestmentHedgingMemberus-gaap:DesignatedAsHedgingInstrumentMemberus-gaap:ForeignExchangeContractMember2020-04-012020-06-300000884614us-gaap:CommodityContractMemberus-gaap:SalesRevenueNetMemberus-gaap:NondesignatedMember2021-04-012021-06-</w:t>
      </w:r>
      <w:r>
        <w:rPr>
          <w:rFonts w:eastAsia="Times New Roman"/>
          <w:vanish/>
        </w:rPr>
        <w:t>300000884614us-gaap:CommodityContractMemberus-gaap:SalesRevenueNetMemberus-gaap:NondesignatedMember2020-04-012020-06-300000884614us-gaap:CommodityContractMemberus-gaap:CostOfSalesMemberus-gaap:NondesignatedMember2021-04-012021-06-300000884614us-gaap:Commod</w:t>
      </w:r>
      <w:r>
        <w:rPr>
          <w:rFonts w:eastAsia="Times New Roman"/>
          <w:vanish/>
        </w:rPr>
        <w:t>ityContractMemberus-gaap:CostOfSalesMemberus-gaap:NondesignatedMember2020-04-012020-06-300000884614us-gaap:CommodityContractMemberugi:OperatingExpensesAndOtherIncomeMemberus-gaap:NondesignatedMember2021-04-012021-06-300000884614us-gaap:CommodityContractMem</w:t>
      </w:r>
      <w:r>
        <w:rPr>
          <w:rFonts w:eastAsia="Times New Roman"/>
          <w:vanish/>
        </w:rPr>
        <w:t>berugi:OperatingExpensesAndOtherIncomeMemberus-gaap:NondesignatedMember2020-04-012020-06-300000884614us-gaap:OtherIncomeMemberus-gaap:NondesignatedMemberus-gaap:ForeignExchangeContractMember2021-04-012021-06-300000884614us-gaap:OtherIncomeMemberus-gaap:Non</w:t>
      </w:r>
      <w:r>
        <w:rPr>
          <w:rFonts w:eastAsia="Times New Roman"/>
          <w:vanish/>
        </w:rPr>
        <w:t>designatedMemberus-gaap:ForeignExchangeContractMember2020-04-012020-06-300000884614us-gaap:NondesignatedMember2021-04-012021-06-300000884614us-gaap:NondesignatedMember2020-04-012020-06-300000884614us-gaap:InterestRateContractMemberus-gaap:DesignatedAsHedgi</w:t>
      </w:r>
      <w:r>
        <w:rPr>
          <w:rFonts w:eastAsia="Times New Roman"/>
          <w:vanish/>
        </w:rPr>
        <w:t>ngInstrumentMemberus-gaap:CashFlowHedgingMember2020-10-012021-06-300000884614us-gaap:InterestRateContractMemberus-gaap:DesignatedAsHedgingInstrumentMemberus-gaap:CashFlowHedgingMember2019-10-012020-06-300000884614us-gaap:InterestExpenseMemberus-gaap:Intere</w:t>
      </w:r>
      <w:r>
        <w:rPr>
          <w:rFonts w:eastAsia="Times New Roman"/>
          <w:vanish/>
        </w:rPr>
        <w:t>stRateContractMemberus-gaap:DesignatedAsHedgingInstrumentMemberus-gaap:CashFlowHedgingMember2020-10-012021-06-300000884614us-gaap:InterestExpenseMemberus-gaap:InterestRateContractMemberus-gaap:DesignatedAsHedgingInstrumentMemberus-gaap:CashFlowHedgingMembe</w:t>
      </w:r>
      <w:r>
        <w:rPr>
          <w:rFonts w:eastAsia="Times New Roman"/>
          <w:vanish/>
        </w:rPr>
        <w:t>r2019-10-012020-06-300000884614us-gaap:NetInvestmentHedgingMemberus-gaap:DesignatedAsHedgingInstrumentMemberus-gaap:ForeignExchangeContractMember2020-10-012021-06-300000884614us-gaap:NetInvestmentHedgingMemberus-gaap:DesignatedAsHedgingInstrumentMemberus-g</w:t>
      </w:r>
      <w:r>
        <w:rPr>
          <w:rFonts w:eastAsia="Times New Roman"/>
          <w:vanish/>
        </w:rPr>
        <w:t>aap:ForeignExchangeContractMember2019-10-012020-06-300000884614us-gaap:CommodityContractMemberus-gaap:SalesRevenueNetMemberus-gaap:NondesignatedMember2020-10-012021-06-300000884614us-gaap:CommodityContractMemberus-gaap:SalesRevenueNetMemberus-gaap:Nondesig</w:t>
      </w:r>
      <w:r>
        <w:rPr>
          <w:rFonts w:eastAsia="Times New Roman"/>
          <w:vanish/>
        </w:rPr>
        <w:t>natedMember2019-10-012020-06-300000884614us-gaap:CommodityContractMemberus-gaap:CostOfSalesMemberus-gaap:NondesignatedMember2020-10-012021-06-300000884614us-gaap:CommodityContractMemberus-gaap:CostOfSalesMemberus-gaap:NondesignatedMember2019-10-012020-06-3</w:t>
      </w:r>
      <w:r>
        <w:rPr>
          <w:rFonts w:eastAsia="Times New Roman"/>
          <w:vanish/>
        </w:rPr>
        <w:t>00000884614us-gaap:CommodityContractMemberugi:OperatingExpensesAndOtherIncomeMemberus-gaap:NondesignatedMember2020-10-012021-06-300000884614us-gaap:CommodityContractMemberugi:OperatingExpensesAndOtherIncomeMemberus-gaap:NondesignatedMember2019-10-012020-06</w:t>
      </w:r>
      <w:r>
        <w:rPr>
          <w:rFonts w:eastAsia="Times New Roman"/>
          <w:vanish/>
        </w:rPr>
        <w:t>-300000884614us-gaap:CommodityContractMemberus-gaap:OtherOperatingIncomeExpenseMemberus-gaap:NondesignatedMember2020-10-012021-06-300000884614us-gaap:CommodityContractMemberus-gaap:OtherOperatingIncomeExpenseMemberus-gaap:NondesignatedMember2019-10-012020-</w:t>
      </w:r>
      <w:r>
        <w:rPr>
          <w:rFonts w:eastAsia="Times New Roman"/>
          <w:vanish/>
        </w:rPr>
        <w:t>06-300000884614us-gaap:OtherIncomeMemberus-gaap:NondesignatedMemberus-gaap:ForeignExchangeContractMember2020-10-012021-06-300000884614us-gaap:OtherIncomeMemberus-gaap:NondesignatedMemberus-gaap:ForeignExchangeContractMember2019-10-012020-06-300000884614us-</w:t>
      </w:r>
      <w:r>
        <w:rPr>
          <w:rFonts w:eastAsia="Times New Roman"/>
          <w:vanish/>
        </w:rPr>
        <w:t>gaap:NondesignatedMember2020-10-012021-06-300000884614us-gaap:NondesignatedMember2019-10-012020-06-300000884614us-gaap:AccumulatedDefinedBenefitPlansAdjustmentMember2021-03-310000884614us-gaap:AccumulatedGainLossNetCashFlowHedgeParentMember2021-03-31000088</w:t>
      </w:r>
      <w:r>
        <w:rPr>
          <w:rFonts w:eastAsia="Times New Roman"/>
          <w:vanish/>
        </w:rPr>
        <w:t>4614us-gaap:AccumulatedTranslationAdjustmentMember2021-03-310000884614us-gaap:AccumulatedOtherComprehensiveIncomeMember2021-03-310000884614us-gaap:AccumulatedDefinedBenefitPlansAdjustmentMember2021-04-012021-06-300000884614us-gaap:AccumulatedGainLossNetCas</w:t>
      </w:r>
      <w:r>
        <w:rPr>
          <w:rFonts w:eastAsia="Times New Roman"/>
          <w:vanish/>
        </w:rPr>
        <w:t>hFlowHedgeParentMember2021-04-012021-06-300000884614us-gaap:AccumulatedTranslationAdjustmentMember2021-04-012021-06-300000884614us-gaap:AccumulatedDefinedBenefitPlansAdjustmentMember2021-06-300000884614us-gaap:AccumulatedGainLossNetCashFlowHedgeParentMembe</w:t>
      </w:r>
      <w:r>
        <w:rPr>
          <w:rFonts w:eastAsia="Times New Roman"/>
          <w:vanish/>
        </w:rPr>
        <w:t>r2021-06-300000884614us-gaap:AccumulatedTranslationAdjustmentMember2021-06-300000884614us-gaap:AccumulatedOtherComprehensiveIncomeMember2021-06-300000884614us-gaap:AccumulatedDefinedBenefitPlansAdjustmentMember2020-03-310000884614us-gaap:AccumulatedGainLos</w:t>
      </w:r>
      <w:r>
        <w:rPr>
          <w:rFonts w:eastAsia="Times New Roman"/>
          <w:vanish/>
        </w:rPr>
        <w:t>sNetCashFlowHedgeParentMember2020-03-310000884614us-gaap:AccumulatedTranslationAdjustmentMember2020-03-310000884614us-gaap:AccumulatedOtherComprehensiveIncomeMember2020-03-310000884614us-gaap:AccumulatedDefinedBenefitPlansAdjustmentMember2020-04-012020-06-</w:t>
      </w:r>
      <w:r>
        <w:rPr>
          <w:rFonts w:eastAsia="Times New Roman"/>
          <w:vanish/>
        </w:rPr>
        <w:t>300000884614us-gaap:AccumulatedGainLossNetCashFlowHedgeParentMember2020-04-012020-06-300000884614us-gaap:AccumulatedTranslationAdjustmentMember2020-04-012020-06-300000884614us-gaap:AccumulatedDefinedBenefitPlansAdjustmentMember2020-06-300000884614us-gaap:A</w:t>
      </w:r>
      <w:r>
        <w:rPr>
          <w:rFonts w:eastAsia="Times New Roman"/>
          <w:vanish/>
        </w:rPr>
        <w:t>ccumulatedGainLossNetCashFlowHedgeParentMember2020-06-300000884614us-gaap:AccumulatedTranslationAdjustmentMember2020-06-300000884614us-gaap:AccumulatedOtherComprehensiveIncomeMember2020-06-300000884614us-gaap:AccumulatedDefinedBenefitPlansAdjustmentMember2</w:t>
      </w:r>
      <w:r>
        <w:rPr>
          <w:rFonts w:eastAsia="Times New Roman"/>
          <w:vanish/>
        </w:rPr>
        <w:t>020-09-300000884614us-gaap:AccumulatedGainLossNetCashFlowHedgeParentMember2020-09-300000884614us-gaap:AccumulatedTranslationAdjustmentMember2020-09-300000884614us-gaap:AccumulatedOtherComprehensiveIncomeMember2020-09-300000884614us-gaap:AccumulatedDefinedB</w:t>
      </w:r>
      <w:r>
        <w:rPr>
          <w:rFonts w:eastAsia="Times New Roman"/>
          <w:vanish/>
        </w:rPr>
        <w:t>enefitPlansAdjustmentMember2020-10-012021-06-300000884614us-gaap:AccumulatedGainLossNetCashFlowHedgeParentMember2020-10-012021-06-300000884614us-gaap:AccumulatedTranslationAdjustmentMember2020-10-012021-06-300000884614us-gaap:AccumulatedDefinedBenefitPlans</w:t>
      </w:r>
      <w:r>
        <w:rPr>
          <w:rFonts w:eastAsia="Times New Roman"/>
          <w:vanish/>
        </w:rPr>
        <w:t>AdjustmentMember2019-09-300000884614us-gaap:AccumulatedGainLossNetCashFlowHedgeParentMember2019-09-300000884614us-gaap:AccumulatedTranslationAdjustmentMember2019-09-300000884614us-gaap:AccumulatedOtherComprehensiveIncomeMember2019-09-300000884614us-gaap:Ac</w:t>
      </w:r>
      <w:r>
        <w:rPr>
          <w:rFonts w:eastAsia="Times New Roman"/>
          <w:vanish/>
        </w:rPr>
        <w:t>cumulatedDefinedBenefitPlansAdjustmentMember2019-10-012020-06-300000884614us-gaap:AccumulatedGainLossNetCashFlowHedgeParentMember2019-10-012020-06-300000884614us-gaap:AccumulatedTranslationAdjustmentMember2019-10-012020-06-30ugi:segment0000884614ugi:Corpor</w:t>
      </w:r>
      <w:r>
        <w:rPr>
          <w:rFonts w:eastAsia="Times New Roman"/>
          <w:vanish/>
        </w:rPr>
        <w:t>ateAndReconcilingItemsMember2021-04-012021-06-300000884614us-gaap:IntersegmentEliminationMemberugi:AmerigasPropaneMember2021-04-012021-06-300000884614us-gaap:IntersegmentEliminationMemberugi:UGIInternationalMember2021-04-012021-06-300000884614us-gaap:Inter</w:t>
      </w:r>
      <w:r>
        <w:rPr>
          <w:rFonts w:eastAsia="Times New Roman"/>
          <w:vanish/>
        </w:rPr>
        <w:t>segmentEliminationMemberugi:MidstreamAndMarketingMember2021-04-012021-06-300000884614us-gaap:IntersegmentEliminationMemberugi:UgiUtilitiesMember2021-04-012021-06-300000884614ugi:CorporateReconcilingItemsAndEliminationsMember2021-04-012021-06-300000884614ug</w:t>
      </w:r>
      <w:r>
        <w:rPr>
          <w:rFonts w:eastAsia="Times New Roman"/>
          <w:vanish/>
        </w:rPr>
        <w:t>i:CorporateAndReconcilingItemsMember2020-04-012020-06-300000884614us-gaap:IntersegmentEliminationMemberugi:AmerigasPropaneMember2020-04-012020-06-300000884614us-gaap:IntersegmentEliminationMemberugi:UGIInternationalMember2020-04-012020-06-300000884614us-ga</w:t>
      </w:r>
      <w:r>
        <w:rPr>
          <w:rFonts w:eastAsia="Times New Roman"/>
          <w:vanish/>
        </w:rPr>
        <w:t>ap:IntersegmentEliminationMemberugi:MidstreamAndMarketingMember2020-04-012020-06-300000884614us-gaap:IntersegmentEliminationMemberugi:UgiUtilitiesMember2020-04-012020-06-300000884614ugi:CorporateReconcilingItemsAndEliminationsMember2020-04-012020-06-300000</w:t>
      </w:r>
      <w:r>
        <w:rPr>
          <w:rFonts w:eastAsia="Times New Roman"/>
          <w:vanish/>
        </w:rPr>
        <w:t>884614ugi:CorporateAndReconcilingItemsMember2020-10-012021-06-300000884614us-gaap:IntersegmentEliminationMemberugi:AmerigasPropaneMember2020-10-012021-06-300000884614us-gaap:IntersegmentEliminationMemberugi:UGIInternationalMember2020-10-012021-06-300000884</w:t>
      </w:r>
      <w:r>
        <w:rPr>
          <w:rFonts w:eastAsia="Times New Roman"/>
          <w:vanish/>
        </w:rPr>
        <w:t>614us-gaap:IntersegmentEliminationMemberugi:MidstreamAndMarketingMember2020-10-012021-06-300000884614us-gaap:IntersegmentEliminationMemberugi:UgiUtilitiesMember2020-10-012021-06-300000884614ugi:CorporateReconcilingItemsAndEliminationsMember2020-10-012021-0</w:t>
      </w:r>
      <w:r>
        <w:rPr>
          <w:rFonts w:eastAsia="Times New Roman"/>
          <w:vanish/>
        </w:rPr>
        <w:t>6-300000884614us-gaap:IntersegmentEliminationMember2021-06-300000884614us-gaap:OperatingSegmentsMemberugi:AmerigasPropaneMember2021-06-300000884614us-gaap:OperatingSegmentsMemberugi:UGIInternationalMember2021-06-300000884614ugi:MidstreamAndMarketingMemberu</w:t>
      </w:r>
      <w:r>
        <w:rPr>
          <w:rFonts w:eastAsia="Times New Roman"/>
          <w:vanish/>
        </w:rPr>
        <w:t>s-gaap:OperatingSegmentsMember2021-06-300000884614us-gaap:OperatingSegmentsMemberugi:UgiUtilitiesMember2021-06-300000884614ugi:CorporateAndReconcilingItemsMember2021-06-300000884614ugi:CorporateAndReconcilingItemsMember2019-10-012020-06-300000884614us-gaap</w:t>
      </w:r>
      <w:r>
        <w:rPr>
          <w:rFonts w:eastAsia="Times New Roman"/>
          <w:vanish/>
        </w:rPr>
        <w:t>:IntersegmentEliminationMemberugi:AmerigasPropaneMember2019-10-012020-06-300000884614us-gaap:IntersegmentEliminationMemberugi:UGIInternationalMember2019-10-012020-06-300000884614us-gaap:IntersegmentEliminationMemberugi:MidstreamAndMarketingMember2019-10-01</w:t>
      </w:r>
      <w:r>
        <w:rPr>
          <w:rFonts w:eastAsia="Times New Roman"/>
          <w:vanish/>
        </w:rPr>
        <w:t>2020-06-300000884614us-gaap:IntersegmentEliminationMemberugi:UgiUtilitiesMember2019-10-012020-06-300000884614ugi:CorporateReconcilingItemsAndEliminationsMember2019-10-012020-06-300000884614us-gaap:IntersegmentEliminationMember2020-06-300000884614us-gaap:Op</w:t>
      </w:r>
      <w:r>
        <w:rPr>
          <w:rFonts w:eastAsia="Times New Roman"/>
          <w:vanish/>
        </w:rPr>
        <w:t>eratingSegmentsMemberugi:AmerigasPropaneMember2020-06-300000884614us-gaap:OperatingSegmentsMemberugi:UGIInternationalMember2020-06-300000884614ugi:MidstreamAndMarketingMemberus-gaap:OperatingSegmentsMember2020-06-300000884614us-gaap:OperatingSegmentsMember</w:t>
      </w:r>
      <w:r>
        <w:rPr>
          <w:rFonts w:eastAsia="Times New Roman"/>
          <w:vanish/>
        </w:rPr>
        <w:t>ugi:UgiUtilitiesMember2020-06-300000884614ugi:CorporateAndReconcilingItemsMember2020-06-300000884614us-gaap:SalesMemberugi:AmerigasPropaneMember2021-04-012021-06-300000884614ugi:UGIInternationalMemberus-gaap:SalesMember2021-04-012021-06-300000884614ugi:Mid</w:t>
      </w:r>
      <w:r>
        <w:rPr>
          <w:rFonts w:eastAsia="Times New Roman"/>
          <w:vanish/>
        </w:rPr>
        <w:t>streamAndMarketingMemberus-gaap:SalesMember2021-04-012021-06-300000884614us-gaap:CostOfSalesMemberugi:AmerigasPropaneMember2021-04-012021-06-300000884614us-gaap:CostOfSalesMemberugi:UGIInternationalMember2021-04-012021-06-300000884614us-gaap:CostOfSalesMem</w:t>
      </w:r>
      <w:r>
        <w:rPr>
          <w:rFonts w:eastAsia="Times New Roman"/>
          <w:vanish/>
        </w:rPr>
        <w:t>berugi:MidstreamAndMarketingMember2021-04-012021-06-300000884614us-gaap:OtherNonoperatingIncomeExpenseMemberugi:AmerigasPropaneMember2021-04-012021-06-300000884614us-gaap:OtherNonoperatingIncomeExpenseMemberugi:UGIInternationalMember2021-04-012021-06-30000</w:t>
      </w:r>
      <w:r>
        <w:rPr>
          <w:rFonts w:eastAsia="Times New Roman"/>
          <w:vanish/>
        </w:rPr>
        <w:t>0884614us-gaap:OtherNonoperatingIncomeExpenseMemberugi:MidstreamAndMarketingMember2021-04-012021-06-300000884614us-gaap:GeneralAndAdministrativeExpenseMemberugi:AmerigasPropaneMember2021-04-012021-06-300000884614us-gaap:GeneralAndAdministrativeExpenseMembe</w:t>
      </w:r>
      <w:r>
        <w:rPr>
          <w:rFonts w:eastAsia="Times New Roman"/>
          <w:vanish/>
        </w:rPr>
        <w:t>rugi:UGIInternationalMember2021-04-012021-06-300000884614us-gaap:GeneralAndAdministrativeExpenseMemberugi:MidstreamAndMarketingMember2021-04-012021-06-300000884614ugi:AmerigasPropaneMemberugi:IncomeLossFromEquityMethodInvestmentsMember2021-04-012021-06-300</w:t>
      </w:r>
      <w:r>
        <w:rPr>
          <w:rFonts w:eastAsia="Times New Roman"/>
          <w:vanish/>
        </w:rPr>
        <w:t>000884614ugi:UGIInternationalMemberugi:IncomeLossFromEquityMethodInvestmentsMember2021-04-012021-06-300000884614ugi:MidstreamAndMarketingMemberugi:IncomeLossFromEquityMethodInvestmentsMember2021-04-012021-06-300000884614us-gaap:SalesMemberugi:AmerigasPropa</w:t>
      </w:r>
      <w:r>
        <w:rPr>
          <w:rFonts w:eastAsia="Times New Roman"/>
          <w:vanish/>
        </w:rPr>
        <w:t>neMember2020-04-012020-06-300000884614ugi:UGIInternationalMemberus-gaap:SalesMember2020-04-012020-06-300000884614ugi:MidstreamAndMarketingMemberus-gaap:SalesMember2020-04-012020-06-300000884614us-gaap:CostOfSalesMemberugi:AmerigasPropaneMember2020-04-01202</w:t>
      </w:r>
      <w:r>
        <w:rPr>
          <w:rFonts w:eastAsia="Times New Roman"/>
          <w:vanish/>
        </w:rPr>
        <w:t>0-06-300000884614us-gaap:CostOfSalesMemberugi:UGIInternationalMember2020-04-012020-06-300000884614us-gaap:CostOfSalesMemberugi:MidstreamAndMarketingMember2020-04-012020-06-300000884614us-gaap:OtherNonoperatingIncomeExpenseMemberugi:AmerigasPropaneMember202</w:t>
      </w:r>
      <w:r>
        <w:rPr>
          <w:rFonts w:eastAsia="Times New Roman"/>
          <w:vanish/>
        </w:rPr>
        <w:t>0-04-012020-06-300000884614us-gaap:OtherNonoperatingIncomeExpenseMemberugi:UGIInternationalMember2020-04-012020-06-300000884614us-gaap:OtherNonoperatingIncomeExpenseMemberugi:MidstreamAndMarketingMember2020-04-012020-06-300000884614us-gaap:GeneralAndAdmini</w:t>
      </w:r>
      <w:r>
        <w:rPr>
          <w:rFonts w:eastAsia="Times New Roman"/>
          <w:vanish/>
        </w:rPr>
        <w:t>strativeExpenseMemberugi:AmerigasPropaneMember2020-04-012020-06-300000884614us-gaap:GeneralAndAdministrativeExpenseMemberugi:UGIInternationalMember2020-04-012020-06-300000884614us-gaap:GeneralAndAdministrativeExpenseMemberugi:MidstreamAndMarketingMember202</w:t>
      </w:r>
      <w:r>
        <w:rPr>
          <w:rFonts w:eastAsia="Times New Roman"/>
          <w:vanish/>
        </w:rPr>
        <w:t>0-04-012020-06-300000884614ugi:AmerigasPropaneMemberugi:ImpairmentOfAssetsHeldForSaleMember2020-04-012020-06-300000884614ugi:UGIInternationalMemberugi:ImpairmentOfAssetsHeldForSaleMember2020-04-012020-06-300000884614ugi:MidstreamAndMarketingMemberugi:Impai</w:t>
      </w:r>
      <w:r>
        <w:rPr>
          <w:rFonts w:eastAsia="Times New Roman"/>
          <w:vanish/>
        </w:rPr>
        <w:t>rmentOfAssetsHeldForSaleMember2020-04-012020-06-300000884614us-gaap:SalesMemberugi:AmerigasPropaneMember2020-10-012021-06-300000884614ugi:UGIInternationalMemberus-gaap:SalesMember2020-10-012021-06-300000884614ugi:MidstreamAndMarketingMemberus-gaap:SalesMem</w:t>
      </w:r>
      <w:r>
        <w:rPr>
          <w:rFonts w:eastAsia="Times New Roman"/>
          <w:vanish/>
        </w:rPr>
        <w:t>ber2020-10-012021-06-300000884614us-gaap:CostOfSalesMemberugi:AmerigasPropaneMember2020-10-012021-06-300000884614us-gaap:CostOfSalesMemberugi:UGIInternationalMember2020-10-012021-06-300000884614us-gaap:CostOfSalesMemberugi:MidstreamAndMarketingMember2020-1</w:t>
      </w:r>
      <w:r>
        <w:rPr>
          <w:rFonts w:eastAsia="Times New Roman"/>
          <w:vanish/>
        </w:rPr>
        <w:t>0-012021-06-300000884614us-gaap:OtherNonoperatingIncomeExpenseMemberugi:AmerigasPropaneMember2020-10-012021-06-300000884614us-gaap:OtherNonoperatingIncomeExpenseMemberugi:UGIInternationalMember2020-10-012021-06-300000884614us-gaap:OtherNonoperatingIncomeEx</w:t>
      </w:r>
      <w:r>
        <w:rPr>
          <w:rFonts w:eastAsia="Times New Roman"/>
          <w:vanish/>
        </w:rPr>
        <w:t>penseMemberugi:MidstreamAndMarketingMember2020-10-012021-06-300000884614us-gaap:GeneralAndAdministrativeExpenseMemberugi:AmerigasPropaneMember2020-10-012021-06-300000884614us-gaap:GeneralAndAdministrativeExpenseMemberugi:UGIInternationalMember2020-10-01202</w:t>
      </w:r>
      <w:r>
        <w:rPr>
          <w:rFonts w:eastAsia="Times New Roman"/>
          <w:vanish/>
        </w:rPr>
        <w:t>1-06-300000884614us-gaap:GeneralAndAdministrativeExpenseMemberugi:MidstreamAndMarketingMember2020-10-012021-06-300000884614ugi:AmerigasPropaneMemberugi:IncomeLossFromEquityMethodInvestmentsMember2020-10-012021-06-300000884614ugi:UGIInternationalMemberugi:I</w:t>
      </w:r>
      <w:r>
        <w:rPr>
          <w:rFonts w:eastAsia="Times New Roman"/>
          <w:vanish/>
        </w:rPr>
        <w:t>ncomeLossFromEquityMethodInvestmentsMember2020-10-012021-06-300000884614ugi:MidstreamAndMarketingMemberugi:IncomeLossFromEquityMethodInvestmentsMember2020-10-012021-06-300000884614us-gaap:SalesMemberugi:AmerigasPropaneMember2019-10-012020-06-300000884614ug</w:t>
      </w:r>
      <w:r>
        <w:rPr>
          <w:rFonts w:eastAsia="Times New Roman"/>
          <w:vanish/>
        </w:rPr>
        <w:t>i:UGIInternationalMemberus-gaap:SalesMember2019-10-012020-06-300000884614ugi:MidstreamAndMarketingMemberus-gaap:SalesMember2019-10-012020-06-300000884614us-gaap:CostOfSalesMemberugi:AmerigasPropaneMember2019-10-012020-06-300000884614us-gaap:CostOfSalesMemb</w:t>
      </w:r>
      <w:r>
        <w:rPr>
          <w:rFonts w:eastAsia="Times New Roman"/>
          <w:vanish/>
        </w:rPr>
        <w:t>erugi:UGIInternationalMember2019-10-012020-06-300000884614us-gaap:CostOfSalesMemberugi:MidstreamAndMarketingMember2019-10-012020-06-300000884614us-gaap:OtherNonoperatingIncomeExpenseMemberugi:AmerigasPropaneMember2019-10-012020-06-300000884614us-gaap:Other</w:t>
      </w:r>
      <w:r>
        <w:rPr>
          <w:rFonts w:eastAsia="Times New Roman"/>
          <w:vanish/>
        </w:rPr>
        <w:t>NonoperatingIncomeExpenseMemberugi:UGIInternationalMember2019-10-012020-06-300000884614us-gaap:OtherNonoperatingIncomeExpenseMemberugi:MidstreamAndMarketingMember2019-10-012020-06-300000884614us-gaap:GeneralAndAdministrativeExpenseMemberugi:ColumbiaMidstre</w:t>
      </w:r>
      <w:r>
        <w:rPr>
          <w:rFonts w:eastAsia="Times New Roman"/>
          <w:vanish/>
        </w:rPr>
        <w:t>amGroupLLCAndColumbiaPennantLLCMemberugi:AmerigasPropaneMember2019-10-012020-06-300000884614us-gaap:GeneralAndAdministrativeExpenseMemberugi:ColumbiaMidstreamGroupLLCAndColumbiaPennantLLCMemberugi:UGIInternationalMember2019-10-012020-06-300000884614us-gaap</w:t>
      </w:r>
      <w:r>
        <w:rPr>
          <w:rFonts w:eastAsia="Times New Roman"/>
          <w:vanish/>
        </w:rPr>
        <w:t>:GeneralAndAdministrativeExpenseMemberugi:ColumbiaMidstreamGroupLLCAndColumbiaPennantLLCMemberugi:MidstreamAndMarketingMember2019-10-012020-06-300000884614us-gaap:GeneralAndAdministrativeExpenseMemberugi:AmerigasPropaneMember2019-10-012020-06-300000884614u</w:t>
      </w:r>
      <w:r>
        <w:rPr>
          <w:rFonts w:eastAsia="Times New Roman"/>
          <w:vanish/>
        </w:rPr>
        <w:t>s-gaap:GeneralAndAdministrativeExpenseMemberugi:UGIInternationalMember2019-10-012020-06-300000884614us-gaap:GeneralAndAdministrativeExpenseMemberugi:MidstreamAndMarketingMember2019-10-012020-06-300000884614ugi:AmerigasPropaneMemberugi:ImpairmentOfAssetsHel</w:t>
      </w:r>
      <w:r>
        <w:rPr>
          <w:rFonts w:eastAsia="Times New Roman"/>
          <w:vanish/>
        </w:rPr>
        <w:t>dForSaleMember2019-10-012020-06-300000884614ugi:UGIInternationalMemberugi:ImpairmentOfAssetsHeldForSaleMember2019-10-012020-06-300000884614ugi:MidstreamAndMarketingMemberugi:ImpairmentOfAssetsHeldForSaleMember2019-10-012020-06-300000884614ugi:AmeriGasAndUG</w:t>
      </w:r>
      <w:r>
        <w:rPr>
          <w:rFonts w:eastAsia="Times New Roman"/>
          <w:vanish/>
        </w:rPr>
        <w:t>IInternationalMember2021-04-012021-06-300000884614ugi:AmeriGasAndUGIInternationalMember2020-04-012020-06-300000884614ugi:AmeriGasAndUGIInternationalMember2020-10-012021-06-300000884614ugi:AmeriGasAndUGIInternationalMember2019-10-012020-06-300000884614ugi:C</w:t>
      </w:r>
      <w:r>
        <w:rPr>
          <w:rFonts w:eastAsia="Times New Roman"/>
          <w:vanish/>
        </w:rPr>
        <w:t>orporateServicesMember2021-04-012021-06-300000884614ugi:CorporateServicesMember2020-10-012021-06-300000884614ugi:PineRunMidstreamLLCMember2021-02-012021-02-28utr:mi0000884614ugi:PineRunMidstreamLLCMember2021-06-300000884614ugi:EnergyServicesMemberugi:PineR</w:t>
      </w:r>
      <w:r>
        <w:rPr>
          <w:rFonts w:eastAsia="Times New Roman"/>
          <w:vanish/>
        </w:rPr>
        <w:t>unMidstreamLLCMember2021-06-300000884614srt:AffiliatedEntityMemberugi:PennEastPipelineCompanyLLCMemberugi:EnbridgeIncMember2021-06-300000884614srt:AffiliatedEntityMemberugi:UGIPennEastLLCMemberugi:PennEastPipelineCompanyLLCMember2021-06-300000884614ugi:Sou</w:t>
      </w:r>
      <w:r>
        <w:rPr>
          <w:rFonts w:eastAsia="Times New Roman"/>
          <w:vanish/>
        </w:rPr>
        <w:t>thernCompanyMembersrt:AffiliatedEntityMemberugi:PennEastPipelineCompanyLLCMember2021-06-300000884614ugi:SouthJerseyIndustriesMembersrt:AffiliatedEntityMemberugi:PennEastPipelineCompanyLLCMember2021-06-300000884614srt:AffiliatedEntityMemberugi:NewJerseyReso</w:t>
      </w:r>
      <w:r>
        <w:rPr>
          <w:rFonts w:eastAsia="Times New Roman"/>
          <w:vanish/>
        </w:rPr>
        <w:t>urcesMemberugi:PennEastPipelineCompanyLLCMember2021-06-300000884614ugi:PennEastPipelineCompanyLLCMember2021-06-012021-06-30</w:t>
      </w:r>
    </w:p>
    <w:p w:rsidR="00000000" w:rsidRDefault="005D625B">
      <w:pPr>
        <w:divId w:val="49476113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319268967"/>
        <w:rPr>
          <w:rFonts w:eastAsia="Times New Roman"/>
        </w:rPr>
      </w:pPr>
    </w:p>
    <w:p w:rsidR="00000000" w:rsidRDefault="005D625B">
      <w:pPr>
        <w:divId w:val="210260141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1729"/>
        <w:gridCol w:w="36"/>
        <w:gridCol w:w="69"/>
        <w:gridCol w:w="1510"/>
        <w:gridCol w:w="36"/>
        <w:gridCol w:w="69"/>
        <w:gridCol w:w="1510"/>
        <w:gridCol w:w="36"/>
        <w:gridCol w:w="69"/>
        <w:gridCol w:w="1510"/>
        <w:gridCol w:w="36"/>
        <w:gridCol w:w="69"/>
        <w:gridCol w:w="1510"/>
        <w:gridCol w:w="36"/>
      </w:tblGrid>
      <w:tr w:rsidR="00000000">
        <w:trPr>
          <w:jc w:val="center"/>
        </w:trPr>
        <w:tc>
          <w:tcPr>
            <w:tcW w:w="50" w:type="pct"/>
            <w:vAlign w:val="center"/>
            <w:hideMark/>
          </w:tcPr>
          <w:p w:rsidR="00000000" w:rsidRDefault="005D625B">
            <w:pPr>
              <w:rPr>
                <w:rFonts w:eastAsia="Times New Roman"/>
              </w:rPr>
            </w:pPr>
          </w:p>
        </w:tc>
        <w:tc>
          <w:tcPr>
            <w:tcW w:w="105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r>
    </w:tbl>
    <w:p w:rsidR="00000000" w:rsidRDefault="005D625B">
      <w:pPr>
        <w:jc w:val="center"/>
        <w:rPr>
          <w:rFonts w:eastAsia="Times New Roman"/>
        </w:rPr>
      </w:pPr>
      <w:r>
        <w:rPr>
          <w:rFonts w:eastAsia="Times New Roman"/>
          <w:b/>
          <w:bCs/>
          <w:color w:val="000000"/>
          <w:sz w:val="36"/>
          <w:szCs w:val="36"/>
        </w:rPr>
        <w:t>UNITED STATES</w:t>
      </w:r>
    </w:p>
    <w:p w:rsidR="00000000" w:rsidRDefault="005D625B">
      <w:pPr>
        <w:jc w:val="center"/>
        <w:rPr>
          <w:rFonts w:eastAsia="Times New Roman"/>
        </w:rPr>
      </w:pPr>
      <w:r>
        <w:rPr>
          <w:rFonts w:eastAsia="Times New Roman"/>
          <w:b/>
          <w:bCs/>
          <w:color w:val="000000"/>
          <w:sz w:val="36"/>
          <w:szCs w:val="36"/>
        </w:rPr>
        <w:t>SECURITIES AND EXCHANGE COMMISSION</w:t>
      </w:r>
    </w:p>
    <w:p w:rsidR="00000000" w:rsidRDefault="005D625B">
      <w:pPr>
        <w:jc w:val="center"/>
        <w:divId w:val="233127941"/>
        <w:rPr>
          <w:rFonts w:eastAsia="Times New Roman"/>
        </w:rPr>
      </w:pPr>
      <w:r>
        <w:rPr>
          <w:rFonts w:eastAsia="Times New Roman"/>
          <w:b/>
          <w:bCs/>
          <w:color w:val="000000"/>
        </w:rPr>
        <w:t>Washington, D.C. 20549</w:t>
      </w:r>
    </w:p>
    <w:p w:rsidR="00000000" w:rsidRDefault="005D625B">
      <w:pPr>
        <w:jc w:val="center"/>
        <w:divId w:val="632978426"/>
        <w:rPr>
          <w:rFonts w:eastAsia="Times New Roman"/>
        </w:rPr>
      </w:pPr>
      <w:r>
        <w:rPr>
          <w:rFonts w:eastAsia="Times New Roman"/>
          <w:b/>
          <w:bCs/>
          <w:color w:val="000000"/>
          <w:sz w:val="36"/>
          <w:szCs w:val="36"/>
        </w:rPr>
        <w:t xml:space="preserve">FORM 10-Q </w:t>
      </w:r>
    </w:p>
    <w:p w:rsidR="00000000" w:rsidRDefault="005D625B">
      <w:pPr>
        <w:jc w:val="center"/>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230"/>
        <w:gridCol w:w="36"/>
        <w:gridCol w:w="39"/>
        <w:gridCol w:w="7928"/>
        <w:gridCol w:w="36"/>
      </w:tblGrid>
      <w:tr w:rsidR="00000000">
        <w:trPr>
          <w:divId w:val="2092003693"/>
        </w:trPr>
        <w:tc>
          <w:tcPr>
            <w:tcW w:w="5" w:type="pct"/>
            <w:vAlign w:val="center"/>
            <w:hideMark/>
          </w:tcPr>
          <w:p w:rsidR="00000000" w:rsidRDefault="005D625B">
            <w:pPr>
              <w:jc w:val="center"/>
              <w:rPr>
                <w:rFonts w:eastAsia="Times New Roman"/>
              </w:rPr>
            </w:pPr>
          </w:p>
        </w:tc>
        <w:tc>
          <w:tcPr>
            <w:tcW w:w="13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79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2092003693"/>
        </w:trPr>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5D625B">
            <w:pPr>
              <w:spacing w:after="100"/>
              <w:jc w:val="both"/>
              <w:rPr>
                <w:rFonts w:eastAsia="Times New Roman"/>
              </w:rPr>
            </w:pPr>
            <w:r>
              <w:rPr>
                <w:rFonts w:eastAsia="Times New Roman"/>
                <w:b/>
                <w:bCs/>
                <w:color w:val="000000"/>
              </w:rPr>
              <w:t>QUARTERLY REPORT PURSUANT TO SECTION 13 OR 15(d) OF THE SECURITIES EXCHANGE ACT OF 1934</w:t>
            </w:r>
          </w:p>
        </w:tc>
      </w:tr>
    </w:tbl>
    <w:p w:rsidR="00000000" w:rsidRDefault="005D625B">
      <w:pPr>
        <w:jc w:val="center"/>
        <w:rPr>
          <w:rFonts w:eastAsia="Times New Roman"/>
        </w:rPr>
      </w:pPr>
      <w:r>
        <w:rPr>
          <w:rFonts w:eastAsia="Times New Roman"/>
          <w:b/>
          <w:bCs/>
          <w:color w:val="000000"/>
          <w:sz w:val="20"/>
          <w:szCs w:val="20"/>
        </w:rPr>
        <w:t xml:space="preserve">For the quarterly period ended June 30, 2021 </w:t>
      </w:r>
    </w:p>
    <w:p w:rsidR="00000000" w:rsidRDefault="005D625B">
      <w:pPr>
        <w:jc w:val="center"/>
        <w:divId w:val="36898687"/>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37"/>
        <w:gridCol w:w="230"/>
        <w:gridCol w:w="36"/>
        <w:gridCol w:w="39"/>
        <w:gridCol w:w="7928"/>
        <w:gridCol w:w="36"/>
      </w:tblGrid>
      <w:tr w:rsidR="00000000">
        <w:trPr>
          <w:divId w:val="819420490"/>
        </w:trPr>
        <w:tc>
          <w:tcPr>
            <w:tcW w:w="5" w:type="pct"/>
            <w:vAlign w:val="center"/>
            <w:hideMark/>
          </w:tcPr>
          <w:p w:rsidR="00000000" w:rsidRDefault="005D625B">
            <w:pPr>
              <w:jc w:val="center"/>
              <w:rPr>
                <w:rFonts w:eastAsia="Times New Roman"/>
              </w:rPr>
            </w:pPr>
          </w:p>
        </w:tc>
        <w:tc>
          <w:tcPr>
            <w:tcW w:w="13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79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819420490"/>
        </w:trPr>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5D625B">
            <w:pPr>
              <w:spacing w:after="100"/>
              <w:jc w:val="both"/>
              <w:rPr>
                <w:rFonts w:eastAsia="Times New Roman"/>
              </w:rPr>
            </w:pPr>
            <w:r>
              <w:rPr>
                <w:rFonts w:eastAsia="Times New Roman"/>
                <w:b/>
                <w:bCs/>
                <w:color w:val="000000"/>
              </w:rPr>
              <w:t>TRANSITION REPORT PURSUANT TO SECTION 13 OR 15(d) OF THE SECURITIES EXCHANGE ACT OF 1934</w:t>
            </w:r>
          </w:p>
        </w:tc>
      </w:tr>
    </w:tbl>
    <w:p w:rsidR="00000000" w:rsidRDefault="005D625B">
      <w:pPr>
        <w:jc w:val="center"/>
        <w:rPr>
          <w:rFonts w:eastAsia="Times New Roman"/>
        </w:rPr>
      </w:pPr>
      <w:r>
        <w:rPr>
          <w:rFonts w:eastAsia="Times New Roman"/>
          <w:b/>
          <w:bCs/>
          <w:color w:val="000000"/>
          <w:sz w:val="20"/>
          <w:szCs w:val="20"/>
        </w:rPr>
        <w:t>For the transition period from  ________ to ________            </w:t>
      </w:r>
    </w:p>
    <w:p w:rsidR="00000000" w:rsidRDefault="005D625B">
      <w:pPr>
        <w:jc w:val="center"/>
        <w:divId w:val="378474268"/>
        <w:rPr>
          <w:rFonts w:eastAsia="Times New Roman"/>
        </w:rPr>
      </w:pPr>
      <w:r>
        <w:rPr>
          <w:rFonts w:eastAsia="Times New Roman"/>
          <w:b/>
          <w:bCs/>
          <w:color w:val="000000"/>
          <w:sz w:val="20"/>
          <w:szCs w:val="20"/>
        </w:rPr>
        <w:t xml:space="preserve">Commission file number 1-11071 </w:t>
      </w:r>
    </w:p>
    <w:p w:rsidR="00000000" w:rsidRDefault="005D625B">
      <w:pPr>
        <w:jc w:val="center"/>
        <w:divId w:val="681129819"/>
        <w:rPr>
          <w:rFonts w:eastAsia="Times New Roman"/>
        </w:rPr>
      </w:pPr>
      <w:r>
        <w:rPr>
          <w:rFonts w:eastAsia="Times New Roman"/>
          <w:b/>
          <w:bCs/>
          <w:color w:val="000000"/>
          <w:sz w:val="48"/>
          <w:szCs w:val="48"/>
        </w:rPr>
        <w:t xml:space="preserve">UGI CORPORATION </w:t>
      </w:r>
    </w:p>
    <w:p w:rsidR="00000000" w:rsidRDefault="005D625B">
      <w:pPr>
        <w:jc w:val="center"/>
        <w:rPr>
          <w:rFonts w:eastAsia="Times New Roman"/>
        </w:rPr>
      </w:pPr>
      <w:r>
        <w:rPr>
          <w:rFonts w:eastAsia="Times New Roman"/>
          <w:b/>
          <w:bCs/>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877"/>
        <w:gridCol w:w="36"/>
        <w:gridCol w:w="69"/>
        <w:gridCol w:w="222"/>
        <w:gridCol w:w="36"/>
        <w:gridCol w:w="69"/>
        <w:gridCol w:w="3891"/>
        <w:gridCol w:w="37"/>
      </w:tblGrid>
      <w:tr w:rsidR="00000000">
        <w:trPr>
          <w:divId w:val="1124273700"/>
          <w:jc w:val="center"/>
        </w:trPr>
        <w:tc>
          <w:tcPr>
            <w:tcW w:w="50" w:type="pct"/>
            <w:vAlign w:val="center"/>
            <w:hideMark/>
          </w:tcPr>
          <w:p w:rsidR="00000000" w:rsidRDefault="005D625B">
            <w:pPr>
              <w:jc w:val="center"/>
              <w:rPr>
                <w:rFonts w:eastAsia="Times New Roman"/>
              </w:rPr>
            </w:pPr>
          </w:p>
        </w:tc>
        <w:tc>
          <w:tcPr>
            <w:tcW w:w="234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14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235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124273700"/>
          <w:jc w:val="center"/>
        </w:trPr>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b/>
                <w:bCs/>
                <w:color w:val="000000"/>
                <w:sz w:val="20"/>
                <w:szCs w:val="20"/>
              </w:rPr>
              <w:t>Pennsylvania</w:t>
            </w: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b/>
                <w:bCs/>
                <w:color w:val="000000"/>
                <w:sz w:val="20"/>
                <w:szCs w:val="20"/>
              </w:rPr>
              <w:t>23-2668356</w:t>
            </w:r>
          </w:p>
        </w:tc>
      </w:tr>
      <w:tr w:rsidR="00000000">
        <w:trPr>
          <w:divId w:val="1124273700"/>
          <w:jc w:val="center"/>
        </w:trPr>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rsidR="00000000" w:rsidRDefault="005D625B">
      <w:pPr>
        <w:jc w:val="center"/>
        <w:divId w:val="73670180"/>
        <w:rPr>
          <w:rFonts w:eastAsia="Times New Roman"/>
        </w:rPr>
      </w:pPr>
      <w:r>
        <w:rPr>
          <w:rFonts w:eastAsia="Times New Roman"/>
          <w:b/>
          <w:bCs/>
          <w:color w:val="000000"/>
          <w:sz w:val="20"/>
          <w:szCs w:val="20"/>
        </w:rPr>
        <w:t xml:space="preserve">460 North Gulph Road, </w:t>
      </w:r>
      <w:r>
        <w:rPr>
          <w:rFonts w:eastAsia="Times New Roman"/>
          <w:b/>
          <w:bCs/>
          <w:color w:val="000000"/>
          <w:sz w:val="20"/>
          <w:szCs w:val="20"/>
        </w:rPr>
        <w:t xml:space="preserve">King of Prussia, PA 19406 </w:t>
      </w:r>
    </w:p>
    <w:p w:rsidR="00000000" w:rsidRDefault="005D625B">
      <w:pPr>
        <w:jc w:val="center"/>
        <w:rPr>
          <w:rFonts w:eastAsia="Times New Roman"/>
        </w:rPr>
      </w:pPr>
      <w:r>
        <w:rPr>
          <w:rFonts w:eastAsia="Times New Roman"/>
          <w:b/>
          <w:bCs/>
          <w:color w:val="000000"/>
          <w:sz w:val="16"/>
          <w:szCs w:val="16"/>
        </w:rPr>
        <w:t>(Address of Principal Executive Offices) (Zip Code)</w:t>
      </w:r>
    </w:p>
    <w:p w:rsidR="00000000" w:rsidRDefault="005D625B">
      <w:pPr>
        <w:jc w:val="center"/>
        <w:rPr>
          <w:rFonts w:eastAsia="Times New Roman"/>
        </w:rPr>
      </w:pPr>
    </w:p>
    <w:p w:rsidR="00000000" w:rsidRDefault="005D625B">
      <w:pPr>
        <w:jc w:val="center"/>
        <w:rPr>
          <w:rFonts w:eastAsia="Times New Roman"/>
        </w:rPr>
      </w:pPr>
      <w:r>
        <w:rPr>
          <w:rFonts w:eastAsia="Times New Roman"/>
          <w:b/>
          <w:bCs/>
          <w:color w:val="000000"/>
          <w:sz w:val="20"/>
          <w:szCs w:val="20"/>
        </w:rPr>
        <w:t xml:space="preserve">(610) 337-1000 </w:t>
      </w:r>
    </w:p>
    <w:p w:rsidR="00000000" w:rsidRDefault="005D625B">
      <w:pPr>
        <w:jc w:val="center"/>
        <w:rPr>
          <w:rFonts w:eastAsia="Times New Roman"/>
        </w:rPr>
      </w:pPr>
      <w:r>
        <w:rPr>
          <w:rFonts w:eastAsia="Times New Roman"/>
          <w:b/>
          <w:bCs/>
          <w:color w:val="000000"/>
          <w:sz w:val="16"/>
          <w:szCs w:val="16"/>
        </w:rPr>
        <w:t>(Registrant’s telephone number, including area code)</w:t>
      </w:r>
    </w:p>
    <w:p w:rsidR="00000000" w:rsidRDefault="005D625B">
      <w:pPr>
        <w:jc w:val="center"/>
        <w:rPr>
          <w:rFonts w:eastAsia="Times New Roman"/>
        </w:rPr>
      </w:pPr>
      <w:r>
        <w:rPr>
          <w:rFonts w:eastAsia="Times New Roman"/>
          <w:b/>
          <w:bCs/>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246"/>
        <w:gridCol w:w="37"/>
        <w:gridCol w:w="69"/>
        <w:gridCol w:w="2081"/>
        <w:gridCol w:w="36"/>
        <w:gridCol w:w="69"/>
        <w:gridCol w:w="2664"/>
        <w:gridCol w:w="36"/>
      </w:tblGrid>
      <w:tr w:rsidR="00000000">
        <w:trPr>
          <w:divId w:val="1802335265"/>
          <w:jc w:val="center"/>
        </w:trPr>
        <w:tc>
          <w:tcPr>
            <w:tcW w:w="50" w:type="pct"/>
            <w:vAlign w:val="center"/>
            <w:hideMark/>
          </w:tcPr>
          <w:p w:rsidR="00000000" w:rsidRDefault="005D625B">
            <w:pPr>
              <w:jc w:val="center"/>
              <w:rPr>
                <w:rFonts w:eastAsia="Times New Roman"/>
              </w:rPr>
            </w:pPr>
          </w:p>
        </w:tc>
        <w:tc>
          <w:tcPr>
            <w:tcW w:w="196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126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161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802335265"/>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D625B">
            <w:pPr>
              <w:spacing w:after="100"/>
              <w:jc w:val="center"/>
              <w:divId w:val="1561207096"/>
              <w:rPr>
                <w:rFonts w:eastAsia="Times New Roman"/>
              </w:rPr>
            </w:pPr>
            <w:r>
              <w:rPr>
                <w:rFonts w:eastAsia="Times New Roman"/>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D625B">
            <w:pPr>
              <w:spacing w:after="100"/>
              <w:jc w:val="center"/>
              <w:divId w:val="1750151560"/>
              <w:rPr>
                <w:rFonts w:eastAsia="Times New Roman"/>
              </w:rPr>
            </w:pPr>
            <w:r>
              <w:rPr>
                <w:rFonts w:eastAsia="Times New Roman"/>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D625B">
            <w:pPr>
              <w:spacing w:after="100"/>
              <w:jc w:val="center"/>
              <w:divId w:val="1259215188"/>
              <w:rPr>
                <w:rFonts w:eastAsia="Times New Roman"/>
              </w:rPr>
            </w:pPr>
            <w:r>
              <w:rPr>
                <w:rFonts w:eastAsia="Times New Roman"/>
                <w:color w:val="000000"/>
                <w:sz w:val="18"/>
                <w:szCs w:val="18"/>
              </w:rPr>
              <w:t>Name of each exchange on which registered:</w:t>
            </w:r>
          </w:p>
        </w:tc>
      </w:tr>
      <w:tr w:rsidR="00000000">
        <w:trPr>
          <w:divId w:val="1802335265"/>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D625B">
            <w:pPr>
              <w:spacing w:after="100"/>
              <w:jc w:val="center"/>
              <w:divId w:val="838035890"/>
              <w:rPr>
                <w:rFonts w:eastAsia="Times New Roman"/>
              </w:rPr>
            </w:pPr>
            <w:r>
              <w:rPr>
                <w:rFonts w:eastAsia="Times New Roman"/>
                <w:color w:val="000000"/>
                <w:sz w:val="18"/>
                <w:szCs w:val="18"/>
              </w:rPr>
              <w:t>Common Stock, without par value</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D625B">
            <w:pPr>
              <w:spacing w:after="100"/>
              <w:jc w:val="center"/>
              <w:divId w:val="72091320"/>
              <w:rPr>
                <w:rFonts w:eastAsia="Times New Roman"/>
              </w:rPr>
            </w:pPr>
            <w:r>
              <w:rPr>
                <w:rFonts w:eastAsia="Times New Roman"/>
                <w:color w:val="000000"/>
                <w:sz w:val="18"/>
                <w:szCs w:val="18"/>
              </w:rPr>
              <w:t>UGI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D625B">
            <w:pPr>
              <w:spacing w:after="100"/>
              <w:jc w:val="center"/>
              <w:divId w:val="1462309667"/>
              <w:rPr>
                <w:rFonts w:eastAsia="Times New Roman"/>
              </w:rPr>
            </w:pPr>
            <w:r>
              <w:rPr>
                <w:rFonts w:eastAsia="Times New Roman"/>
                <w:color w:val="000000"/>
                <w:sz w:val="18"/>
                <w:szCs w:val="18"/>
              </w:rPr>
              <w:t>New York Stock Exchange</w:t>
            </w:r>
          </w:p>
        </w:tc>
      </w:tr>
      <w:tr w:rsidR="00000000">
        <w:trPr>
          <w:divId w:val="1802335265"/>
          <w:jc w:val="center"/>
        </w:trPr>
        <w:tc>
          <w:tcPr>
            <w:tcW w:w="0" w:type="auto"/>
            <w:gridSpan w:val="3"/>
            <w:tcBorders>
              <w:left w:val="single" w:sz="8" w:space="0" w:color="000000"/>
              <w:bottom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Corporate Units</w:t>
            </w:r>
          </w:p>
        </w:tc>
        <w:tc>
          <w:tcPr>
            <w:tcW w:w="0" w:type="auto"/>
            <w:gridSpan w:val="3"/>
            <w:tcBorders>
              <w:left w:val="single" w:sz="8" w:space="0" w:color="000000"/>
              <w:bottom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UGIC</w:t>
            </w:r>
          </w:p>
        </w:tc>
        <w:tc>
          <w:tcPr>
            <w:tcW w:w="0" w:type="auto"/>
            <w:gridSpan w:val="3"/>
            <w:tcBorders>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New York Stock Exchange</w:t>
            </w:r>
          </w:p>
        </w:tc>
      </w:tr>
    </w:tbl>
    <w:p w:rsidR="00000000" w:rsidRDefault="005D625B">
      <w:pPr>
        <w:jc w:val="both"/>
        <w:divId w:val="1236552604"/>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    Yes  </w:t>
      </w:r>
      <w:r>
        <w:rPr>
          <w:rFonts w:ascii="Wingdings" w:eastAsia="Times New Roman" w:hAnsi="Wingdings"/>
          <w:color w:val="000000"/>
          <w:sz w:val="20"/>
          <w:szCs w:val="20"/>
        </w:rPr>
        <w:t>ý</w:t>
      </w:r>
      <w:r>
        <w:rPr>
          <w:rFonts w:eastAsia="Times New Roman"/>
          <w:color w:val="000000"/>
          <w:sz w:val="20"/>
          <w:szCs w:val="20"/>
        </w:rPr>
        <w:t>    No  </w:t>
      </w:r>
      <w:r>
        <w:rPr>
          <w:rFonts w:ascii="Wingdings" w:eastAsia="Times New Roman" w:hAnsi="Wingdings"/>
          <w:color w:val="000000"/>
          <w:sz w:val="20"/>
          <w:szCs w:val="20"/>
        </w:rPr>
        <w:t>¨</w:t>
      </w:r>
    </w:p>
    <w:p w:rsidR="00000000" w:rsidRDefault="005D625B">
      <w:pPr>
        <w:jc w:val="both"/>
        <w:divId w:val="1256480419"/>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w:t>
      </w:r>
      <w:r>
        <w:rPr>
          <w:rFonts w:eastAsia="Times New Roman"/>
          <w:color w:val="000000"/>
          <w:sz w:val="20"/>
          <w:szCs w:val="20"/>
        </w:rPr>
        <w:t xml:space="preserve"> of Regulation S-T (§232.405 of this chapter) during the preceding 12 months (or for such shorter period that the registrant was required to submit and post such files). Yes </w:t>
      </w:r>
      <w:r>
        <w:rPr>
          <w:rFonts w:ascii="Wingdings" w:eastAsia="Times New Roman" w:hAnsi="Wingdings"/>
          <w:color w:val="000000"/>
          <w:sz w:val="20"/>
          <w:szCs w:val="20"/>
        </w:rPr>
        <w:t>ý</w:t>
      </w:r>
      <w:r>
        <w:rPr>
          <w:rFonts w:eastAsia="Times New Roman"/>
          <w:color w:val="000000"/>
          <w:sz w:val="20"/>
          <w:szCs w:val="20"/>
        </w:rPr>
        <w:t>    No  </w:t>
      </w:r>
      <w:r>
        <w:rPr>
          <w:rFonts w:ascii="Wingdings" w:eastAsia="Times New Roman" w:hAnsi="Wingdings"/>
          <w:color w:val="000000"/>
          <w:sz w:val="20"/>
          <w:szCs w:val="20"/>
        </w:rPr>
        <w:t>¨</w:t>
      </w:r>
    </w:p>
    <w:p w:rsidR="00000000" w:rsidRDefault="005D625B">
      <w:pPr>
        <w:jc w:val="both"/>
        <w:divId w:val="1020474354"/>
        <w:rPr>
          <w:rFonts w:eastAsia="Times New Roman"/>
        </w:rPr>
      </w:pPr>
      <w:r>
        <w:rPr>
          <w:rFonts w:eastAsia="Times New Roman"/>
          <w:color w:val="000000"/>
          <w:sz w:val="20"/>
          <w:szCs w:val="20"/>
        </w:rPr>
        <w:t>Indicate by check mark whether the registrant is a large accelerated fi</w:t>
      </w:r>
      <w:r>
        <w:rPr>
          <w:rFonts w:eastAsia="Times New Roman"/>
          <w:color w:val="000000"/>
          <w:sz w:val="20"/>
          <w:szCs w:val="20"/>
        </w:rPr>
        <w:t>ler, an accelerated filer, a non-accelerated filer, smaller reporting company, or an emerging growth company. See the definitions of “large accelerated filer,” “accelerated filer,” “smaller reporting company,” and “emerging growth company” in Rule 12b-2 of</w:t>
      </w:r>
      <w:r>
        <w:rPr>
          <w:rFonts w:eastAsia="Times New Roman"/>
          <w:color w:val="000000"/>
          <w:sz w:val="20"/>
          <w:szCs w:val="20"/>
        </w:rPr>
        <w:t xml:space="preserve">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923"/>
        <w:gridCol w:w="36"/>
        <w:gridCol w:w="72"/>
        <w:gridCol w:w="146"/>
        <w:gridCol w:w="36"/>
        <w:gridCol w:w="69"/>
        <w:gridCol w:w="622"/>
        <w:gridCol w:w="36"/>
        <w:gridCol w:w="69"/>
        <w:gridCol w:w="1923"/>
        <w:gridCol w:w="36"/>
        <w:gridCol w:w="70"/>
        <w:gridCol w:w="148"/>
        <w:gridCol w:w="36"/>
        <w:gridCol w:w="70"/>
        <w:gridCol w:w="623"/>
        <w:gridCol w:w="36"/>
        <w:gridCol w:w="70"/>
        <w:gridCol w:w="1924"/>
        <w:gridCol w:w="36"/>
        <w:gridCol w:w="70"/>
        <w:gridCol w:w="150"/>
        <w:gridCol w:w="36"/>
      </w:tblGrid>
      <w:tr w:rsidR="00000000">
        <w:trPr>
          <w:divId w:val="1057783495"/>
        </w:trPr>
        <w:tc>
          <w:tcPr>
            <w:tcW w:w="50" w:type="pct"/>
            <w:vAlign w:val="center"/>
            <w:hideMark/>
          </w:tcPr>
          <w:p w:rsidR="00000000" w:rsidRDefault="005D625B">
            <w:pPr>
              <w:jc w:val="both"/>
              <w:rPr>
                <w:rFonts w:eastAsia="Times New Roman"/>
              </w:rPr>
            </w:pPr>
          </w:p>
        </w:tc>
        <w:tc>
          <w:tcPr>
            <w:tcW w:w="116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8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116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8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116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05778349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ascii="Wingdings" w:eastAsia="Times New Roman" w:hAnsi="Wingdings"/>
                <w:color w:val="000000"/>
                <w:sz w:val="20"/>
                <w:szCs w:val="20"/>
              </w:rPr>
              <w:t>ý</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ascii="Segoe UI Symbol" w:eastAsia="Times New Roman" w:hAnsi="Segoe UI Symbol" w:cs="Segoe UI Symbol"/>
                <w:color w:val="000000"/>
                <w:sz w:val="20"/>
                <w:szCs w:val="20"/>
              </w:rPr>
              <w:t>☐</w:t>
            </w:r>
          </w:p>
        </w:tc>
      </w:tr>
      <w:tr w:rsidR="00000000">
        <w:trPr>
          <w:divId w:val="105778349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lastRenderedPageBreak/>
              <w:t>Smaller reporting company</w:t>
            </w: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bl>
    <w:p w:rsidR="00000000" w:rsidRDefault="005D625B">
      <w:pPr>
        <w:jc w:val="both"/>
        <w:divId w:val="892155320"/>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rsidR="00000000" w:rsidRDefault="005D625B">
      <w:pPr>
        <w:jc w:val="both"/>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Wingdings" w:eastAsia="Times New Roman" w:hAnsi="Wingdings"/>
          <w:color w:val="000000"/>
          <w:sz w:val="20"/>
          <w:szCs w:val="20"/>
        </w:rPr>
        <w:t>ý</w:t>
      </w:r>
    </w:p>
    <w:p w:rsidR="00000000" w:rsidRDefault="005D625B">
      <w:pPr>
        <w:divId w:val="1791052264"/>
        <w:rPr>
          <w:rFonts w:eastAsia="Times New Roman"/>
        </w:rPr>
      </w:pPr>
      <w:r>
        <w:rPr>
          <w:rFonts w:eastAsia="Times New Roman"/>
          <w:color w:val="000000"/>
          <w:sz w:val="20"/>
          <w:szCs w:val="20"/>
        </w:rPr>
        <w:t>At July 31, 2021, there were 209,096,896 shares of UGI Corporation Common Stock, without par value,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1729"/>
        <w:gridCol w:w="36"/>
        <w:gridCol w:w="69"/>
        <w:gridCol w:w="1510"/>
        <w:gridCol w:w="36"/>
        <w:gridCol w:w="69"/>
        <w:gridCol w:w="1510"/>
        <w:gridCol w:w="36"/>
        <w:gridCol w:w="69"/>
        <w:gridCol w:w="1510"/>
        <w:gridCol w:w="36"/>
        <w:gridCol w:w="69"/>
        <w:gridCol w:w="1510"/>
        <w:gridCol w:w="36"/>
      </w:tblGrid>
      <w:tr w:rsidR="00000000">
        <w:trPr>
          <w:divId w:val="1811244520"/>
          <w:jc w:val="center"/>
        </w:trPr>
        <w:tc>
          <w:tcPr>
            <w:tcW w:w="50" w:type="pct"/>
            <w:vAlign w:val="center"/>
            <w:hideMark/>
          </w:tcPr>
          <w:p w:rsidR="00000000" w:rsidRDefault="005D625B">
            <w:pPr>
              <w:rPr>
                <w:rFonts w:eastAsia="Times New Roman"/>
              </w:rPr>
            </w:pPr>
          </w:p>
        </w:tc>
        <w:tc>
          <w:tcPr>
            <w:tcW w:w="105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811244520"/>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r>
    </w:tbl>
    <w:p w:rsidR="00000000" w:rsidRDefault="005D625B">
      <w:pPr>
        <w:divId w:val="505707079"/>
        <w:rPr>
          <w:rFonts w:eastAsia="Times New Roman"/>
        </w:rPr>
      </w:pPr>
    </w:p>
    <w:p w:rsidR="00000000" w:rsidRDefault="005D625B">
      <w:pPr>
        <w:rPr>
          <w:rFonts w:eastAsia="Times New Roman"/>
        </w:rPr>
      </w:pPr>
      <w:r>
        <w:rPr>
          <w:rFonts w:eastAsia="Times New Roman"/>
        </w:rPr>
        <w:pict>
          <v:rect id="_x0000_i1025" style="width:0;height:1.5pt" o:hralign="center" o:hrstd="t" o:hr="t" fillcolor="#a0a0a0" stroked="f"/>
        </w:pict>
      </w:r>
    </w:p>
    <w:p w:rsidR="00000000" w:rsidRDefault="005D625B">
      <w:pPr>
        <w:divId w:val="1595238834"/>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311831929"/>
        <w:rPr>
          <w:rFonts w:eastAsia="Times New Roman"/>
        </w:rPr>
      </w:pPr>
    </w:p>
    <w:p w:rsidR="00000000" w:rsidRDefault="005D625B">
      <w:pPr>
        <w:divId w:val="27222110"/>
        <w:rPr>
          <w:rFonts w:eastAsia="Times New Roman"/>
        </w:rPr>
      </w:pPr>
    </w:p>
    <w:p w:rsidR="00000000" w:rsidRDefault="005D625B">
      <w:pPr>
        <w:jc w:val="center"/>
        <w:rPr>
          <w:rFonts w:eastAsia="Times New Roman"/>
        </w:rPr>
      </w:pPr>
      <w:r>
        <w:rPr>
          <w:rFonts w:eastAsia="Times New Roman"/>
          <w:b/>
          <w:bCs/>
          <w:color w:val="000000"/>
        </w:rPr>
        <w:t>UGI CORPORATION AND SUBSIDIARIES</w:t>
      </w:r>
    </w:p>
    <w:p w:rsidR="00000000" w:rsidRDefault="005D625B">
      <w:pPr>
        <w:jc w:val="center"/>
        <w:divId w:val="322661187"/>
        <w:rPr>
          <w:rFonts w:eastAsia="Times New Roman"/>
        </w:rPr>
      </w:pPr>
      <w:r>
        <w:rPr>
          <w:rFonts w:eastAsia="Times New Roman"/>
          <w:b/>
          <w:bCs/>
          <w:color w:val="000000"/>
          <w:sz w:val="20"/>
          <w:szCs w:val="20"/>
        </w:rPr>
        <w:t>TABLE OF CONTENTS</w:t>
      </w:r>
    </w:p>
    <w:p w:rsidR="00000000" w:rsidRDefault="005D625B">
      <w:pPr>
        <w:divId w:val="553543177"/>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7569"/>
        <w:gridCol w:w="37"/>
        <w:gridCol w:w="69"/>
        <w:gridCol w:w="513"/>
        <w:gridCol w:w="36"/>
      </w:tblGrid>
      <w:tr w:rsidR="00000000">
        <w:trPr>
          <w:divId w:val="1365599285"/>
        </w:trPr>
        <w:tc>
          <w:tcPr>
            <w:tcW w:w="50" w:type="pct"/>
            <w:vAlign w:val="center"/>
            <w:hideMark/>
          </w:tcPr>
          <w:p w:rsidR="00000000" w:rsidRDefault="005D625B">
            <w:pPr>
              <w:rPr>
                <w:rFonts w:eastAsia="Times New Roman"/>
              </w:rPr>
            </w:pPr>
          </w:p>
        </w:tc>
        <w:tc>
          <w:tcPr>
            <w:tcW w:w="457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Page</w:t>
            </w:r>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150684916"/>
              <w:rPr>
                <w:rFonts w:eastAsia="Times New Roman"/>
              </w:rPr>
            </w:pPr>
            <w:hyperlink w:anchor="i8e9ae631f70f4c00b4ea140d922613cd_10" w:history="1">
              <w:r>
                <w:rPr>
                  <w:rStyle w:val="a3"/>
                  <w:rFonts w:eastAsia="Times New Roman"/>
                  <w:sz w:val="20"/>
                  <w:szCs w:val="20"/>
                </w:rPr>
                <w:t>Glossary of Terms and Abbreviations</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10" w:history="1">
              <w:r>
                <w:rPr>
                  <w:rStyle w:val="a3"/>
                  <w:rFonts w:eastAsia="Times New Roman"/>
                  <w:sz w:val="20"/>
                  <w:szCs w:val="20"/>
                </w:rPr>
                <w:t>1</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1453404109"/>
              <w:rPr>
                <w:rFonts w:eastAsia="Times New Roman"/>
              </w:rPr>
            </w:pPr>
            <w:hyperlink w:anchor="i8e9ae631f70f4c00b4ea140d922613cd_13" w:history="1">
              <w:r>
                <w:rPr>
                  <w:rStyle w:val="a3"/>
                  <w:rFonts w:eastAsia="Times New Roman"/>
                  <w:b/>
                  <w:bCs/>
                  <w:sz w:val="20"/>
                  <w:szCs w:val="20"/>
                </w:rPr>
                <w:t>Part I Financial Information</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1627159162"/>
              <w:rPr>
                <w:rFonts w:eastAsia="Times New Roman"/>
              </w:rPr>
            </w:pPr>
            <w:hyperlink w:anchor="i8e9ae631f70f4c00b4ea140d922613cd_13" w:history="1">
              <w:r>
                <w:rPr>
                  <w:rStyle w:val="a3"/>
                  <w:rFonts w:eastAsia="Times New Roman"/>
                  <w:sz w:val="20"/>
                  <w:szCs w:val="20"/>
                </w:rPr>
                <w:t>Item 1. Financial Statements (unaudited)</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1220481232"/>
              <w:rPr>
                <w:rFonts w:eastAsia="Times New Roman"/>
              </w:rPr>
            </w:pPr>
            <w:hyperlink w:anchor="i8e9ae631f70f4c00b4ea140d922613cd_16" w:history="1">
              <w:r>
                <w:rPr>
                  <w:rStyle w:val="a3"/>
                  <w:rFonts w:eastAsia="Times New Roman"/>
                  <w:sz w:val="20"/>
                  <w:szCs w:val="20"/>
                </w:rPr>
                <w:t xml:space="preserve">Condensed Consolidated Balance Sheets as of </w:t>
              </w:r>
            </w:hyperlink>
            <w:hyperlink w:anchor="i8e9ae631f70f4c00b4ea140d922613cd_16" w:history="1">
              <w:r>
                <w:rPr>
                  <w:rStyle w:val="a3"/>
                  <w:rFonts w:eastAsia="Times New Roman"/>
                  <w:sz w:val="20"/>
                  <w:szCs w:val="20"/>
                </w:rPr>
                <w:t>June</w:t>
              </w:r>
            </w:hyperlink>
            <w:hyperlink w:anchor="i8e9ae631f70f4c00b4ea140d922613cd_16" w:history="1">
              <w:r>
                <w:rPr>
                  <w:rStyle w:val="a3"/>
                  <w:rFonts w:eastAsia="Times New Roman"/>
                  <w:sz w:val="20"/>
                  <w:szCs w:val="20"/>
                </w:rPr>
                <w:t xml:space="preserve"> 3</w:t>
              </w:r>
            </w:hyperlink>
            <w:hyperlink w:anchor="i8e9ae631f70f4c00b4ea140d922613cd_16" w:history="1">
              <w:r>
                <w:rPr>
                  <w:rStyle w:val="a3"/>
                  <w:rFonts w:eastAsia="Times New Roman"/>
                  <w:sz w:val="20"/>
                  <w:szCs w:val="20"/>
                </w:rPr>
                <w:t>0</w:t>
              </w:r>
            </w:hyperlink>
            <w:hyperlink w:anchor="i8e9ae631f70f4c00b4ea140d922613cd_16" w:history="1">
              <w:r>
                <w:rPr>
                  <w:rStyle w:val="a3"/>
                  <w:rFonts w:eastAsia="Times New Roman"/>
                  <w:sz w:val="20"/>
                  <w:szCs w:val="20"/>
                </w:rPr>
                <w:t xml:space="preserve">, 2021, September 30, 2020 and </w:t>
              </w:r>
            </w:hyperlink>
            <w:hyperlink w:anchor="i8e9ae631f70f4c00b4ea140d922613cd_16" w:history="1">
              <w:r>
                <w:rPr>
                  <w:rStyle w:val="a3"/>
                  <w:rFonts w:eastAsia="Times New Roman"/>
                  <w:sz w:val="20"/>
                  <w:szCs w:val="20"/>
                </w:rPr>
                <w:t>June</w:t>
              </w:r>
            </w:hyperlink>
            <w:hyperlink w:anchor="i8e9ae631f70f4c00b4ea140d922613cd_16" w:history="1">
              <w:r>
                <w:rPr>
                  <w:rStyle w:val="a3"/>
                  <w:rFonts w:eastAsia="Times New Roman"/>
                  <w:sz w:val="20"/>
                  <w:szCs w:val="20"/>
                </w:rPr>
                <w:t xml:space="preserve"> 3</w:t>
              </w:r>
            </w:hyperlink>
            <w:hyperlink w:anchor="i8e9ae631f70f4c00b4ea140d922613cd_16" w:history="1">
              <w:r>
                <w:rPr>
                  <w:rStyle w:val="a3"/>
                  <w:rFonts w:eastAsia="Times New Roman"/>
                  <w:sz w:val="20"/>
                  <w:szCs w:val="20"/>
                </w:rPr>
                <w:t>0</w:t>
              </w:r>
            </w:hyperlink>
            <w:hyperlink w:anchor="i8e9ae631f70f4c00b4ea140d922613cd_16" w:history="1">
              <w:r>
                <w:rPr>
                  <w:rStyle w:val="a3"/>
                  <w:rFonts w:eastAsia="Times New Roman"/>
                  <w:sz w:val="20"/>
                  <w:szCs w:val="20"/>
                </w:rPr>
                <w:t>, 2020</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16" w:history="1">
              <w:r>
                <w:rPr>
                  <w:rStyle w:val="a3"/>
                  <w:rFonts w:eastAsia="Times New Roman"/>
                  <w:sz w:val="20"/>
                  <w:szCs w:val="20"/>
                </w:rPr>
                <w:t>5</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34891847"/>
              <w:rPr>
                <w:rFonts w:eastAsia="Times New Roman"/>
              </w:rPr>
            </w:pPr>
            <w:hyperlink w:anchor="i8e9ae631f70f4c00b4ea140d922613cd_19" w:history="1">
              <w:r>
                <w:rPr>
                  <w:rStyle w:val="a3"/>
                  <w:rFonts w:eastAsia="Times New Roman"/>
                  <w:sz w:val="20"/>
                  <w:szCs w:val="20"/>
                </w:rPr>
                <w:t xml:space="preserve">Condensed Consolidated Statements of Income for the three and </w:t>
              </w:r>
            </w:hyperlink>
            <w:hyperlink w:anchor="i8e9ae631f70f4c00b4ea140d922613cd_19" w:history="1">
              <w:r>
                <w:rPr>
                  <w:rStyle w:val="a3"/>
                  <w:rFonts w:eastAsia="Times New Roman"/>
                  <w:sz w:val="20"/>
                  <w:szCs w:val="20"/>
                </w:rPr>
                <w:t>nine</w:t>
              </w:r>
            </w:hyperlink>
            <w:hyperlink w:anchor="i8e9ae631f70f4c00b4ea140d922613cd_19" w:history="1">
              <w:r>
                <w:rPr>
                  <w:rStyle w:val="a3"/>
                  <w:rFonts w:eastAsia="Times New Roman"/>
                  <w:sz w:val="20"/>
                  <w:szCs w:val="20"/>
                </w:rPr>
                <w:t xml:space="preserve"> months ended</w:t>
              </w:r>
              <w:r>
                <w:rPr>
                  <w:rStyle w:val="a3"/>
                  <w:rFonts w:eastAsia="Times New Roman"/>
                  <w:sz w:val="20"/>
                  <w:szCs w:val="20"/>
                </w:rPr>
                <w:t xml:space="preserve"> </w:t>
              </w:r>
            </w:hyperlink>
            <w:hyperlink w:anchor="i8e9ae631f70f4c00b4ea140d922613cd_19" w:history="1">
              <w:r>
                <w:rPr>
                  <w:rStyle w:val="a3"/>
                  <w:rFonts w:eastAsia="Times New Roman"/>
                  <w:sz w:val="20"/>
                  <w:szCs w:val="20"/>
                </w:rPr>
                <w:t>June</w:t>
              </w:r>
            </w:hyperlink>
            <w:hyperlink w:anchor="i8e9ae631f70f4c00b4ea140d922613cd_19" w:history="1">
              <w:r>
                <w:rPr>
                  <w:rStyle w:val="a3"/>
                  <w:rFonts w:eastAsia="Times New Roman"/>
                  <w:sz w:val="20"/>
                  <w:szCs w:val="20"/>
                </w:rPr>
                <w:t xml:space="preserve"> 3</w:t>
              </w:r>
            </w:hyperlink>
            <w:hyperlink w:anchor="i8e9ae631f70f4c00b4ea140d922613cd_19" w:history="1">
              <w:r>
                <w:rPr>
                  <w:rStyle w:val="a3"/>
                  <w:rFonts w:eastAsia="Times New Roman"/>
                  <w:sz w:val="20"/>
                  <w:szCs w:val="20"/>
                </w:rPr>
                <w:t>0</w:t>
              </w:r>
            </w:hyperlink>
            <w:hyperlink w:anchor="i8e9ae631f70f4c00b4ea140d922613cd_19" w:history="1">
              <w:r>
                <w:rPr>
                  <w:rStyle w:val="a3"/>
                  <w:rFonts w:eastAsia="Times New Roman"/>
                  <w:sz w:val="20"/>
                  <w:szCs w:val="20"/>
                </w:rPr>
                <w:t>, 2021 and 2</w:t>
              </w:r>
              <w:r>
                <w:rPr>
                  <w:rStyle w:val="a3"/>
                  <w:rFonts w:eastAsia="Times New Roman"/>
                  <w:sz w:val="20"/>
                  <w:szCs w:val="20"/>
                </w:rPr>
                <w:t>020</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19" w:history="1">
              <w:r>
                <w:rPr>
                  <w:rStyle w:val="a3"/>
                  <w:rFonts w:eastAsia="Times New Roman"/>
                  <w:sz w:val="20"/>
                  <w:szCs w:val="20"/>
                </w:rPr>
                <w:t>6</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48654239"/>
              <w:rPr>
                <w:rFonts w:eastAsia="Times New Roman"/>
              </w:rPr>
            </w:pPr>
            <w:hyperlink w:anchor="i8e9ae631f70f4c00b4ea140d922613cd_22" w:history="1">
              <w:r>
                <w:rPr>
                  <w:rStyle w:val="a3"/>
                  <w:rFonts w:eastAsia="Times New Roman"/>
                  <w:sz w:val="20"/>
                  <w:szCs w:val="20"/>
                </w:rPr>
                <w:t xml:space="preserve">Condensed Consolidated Statements of Comprehensive Income for the three and </w:t>
              </w:r>
            </w:hyperlink>
            <w:hyperlink w:anchor="i8e9ae631f70f4c00b4ea140d922613cd_22" w:history="1">
              <w:r>
                <w:rPr>
                  <w:rStyle w:val="a3"/>
                  <w:rFonts w:eastAsia="Times New Roman"/>
                  <w:sz w:val="20"/>
                  <w:szCs w:val="20"/>
                </w:rPr>
                <w:t>nine</w:t>
              </w:r>
            </w:hyperlink>
            <w:hyperlink w:anchor="i8e9ae631f70f4c00b4ea140d922613cd_22" w:history="1">
              <w:r>
                <w:rPr>
                  <w:rStyle w:val="a3"/>
                  <w:rFonts w:eastAsia="Times New Roman"/>
                  <w:sz w:val="20"/>
                  <w:szCs w:val="20"/>
                </w:rPr>
                <w:t xml:space="preserve"> months ended </w:t>
              </w:r>
            </w:hyperlink>
            <w:hyperlink w:anchor="i8e9ae631f70f4c00b4ea140d922613cd_22" w:history="1">
              <w:r>
                <w:rPr>
                  <w:rStyle w:val="a3"/>
                  <w:rFonts w:eastAsia="Times New Roman"/>
                  <w:sz w:val="20"/>
                  <w:szCs w:val="20"/>
                </w:rPr>
                <w:t>June</w:t>
              </w:r>
            </w:hyperlink>
            <w:hyperlink w:anchor="i8e9ae631f70f4c00b4ea140d922613cd_22" w:history="1">
              <w:r>
                <w:rPr>
                  <w:rStyle w:val="a3"/>
                  <w:rFonts w:eastAsia="Times New Roman"/>
                  <w:sz w:val="20"/>
                  <w:szCs w:val="20"/>
                </w:rPr>
                <w:t xml:space="preserve"> 3</w:t>
              </w:r>
            </w:hyperlink>
            <w:hyperlink w:anchor="i8e9ae631f70f4c00b4ea140d922613cd_22" w:history="1">
              <w:r>
                <w:rPr>
                  <w:rStyle w:val="a3"/>
                  <w:rFonts w:eastAsia="Times New Roman"/>
                  <w:sz w:val="20"/>
                  <w:szCs w:val="20"/>
                </w:rPr>
                <w:t>0</w:t>
              </w:r>
            </w:hyperlink>
            <w:hyperlink w:anchor="i8e9ae631f70f4c00b4ea140d922613cd_22" w:history="1">
              <w:r>
                <w:rPr>
                  <w:rStyle w:val="a3"/>
                  <w:rFonts w:eastAsia="Times New Roman"/>
                  <w:sz w:val="20"/>
                  <w:szCs w:val="20"/>
                </w:rPr>
                <w:t>, 2021 and 2020</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22" w:history="1">
              <w:r>
                <w:rPr>
                  <w:rStyle w:val="a3"/>
                  <w:rFonts w:eastAsia="Times New Roman"/>
                  <w:sz w:val="20"/>
                  <w:szCs w:val="20"/>
                </w:rPr>
                <w:t>7</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1582374910"/>
              <w:rPr>
                <w:rFonts w:eastAsia="Times New Roman"/>
              </w:rPr>
            </w:pPr>
            <w:hyperlink w:anchor="i8e9ae631f70f4c00b4ea140d922613cd_25" w:history="1">
              <w:r>
                <w:rPr>
                  <w:rStyle w:val="a3"/>
                  <w:rFonts w:eastAsia="Times New Roman"/>
                  <w:sz w:val="20"/>
                  <w:szCs w:val="20"/>
                </w:rPr>
                <w:t xml:space="preserve">Condensed Consolidated Statements of Cash Flows for the </w:t>
              </w:r>
            </w:hyperlink>
            <w:hyperlink w:anchor="i8e9ae631f70f4c00b4ea140d922613cd_25" w:history="1">
              <w:r>
                <w:rPr>
                  <w:rStyle w:val="a3"/>
                  <w:rFonts w:eastAsia="Times New Roman"/>
                  <w:sz w:val="20"/>
                  <w:szCs w:val="20"/>
                </w:rPr>
                <w:t>nine</w:t>
              </w:r>
            </w:hyperlink>
            <w:hyperlink w:anchor="i8e9ae631f70f4c00b4ea140d922613cd_25" w:history="1">
              <w:r>
                <w:rPr>
                  <w:rStyle w:val="a3"/>
                  <w:rFonts w:eastAsia="Times New Roman"/>
                  <w:sz w:val="20"/>
                  <w:szCs w:val="20"/>
                </w:rPr>
                <w:t xml:space="preserve"> months ended </w:t>
              </w:r>
            </w:hyperlink>
            <w:hyperlink w:anchor="i8e9ae631f70f4c00b4ea140d922613cd_25" w:history="1">
              <w:r>
                <w:rPr>
                  <w:rStyle w:val="a3"/>
                  <w:rFonts w:eastAsia="Times New Roman"/>
                  <w:sz w:val="20"/>
                  <w:szCs w:val="20"/>
                </w:rPr>
                <w:t>June</w:t>
              </w:r>
            </w:hyperlink>
            <w:hyperlink w:anchor="i8e9ae631f70f4c00b4ea140d922613cd_25" w:history="1">
              <w:r>
                <w:rPr>
                  <w:rStyle w:val="a3"/>
                  <w:rFonts w:eastAsia="Times New Roman"/>
                  <w:sz w:val="20"/>
                  <w:szCs w:val="20"/>
                </w:rPr>
                <w:t xml:space="preserve"> 3</w:t>
              </w:r>
            </w:hyperlink>
            <w:hyperlink w:anchor="i8e9ae631f70f4c00b4ea140d922613cd_25" w:history="1">
              <w:r>
                <w:rPr>
                  <w:rStyle w:val="a3"/>
                  <w:rFonts w:eastAsia="Times New Roman"/>
                  <w:sz w:val="20"/>
                  <w:szCs w:val="20"/>
                </w:rPr>
                <w:t>0</w:t>
              </w:r>
            </w:hyperlink>
            <w:hyperlink w:anchor="i8e9ae631f70f4c00b4ea140d922613cd_25" w:history="1">
              <w:r>
                <w:rPr>
                  <w:rStyle w:val="a3"/>
                  <w:rFonts w:eastAsia="Times New Roman"/>
                  <w:sz w:val="20"/>
                  <w:szCs w:val="20"/>
                </w:rPr>
                <w:t>, 2021 and 2020</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25" w:history="1">
              <w:r>
                <w:rPr>
                  <w:rStyle w:val="a3"/>
                  <w:rFonts w:eastAsia="Times New Roman"/>
                  <w:sz w:val="20"/>
                  <w:szCs w:val="20"/>
                </w:rPr>
                <w:t>8</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1981185674"/>
              <w:rPr>
                <w:rFonts w:eastAsia="Times New Roman"/>
              </w:rPr>
            </w:pPr>
            <w:hyperlink w:anchor="i8e9ae631f70f4c00b4ea140d922613cd_28" w:history="1">
              <w:r>
                <w:rPr>
                  <w:rStyle w:val="a3"/>
                  <w:rFonts w:eastAsia="Times New Roman"/>
                  <w:sz w:val="20"/>
                  <w:szCs w:val="20"/>
                </w:rPr>
                <w:t xml:space="preserve">Condensed Consolidated Statements of Changes in Equity for the three and </w:t>
              </w:r>
            </w:hyperlink>
            <w:hyperlink w:anchor="i8e9ae631f70f4c00b4ea140d922613cd_28" w:history="1">
              <w:r>
                <w:rPr>
                  <w:rStyle w:val="a3"/>
                  <w:rFonts w:eastAsia="Times New Roman"/>
                  <w:sz w:val="20"/>
                  <w:szCs w:val="20"/>
                </w:rPr>
                <w:t>nine</w:t>
              </w:r>
            </w:hyperlink>
            <w:hyperlink w:anchor="i8e9ae631f70f4c00b4ea140d922613cd_28" w:history="1">
              <w:r>
                <w:rPr>
                  <w:rStyle w:val="a3"/>
                  <w:rFonts w:eastAsia="Times New Roman"/>
                  <w:sz w:val="20"/>
                  <w:szCs w:val="20"/>
                </w:rPr>
                <w:t xml:space="preserve"> months ended </w:t>
              </w:r>
            </w:hyperlink>
            <w:hyperlink w:anchor="i8e9ae631f70f4c00b4ea140d922613cd_28" w:history="1">
              <w:r>
                <w:rPr>
                  <w:rStyle w:val="a3"/>
                  <w:rFonts w:eastAsia="Times New Roman"/>
                  <w:sz w:val="20"/>
                  <w:szCs w:val="20"/>
                </w:rPr>
                <w:t>June</w:t>
              </w:r>
            </w:hyperlink>
            <w:hyperlink w:anchor="i8e9ae631f70f4c00b4ea140d922613cd_28" w:history="1">
              <w:r>
                <w:rPr>
                  <w:rStyle w:val="a3"/>
                  <w:rFonts w:eastAsia="Times New Roman"/>
                  <w:sz w:val="20"/>
                  <w:szCs w:val="20"/>
                </w:rPr>
                <w:t xml:space="preserve"> 3</w:t>
              </w:r>
            </w:hyperlink>
            <w:hyperlink w:anchor="i8e9ae631f70f4c00b4ea140d922613cd_28" w:history="1">
              <w:r>
                <w:rPr>
                  <w:rStyle w:val="a3"/>
                  <w:rFonts w:eastAsia="Times New Roman"/>
                  <w:sz w:val="20"/>
                  <w:szCs w:val="20"/>
                </w:rPr>
                <w:t>0</w:t>
              </w:r>
            </w:hyperlink>
            <w:hyperlink w:anchor="i8e9ae631f70f4c00b4ea140d922613cd_28" w:history="1">
              <w:r>
                <w:rPr>
                  <w:rStyle w:val="a3"/>
                  <w:rFonts w:eastAsia="Times New Roman"/>
                  <w:sz w:val="20"/>
                  <w:szCs w:val="20"/>
                </w:rPr>
                <w:t>, 2021 and 2020</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28" w:history="1">
              <w:r>
                <w:rPr>
                  <w:rStyle w:val="a3"/>
                  <w:rFonts w:eastAsia="Times New Roman"/>
                  <w:sz w:val="20"/>
                  <w:szCs w:val="20"/>
                </w:rPr>
                <w:t>9</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639771684"/>
              <w:rPr>
                <w:rFonts w:eastAsia="Times New Roman"/>
              </w:rPr>
            </w:pPr>
            <w:hyperlink w:anchor="i8e9ae631f70f4c00b4ea140d922613cd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31" w:history="1">
              <w:r>
                <w:rPr>
                  <w:rStyle w:val="a3"/>
                  <w:rFonts w:eastAsia="Times New Roman"/>
                  <w:sz w:val="20"/>
                  <w:szCs w:val="20"/>
                </w:rPr>
                <w:t>10</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65998583"/>
              <w:rPr>
                <w:rFonts w:eastAsia="Times New Roman"/>
              </w:rPr>
            </w:pPr>
            <w:hyperlink w:anchor="i8e9ae631f70f4c00b4ea140d922613cd_79"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79" w:history="1">
              <w:r>
                <w:rPr>
                  <w:rStyle w:val="a3"/>
                  <w:rFonts w:eastAsia="Times New Roman"/>
                  <w:sz w:val="20"/>
                  <w:szCs w:val="20"/>
                </w:rPr>
                <w:t>37</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834342007"/>
              <w:rPr>
                <w:rFonts w:eastAsia="Times New Roman"/>
              </w:rPr>
            </w:pPr>
            <w:hyperlink w:anchor="i8e9ae631f70f4c00b4ea140d922613cd_88" w:history="1">
              <w:r>
                <w:rPr>
                  <w:rStyle w:val="a3"/>
                  <w:rFonts w:eastAsia="Times New Roman"/>
                  <w:sz w:val="20"/>
                  <w:szCs w:val="20"/>
                </w:rPr>
                <w:t>Item 3. Quantitative and Qualitative Disclosures About Market Risk</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88" w:history="1">
              <w:r>
                <w:rPr>
                  <w:rStyle w:val="a3"/>
                  <w:rFonts w:eastAsia="Times New Roman"/>
                  <w:sz w:val="20"/>
                  <w:szCs w:val="20"/>
                </w:rPr>
                <w:t>56</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1195382310"/>
              <w:rPr>
                <w:rFonts w:eastAsia="Times New Roman"/>
              </w:rPr>
            </w:pPr>
            <w:hyperlink w:anchor="i8e9ae631f70f4c00b4ea140d922613cd_91"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91" w:history="1">
              <w:r>
                <w:rPr>
                  <w:rStyle w:val="a3"/>
                  <w:rFonts w:eastAsia="Times New Roman"/>
                  <w:sz w:val="20"/>
                  <w:szCs w:val="20"/>
                </w:rPr>
                <w:t>58</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1224874111"/>
              <w:rPr>
                <w:rFonts w:eastAsia="Times New Roman"/>
              </w:rPr>
            </w:pPr>
            <w:hyperlink w:anchor="i8e9ae631f70f4c00b4ea140d922613cd_94" w:history="1">
              <w:r>
                <w:rPr>
                  <w:rStyle w:val="a3"/>
                  <w:rFonts w:eastAsia="Times New Roman"/>
                  <w:b/>
                  <w:bCs/>
                  <w:sz w:val="20"/>
                  <w:szCs w:val="20"/>
                </w:rPr>
                <w:t>Part II Other Information</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1637102904"/>
              <w:rPr>
                <w:rFonts w:eastAsia="Times New Roman"/>
              </w:rPr>
            </w:pPr>
            <w:hyperlink w:anchor="i8e9ae631f70f4c00b4ea140d922613cd_97"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97" w:history="1">
              <w:r>
                <w:rPr>
                  <w:rStyle w:val="a3"/>
                  <w:rFonts w:eastAsia="Times New Roman"/>
                  <w:sz w:val="20"/>
                  <w:szCs w:val="20"/>
                </w:rPr>
                <w:t>59</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840201811"/>
              <w:rPr>
                <w:rFonts w:eastAsia="Times New Roman"/>
              </w:rPr>
            </w:pPr>
            <w:hyperlink w:anchor="i8e9ae631f70f4c00b4ea140d922613cd_100" w:history="1">
              <w:r>
                <w:rPr>
                  <w:rStyle w:val="a3"/>
                  <w:rFonts w:eastAsia="Times New Roman"/>
                  <w:sz w:val="20"/>
                  <w:szCs w:val="20"/>
                </w:rPr>
                <w:t>Item 6. Exhibits</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97" w:history="1">
              <w:r>
                <w:rPr>
                  <w:rStyle w:val="a3"/>
                  <w:rFonts w:eastAsia="Times New Roman"/>
                  <w:sz w:val="20"/>
                  <w:szCs w:val="20"/>
                </w:rPr>
                <w:t>59</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5599285"/>
        </w:trPr>
        <w:tc>
          <w:tcPr>
            <w:tcW w:w="0" w:type="auto"/>
            <w:gridSpan w:val="3"/>
            <w:tcMar>
              <w:top w:w="30" w:type="dxa"/>
              <w:left w:w="20" w:type="dxa"/>
              <w:bottom w:w="30" w:type="dxa"/>
              <w:right w:w="20" w:type="dxa"/>
            </w:tcMar>
            <w:hideMark/>
          </w:tcPr>
          <w:p w:rsidR="00000000" w:rsidRDefault="005D625B">
            <w:pPr>
              <w:spacing w:after="100"/>
              <w:divId w:val="107092369"/>
              <w:rPr>
                <w:rFonts w:eastAsia="Times New Roman"/>
              </w:rPr>
            </w:pPr>
            <w:hyperlink w:anchor="i8e9ae631f70f4c00b4ea140d922613cd_106" w:history="1">
              <w:r>
                <w:rPr>
                  <w:rStyle w:val="a3"/>
                  <w:rFonts w:eastAsia="Times New Roman"/>
                  <w:sz w:val="20"/>
                  <w:szCs w:val="20"/>
                </w:rPr>
                <w:t>Signatures</w:t>
              </w:r>
            </w:hyperlink>
          </w:p>
        </w:tc>
        <w:tc>
          <w:tcPr>
            <w:tcW w:w="0" w:type="auto"/>
            <w:gridSpan w:val="3"/>
            <w:tcMar>
              <w:top w:w="30" w:type="dxa"/>
              <w:left w:w="20" w:type="dxa"/>
              <w:bottom w:w="30" w:type="dxa"/>
              <w:right w:w="20" w:type="dxa"/>
            </w:tcMar>
            <w:hideMark/>
          </w:tcPr>
          <w:p w:rsidR="00000000" w:rsidRDefault="005D625B">
            <w:pPr>
              <w:spacing w:after="100"/>
              <w:jc w:val="right"/>
              <w:rPr>
                <w:rFonts w:eastAsia="Times New Roman"/>
              </w:rPr>
            </w:pPr>
            <w:hyperlink w:anchor="i8e9ae631f70f4c00b4ea140d922613cd_106" w:history="1">
              <w:r>
                <w:rPr>
                  <w:rStyle w:val="a3"/>
                  <w:rFonts w:eastAsia="Times New Roman"/>
                  <w:sz w:val="20"/>
                  <w:szCs w:val="20"/>
                </w:rPr>
                <w:t>63</w:t>
              </w:r>
            </w:hyperlink>
          </w:p>
        </w:tc>
      </w:tr>
      <w:tr w:rsidR="00000000">
        <w:trPr>
          <w:divId w:val="1365599285"/>
          <w:trHeight w:val="6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bl>
    <w:p w:rsidR="00000000" w:rsidRDefault="005D625B">
      <w:pPr>
        <w:divId w:val="1893467683"/>
        <w:rPr>
          <w:rFonts w:eastAsia="Times New Roman"/>
        </w:rPr>
      </w:pPr>
      <w:r>
        <w:rPr>
          <w:rFonts w:eastAsia="Times New Roman"/>
          <w:color w:val="000000"/>
          <w:sz w:val="16"/>
          <w:szCs w:val="16"/>
        </w:rPr>
        <w:t> </w:t>
      </w:r>
    </w:p>
    <w:p w:rsidR="00000000" w:rsidRDefault="005D625B">
      <w:pPr>
        <w:jc w:val="center"/>
        <w:divId w:val="1922448153"/>
        <w:rPr>
          <w:rFonts w:eastAsia="Times New Roman"/>
        </w:rPr>
      </w:pPr>
      <w:r>
        <w:rPr>
          <w:rFonts w:eastAsia="Times New Roman"/>
          <w:color w:val="000000"/>
          <w:sz w:val="20"/>
          <w:szCs w:val="20"/>
        </w:rPr>
        <w:t>i</w:t>
      </w:r>
    </w:p>
    <w:p w:rsidR="00000000" w:rsidRDefault="005D625B">
      <w:pPr>
        <w:rPr>
          <w:rFonts w:eastAsia="Times New Roman"/>
        </w:rPr>
      </w:pPr>
      <w:r>
        <w:rPr>
          <w:rFonts w:eastAsia="Times New Roman"/>
        </w:rPr>
        <w:pict>
          <v:rect id="_x0000_i1026" style="width:0;height:1.5pt" o:hralign="center" o:hrstd="t" o:hr="t" fillcolor="#a0a0a0" stroked="f"/>
        </w:pict>
      </w:r>
    </w:p>
    <w:p w:rsidR="00000000" w:rsidRDefault="005D625B">
      <w:pPr>
        <w:divId w:val="143931613"/>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570537419"/>
        <w:rPr>
          <w:rFonts w:eastAsia="Times New Roman"/>
        </w:rPr>
      </w:pPr>
    </w:p>
    <w:p w:rsidR="00000000" w:rsidRDefault="005D625B">
      <w:pPr>
        <w:divId w:val="45758530"/>
        <w:rPr>
          <w:rFonts w:eastAsia="Times New Roman"/>
        </w:rPr>
      </w:pPr>
    </w:p>
    <w:p w:rsidR="00000000" w:rsidRDefault="005D625B">
      <w:pPr>
        <w:jc w:val="center"/>
        <w:rPr>
          <w:rFonts w:eastAsia="Times New Roman"/>
        </w:rPr>
      </w:pPr>
      <w:r>
        <w:rPr>
          <w:rFonts w:eastAsia="Times New Roman"/>
          <w:b/>
          <w:bCs/>
          <w:color w:val="000000"/>
          <w:sz w:val="20"/>
          <w:szCs w:val="20"/>
        </w:rPr>
        <w:t>GLOSSARY OF TERMS AND ABBREVIATIONS</w:t>
      </w:r>
    </w:p>
    <w:p w:rsidR="00000000" w:rsidRDefault="005D625B">
      <w:pPr>
        <w:divId w:val="1340231323"/>
        <w:rPr>
          <w:rFonts w:eastAsia="Times New Roman"/>
        </w:rPr>
      </w:pPr>
    </w:p>
    <w:p w:rsidR="00000000" w:rsidRDefault="005D625B">
      <w:pPr>
        <w:divId w:val="556283138"/>
        <w:rPr>
          <w:rFonts w:eastAsia="Times New Roman"/>
        </w:rPr>
      </w:pPr>
      <w:r>
        <w:rPr>
          <w:rFonts w:eastAsia="Times New Roman"/>
          <w:color w:val="000000"/>
          <w:sz w:val="20"/>
          <w:szCs w:val="20"/>
        </w:rPr>
        <w:t>Terms and abbreviations used in this Form 10-Q are defined below:</w:t>
      </w:r>
    </w:p>
    <w:p w:rsidR="00000000" w:rsidRDefault="005D625B">
      <w:pPr>
        <w:divId w:val="792678549"/>
        <w:rPr>
          <w:rFonts w:eastAsia="Times New Roman"/>
        </w:rPr>
      </w:pPr>
    </w:p>
    <w:p w:rsidR="00000000" w:rsidRDefault="005D625B">
      <w:pPr>
        <w:jc w:val="center"/>
        <w:rPr>
          <w:rFonts w:eastAsia="Times New Roman"/>
        </w:rPr>
      </w:pPr>
      <w:r>
        <w:rPr>
          <w:rFonts w:eastAsia="Times New Roman"/>
          <w:b/>
          <w:bCs/>
          <w:i/>
          <w:iCs/>
          <w:color w:val="000000"/>
          <w:sz w:val="20"/>
          <w:szCs w:val="20"/>
          <w:u w:val="single"/>
        </w:rPr>
        <w:t>UGI Corporation and Related Entities</w:t>
      </w:r>
    </w:p>
    <w:p w:rsidR="00000000" w:rsidRDefault="005D625B">
      <w:pPr>
        <w:jc w:val="center"/>
        <w:rPr>
          <w:rFonts w:eastAsia="Times New Roman"/>
        </w:rPr>
      </w:pPr>
    </w:p>
    <w:p w:rsidR="00000000" w:rsidRDefault="005D625B">
      <w:pPr>
        <w:jc w:val="both"/>
        <w:divId w:val="311909269"/>
        <w:rPr>
          <w:rFonts w:eastAsia="Times New Roman"/>
        </w:rPr>
      </w:pPr>
      <w:r>
        <w:rPr>
          <w:rFonts w:eastAsia="Times New Roman"/>
          <w:b/>
          <w:bCs/>
          <w:i/>
          <w:iCs/>
          <w:color w:val="000000"/>
          <w:sz w:val="20"/>
          <w:szCs w:val="20"/>
        </w:rPr>
        <w:t xml:space="preserve">AmeriGas OLP - </w:t>
      </w:r>
      <w:r>
        <w:rPr>
          <w:rFonts w:eastAsia="Times New Roman"/>
          <w:color w:val="000000"/>
          <w:sz w:val="20"/>
          <w:szCs w:val="20"/>
        </w:rPr>
        <w:t>AmeriGas Propane, L.P., the principal operating subsidiary of AmeriGas Partners</w:t>
      </w:r>
    </w:p>
    <w:p w:rsidR="00000000" w:rsidRDefault="005D625B">
      <w:pPr>
        <w:jc w:val="both"/>
        <w:divId w:val="157311498"/>
        <w:rPr>
          <w:rFonts w:eastAsia="Times New Roman"/>
        </w:rPr>
      </w:pPr>
      <w:r>
        <w:rPr>
          <w:rFonts w:eastAsia="Times New Roman"/>
          <w:b/>
          <w:bCs/>
          <w:i/>
          <w:iCs/>
          <w:color w:val="000000"/>
          <w:sz w:val="20"/>
          <w:szCs w:val="20"/>
        </w:rPr>
        <w:t>AmeriGas Partners -</w:t>
      </w:r>
      <w:r>
        <w:rPr>
          <w:rFonts w:eastAsia="Times New Roman"/>
          <w:color w:val="000000"/>
          <w:sz w:val="20"/>
          <w:szCs w:val="20"/>
        </w:rPr>
        <w:t xml:space="preserve"> AmeriGas Partners, L.P., a Delaware limited partnership and an indirect wholly-owned subsidiary of UGI</w:t>
      </w:r>
      <w:r>
        <w:rPr>
          <w:rFonts w:eastAsia="Times New Roman"/>
          <w:color w:val="000000"/>
          <w:sz w:val="20"/>
          <w:szCs w:val="20"/>
        </w:rPr>
        <w:t>; also referred to as the “Partnership”</w:t>
      </w:r>
    </w:p>
    <w:p w:rsidR="00000000" w:rsidRDefault="005D625B">
      <w:pPr>
        <w:jc w:val="both"/>
        <w:divId w:val="1131904203"/>
        <w:rPr>
          <w:rFonts w:eastAsia="Times New Roman"/>
        </w:rPr>
      </w:pPr>
      <w:r>
        <w:rPr>
          <w:rFonts w:eastAsia="Times New Roman"/>
          <w:b/>
          <w:bCs/>
          <w:i/>
          <w:iCs/>
          <w:color w:val="000000"/>
          <w:sz w:val="20"/>
          <w:szCs w:val="20"/>
        </w:rPr>
        <w:t>AmeriGas Propane -</w:t>
      </w:r>
      <w:r>
        <w:rPr>
          <w:rFonts w:eastAsia="Times New Roman"/>
          <w:color w:val="000000"/>
          <w:sz w:val="20"/>
          <w:szCs w:val="20"/>
        </w:rPr>
        <w:t xml:space="preserve"> Reportable segment comprising AmeriGas Propane, Inc. and its subsidiaries, including AmeriGas Partners and AmeriGas OLP</w:t>
      </w:r>
    </w:p>
    <w:p w:rsidR="00000000" w:rsidRDefault="005D625B">
      <w:pPr>
        <w:jc w:val="both"/>
        <w:divId w:val="742680247"/>
        <w:rPr>
          <w:rFonts w:eastAsia="Times New Roman"/>
        </w:rPr>
      </w:pPr>
      <w:r>
        <w:rPr>
          <w:rFonts w:eastAsia="Times New Roman"/>
          <w:b/>
          <w:bCs/>
          <w:i/>
          <w:iCs/>
          <w:color w:val="000000"/>
          <w:sz w:val="20"/>
          <w:szCs w:val="20"/>
        </w:rPr>
        <w:t>AmeriGas Propane, Inc. -</w:t>
      </w:r>
      <w:r>
        <w:rPr>
          <w:rFonts w:eastAsia="Times New Roman"/>
          <w:color w:val="000000"/>
          <w:sz w:val="20"/>
          <w:szCs w:val="20"/>
        </w:rPr>
        <w:t xml:space="preserve"> A wholly owned second-tier subsidiary of UGI and the</w:t>
      </w:r>
      <w:r>
        <w:rPr>
          <w:rFonts w:eastAsia="Times New Roman"/>
          <w:color w:val="000000"/>
          <w:sz w:val="20"/>
          <w:szCs w:val="20"/>
        </w:rPr>
        <w:t xml:space="preserve"> general partner of AmeriGas Partners; also referred to as the “General Partner”</w:t>
      </w:r>
    </w:p>
    <w:p w:rsidR="00000000" w:rsidRDefault="005D625B">
      <w:pPr>
        <w:jc w:val="both"/>
        <w:divId w:val="429085184"/>
        <w:rPr>
          <w:rFonts w:eastAsia="Times New Roman"/>
        </w:rPr>
      </w:pPr>
      <w:r>
        <w:rPr>
          <w:rFonts w:eastAsia="Times New Roman"/>
          <w:b/>
          <w:bCs/>
          <w:i/>
          <w:iCs/>
          <w:color w:val="000000"/>
          <w:sz w:val="20"/>
          <w:szCs w:val="20"/>
        </w:rPr>
        <w:t>AvantiGas -</w:t>
      </w:r>
      <w:r>
        <w:rPr>
          <w:rFonts w:eastAsia="Times New Roman"/>
          <w:color w:val="000000"/>
          <w:sz w:val="20"/>
          <w:szCs w:val="20"/>
        </w:rPr>
        <w:t xml:space="preserve"> AvantiGas Limited, an indirect wholly owned subsidiary of UGI International, LLC</w:t>
      </w:r>
    </w:p>
    <w:p w:rsidR="00000000" w:rsidRDefault="005D625B">
      <w:pPr>
        <w:jc w:val="both"/>
        <w:divId w:val="1784307011"/>
        <w:rPr>
          <w:rFonts w:eastAsia="Times New Roman"/>
        </w:rPr>
      </w:pPr>
      <w:r>
        <w:rPr>
          <w:rFonts w:eastAsia="Times New Roman"/>
          <w:b/>
          <w:bCs/>
          <w:i/>
          <w:iCs/>
          <w:color w:val="000000"/>
          <w:sz w:val="20"/>
          <w:szCs w:val="20"/>
        </w:rPr>
        <w:t>Company -</w:t>
      </w:r>
      <w:r>
        <w:rPr>
          <w:rFonts w:eastAsia="Times New Roman"/>
          <w:color w:val="000000"/>
          <w:sz w:val="20"/>
          <w:szCs w:val="20"/>
        </w:rPr>
        <w:t xml:space="preserve"> UGI and its consolidated subsidiaries collectively</w:t>
      </w:r>
    </w:p>
    <w:p w:rsidR="00000000" w:rsidRDefault="005D625B">
      <w:pPr>
        <w:jc w:val="both"/>
        <w:divId w:val="2028746886"/>
        <w:rPr>
          <w:rFonts w:eastAsia="Times New Roman"/>
        </w:rPr>
      </w:pPr>
      <w:r>
        <w:rPr>
          <w:rFonts w:eastAsia="Times New Roman"/>
          <w:b/>
          <w:bCs/>
          <w:i/>
          <w:iCs/>
          <w:color w:val="000000"/>
          <w:sz w:val="20"/>
          <w:szCs w:val="20"/>
        </w:rPr>
        <w:t>DVEP -</w:t>
      </w:r>
      <w:r>
        <w:rPr>
          <w:rFonts w:eastAsia="Times New Roman"/>
          <w:color w:val="000000"/>
          <w:sz w:val="20"/>
          <w:szCs w:val="20"/>
        </w:rPr>
        <w:t xml:space="preserve"> DVEP Investeri</w:t>
      </w:r>
      <w:r>
        <w:rPr>
          <w:rFonts w:eastAsia="Times New Roman"/>
          <w:color w:val="000000"/>
          <w:sz w:val="20"/>
          <w:szCs w:val="20"/>
        </w:rPr>
        <w:t>ngen B.V., an indirect wholly owned subsidiary of UGI International, LLC</w:t>
      </w:r>
    </w:p>
    <w:p w:rsidR="00000000" w:rsidRDefault="005D625B">
      <w:pPr>
        <w:jc w:val="both"/>
        <w:divId w:val="236939894"/>
        <w:rPr>
          <w:rFonts w:eastAsia="Times New Roman"/>
        </w:rPr>
      </w:pPr>
      <w:r>
        <w:rPr>
          <w:rFonts w:eastAsia="Times New Roman"/>
          <w:b/>
          <w:bCs/>
          <w:i/>
          <w:iCs/>
          <w:color w:val="000000"/>
          <w:sz w:val="20"/>
          <w:szCs w:val="20"/>
        </w:rPr>
        <w:t>Electric Utility -</w:t>
      </w:r>
      <w:r>
        <w:rPr>
          <w:rFonts w:eastAsia="Times New Roman"/>
          <w:color w:val="000000"/>
          <w:sz w:val="20"/>
          <w:szCs w:val="20"/>
        </w:rPr>
        <w:t xml:space="preserve"> UGI Utilities’ regulated electric distribution utility</w:t>
      </w:r>
    </w:p>
    <w:p w:rsidR="00000000" w:rsidRDefault="005D625B">
      <w:pPr>
        <w:jc w:val="both"/>
        <w:divId w:val="1420372111"/>
        <w:rPr>
          <w:rFonts w:eastAsia="Times New Roman"/>
        </w:rPr>
      </w:pPr>
      <w:r>
        <w:rPr>
          <w:rFonts w:eastAsia="Times New Roman"/>
          <w:b/>
          <w:bCs/>
          <w:i/>
          <w:iCs/>
          <w:color w:val="000000"/>
          <w:sz w:val="20"/>
          <w:szCs w:val="20"/>
        </w:rPr>
        <w:t>Energy Services -</w:t>
      </w:r>
      <w:r>
        <w:rPr>
          <w:rFonts w:eastAsia="Times New Roman"/>
          <w:color w:val="000000"/>
          <w:sz w:val="20"/>
          <w:szCs w:val="20"/>
        </w:rPr>
        <w:t xml:space="preserve"> </w:t>
      </w:r>
      <w:r>
        <w:rPr>
          <w:rFonts w:eastAsia="Times New Roman"/>
          <w:color w:val="000000"/>
          <w:sz w:val="20"/>
          <w:szCs w:val="20"/>
        </w:rPr>
        <w:t>UGI Energy Services, LLC, a wholly owned second-tier subsidiary of UGI</w:t>
      </w:r>
    </w:p>
    <w:p w:rsidR="00000000" w:rsidRDefault="005D625B">
      <w:pPr>
        <w:jc w:val="both"/>
        <w:divId w:val="2047019203"/>
        <w:rPr>
          <w:rFonts w:eastAsia="Times New Roman"/>
        </w:rPr>
      </w:pPr>
      <w:r>
        <w:rPr>
          <w:rFonts w:eastAsia="Times New Roman"/>
          <w:b/>
          <w:bCs/>
          <w:i/>
          <w:iCs/>
          <w:color w:val="000000"/>
          <w:sz w:val="20"/>
          <w:szCs w:val="20"/>
        </w:rPr>
        <w:t>ESFC -</w:t>
      </w:r>
      <w:r>
        <w:rPr>
          <w:rFonts w:eastAsia="Times New Roman"/>
          <w:color w:val="000000"/>
          <w:sz w:val="20"/>
          <w:szCs w:val="20"/>
        </w:rPr>
        <w:t xml:space="preserve"> Energy Services Funding Corporation, a wholly owned subsidiary of Energy Services</w:t>
      </w:r>
    </w:p>
    <w:p w:rsidR="00000000" w:rsidRDefault="005D625B">
      <w:pPr>
        <w:jc w:val="both"/>
        <w:divId w:val="1016157395"/>
        <w:rPr>
          <w:rFonts w:eastAsia="Times New Roman"/>
        </w:rPr>
      </w:pPr>
      <w:r>
        <w:rPr>
          <w:rFonts w:eastAsia="Times New Roman"/>
          <w:b/>
          <w:bCs/>
          <w:i/>
          <w:iCs/>
          <w:color w:val="000000"/>
          <w:sz w:val="20"/>
          <w:szCs w:val="20"/>
        </w:rPr>
        <w:t xml:space="preserve">Flaga - </w:t>
      </w:r>
      <w:r>
        <w:rPr>
          <w:rFonts w:eastAsia="Times New Roman"/>
          <w:color w:val="000000"/>
          <w:sz w:val="20"/>
          <w:szCs w:val="20"/>
        </w:rPr>
        <w:t>Flaga GmbH, an indirect wholly owned subsidiary of UGI International, LLC</w:t>
      </w:r>
    </w:p>
    <w:p w:rsidR="00000000" w:rsidRDefault="005D625B">
      <w:pPr>
        <w:jc w:val="both"/>
        <w:divId w:val="1174682177"/>
        <w:rPr>
          <w:rFonts w:eastAsia="Times New Roman"/>
        </w:rPr>
      </w:pPr>
      <w:r>
        <w:rPr>
          <w:rFonts w:eastAsia="Times New Roman"/>
          <w:b/>
          <w:bCs/>
          <w:i/>
          <w:iCs/>
          <w:color w:val="000000"/>
          <w:sz w:val="20"/>
          <w:szCs w:val="20"/>
        </w:rPr>
        <w:t>Gas Utility -</w:t>
      </w:r>
      <w:r>
        <w:rPr>
          <w:rFonts w:eastAsia="Times New Roman"/>
          <w:color w:val="000000"/>
          <w:sz w:val="20"/>
          <w:szCs w:val="20"/>
        </w:rPr>
        <w:t xml:space="preserve"> </w:t>
      </w:r>
      <w:r>
        <w:rPr>
          <w:rFonts w:eastAsia="Times New Roman"/>
          <w:color w:val="000000"/>
          <w:sz w:val="20"/>
          <w:szCs w:val="20"/>
        </w:rPr>
        <w:t>UGI Utilities’ regulated natural gas distribution business, comprising the natural gas utility businesses owned and operated by UGI Utilities</w:t>
      </w:r>
    </w:p>
    <w:p w:rsidR="00000000" w:rsidRDefault="005D625B">
      <w:pPr>
        <w:jc w:val="both"/>
        <w:divId w:val="1709841498"/>
        <w:rPr>
          <w:rFonts w:eastAsia="Times New Roman"/>
        </w:rPr>
      </w:pPr>
      <w:r>
        <w:rPr>
          <w:rFonts w:eastAsia="Times New Roman"/>
          <w:b/>
          <w:bCs/>
          <w:i/>
          <w:iCs/>
          <w:color w:val="000000"/>
          <w:sz w:val="20"/>
          <w:szCs w:val="20"/>
        </w:rPr>
        <w:t>General Partner</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AmeriGas Propane, Inc., the general partner of AmeriGas Partners</w:t>
      </w:r>
    </w:p>
    <w:p w:rsidR="00000000" w:rsidRDefault="005D625B">
      <w:pPr>
        <w:jc w:val="both"/>
        <w:divId w:val="863441131"/>
        <w:rPr>
          <w:rFonts w:eastAsia="Times New Roman"/>
        </w:rPr>
      </w:pPr>
      <w:r>
        <w:rPr>
          <w:rFonts w:eastAsia="Times New Roman"/>
          <w:b/>
          <w:bCs/>
          <w:i/>
          <w:iCs/>
          <w:color w:val="000000"/>
          <w:sz w:val="20"/>
          <w:szCs w:val="20"/>
        </w:rPr>
        <w:t xml:space="preserve">GHI - </w:t>
      </w:r>
      <w:r>
        <w:rPr>
          <w:rFonts w:eastAsia="Times New Roman"/>
          <w:color w:val="000000"/>
          <w:sz w:val="20"/>
          <w:szCs w:val="20"/>
        </w:rPr>
        <w:t>GHI Energy, LLC, which wa</w:t>
      </w:r>
      <w:r>
        <w:rPr>
          <w:rFonts w:eastAsia="Times New Roman"/>
          <w:color w:val="000000"/>
          <w:sz w:val="20"/>
          <w:szCs w:val="20"/>
        </w:rPr>
        <w:t>s acquired by Energy Services in Fiscal 2020</w:t>
      </w:r>
    </w:p>
    <w:p w:rsidR="00000000" w:rsidRDefault="005D625B">
      <w:pPr>
        <w:jc w:val="both"/>
        <w:divId w:val="35591798"/>
        <w:rPr>
          <w:rFonts w:eastAsia="Times New Roman"/>
        </w:rPr>
      </w:pPr>
      <w:r>
        <w:rPr>
          <w:rFonts w:eastAsia="Times New Roman"/>
          <w:b/>
          <w:bCs/>
          <w:i/>
          <w:iCs/>
          <w:color w:val="000000"/>
          <w:sz w:val="20"/>
          <w:szCs w:val="20"/>
        </w:rPr>
        <w:t>HVAC</w:t>
      </w:r>
      <w:r>
        <w:rPr>
          <w:rFonts w:eastAsia="Times New Roman"/>
          <w:color w:val="000000"/>
          <w:sz w:val="20"/>
          <w:szCs w:val="20"/>
        </w:rPr>
        <w:t xml:space="preserve"> - UGI HVAC Enterprises, Inc., a wholly owned second-tier subsidiary of UGI, which was sold in September 2020</w:t>
      </w:r>
    </w:p>
    <w:p w:rsidR="00000000" w:rsidRDefault="005D625B">
      <w:pPr>
        <w:jc w:val="both"/>
        <w:divId w:val="1272009696"/>
        <w:rPr>
          <w:rFonts w:eastAsia="Times New Roman"/>
        </w:rPr>
      </w:pPr>
      <w:r>
        <w:rPr>
          <w:rFonts w:eastAsia="Times New Roman"/>
          <w:b/>
          <w:bCs/>
          <w:i/>
          <w:iCs/>
          <w:color w:val="000000"/>
          <w:sz w:val="20"/>
          <w:szCs w:val="20"/>
        </w:rPr>
        <w:t>Midstream &amp; Marketing -</w:t>
      </w:r>
      <w:r>
        <w:rPr>
          <w:rFonts w:eastAsia="Times New Roman"/>
          <w:color w:val="000000"/>
          <w:sz w:val="20"/>
          <w:szCs w:val="20"/>
        </w:rPr>
        <w:t xml:space="preserve"> Reportable segment comprising Energy Services, UGID and, prior to its sal</w:t>
      </w:r>
      <w:r>
        <w:rPr>
          <w:rFonts w:eastAsia="Times New Roman"/>
          <w:color w:val="000000"/>
          <w:sz w:val="20"/>
          <w:szCs w:val="20"/>
        </w:rPr>
        <w:t>e in September 2020, HVAC</w:t>
      </w:r>
    </w:p>
    <w:p w:rsidR="00000000" w:rsidRDefault="005D625B">
      <w:pPr>
        <w:jc w:val="both"/>
        <w:divId w:val="1794908983"/>
        <w:rPr>
          <w:rFonts w:eastAsia="Times New Roman"/>
        </w:rPr>
      </w:pPr>
      <w:r>
        <w:rPr>
          <w:rFonts w:eastAsia="Times New Roman"/>
          <w:b/>
          <w:bCs/>
          <w:i/>
          <w:iCs/>
          <w:color w:val="000000"/>
          <w:sz w:val="20"/>
          <w:szCs w:val="20"/>
        </w:rPr>
        <w:t>Partnership -</w:t>
      </w:r>
      <w:r>
        <w:rPr>
          <w:rFonts w:eastAsia="Times New Roman"/>
          <w:color w:val="000000"/>
          <w:sz w:val="20"/>
          <w:szCs w:val="20"/>
        </w:rPr>
        <w:t xml:space="preserve"> AmeriGas Partners and its consolidated subsidiaries, including AmeriGas OLP</w:t>
      </w:r>
    </w:p>
    <w:p w:rsidR="00000000" w:rsidRDefault="005D625B">
      <w:pPr>
        <w:jc w:val="both"/>
        <w:divId w:val="438179557"/>
        <w:rPr>
          <w:rFonts w:eastAsia="Times New Roman"/>
        </w:rPr>
      </w:pPr>
      <w:r>
        <w:rPr>
          <w:rFonts w:eastAsia="Times New Roman"/>
          <w:b/>
          <w:bCs/>
          <w:i/>
          <w:iCs/>
          <w:color w:val="000000"/>
          <w:sz w:val="20"/>
          <w:szCs w:val="20"/>
        </w:rPr>
        <w:t>Pennant -</w:t>
      </w:r>
      <w:r>
        <w:rPr>
          <w:rFonts w:eastAsia="Times New Roman"/>
          <w:color w:val="000000"/>
          <w:sz w:val="20"/>
          <w:szCs w:val="20"/>
        </w:rPr>
        <w:t xml:space="preserve"> Pennant Midstream, LLC, a Delaware limited liability corporation</w:t>
      </w:r>
    </w:p>
    <w:p w:rsidR="00000000" w:rsidRDefault="005D625B">
      <w:pPr>
        <w:jc w:val="both"/>
        <w:divId w:val="1364475887"/>
        <w:rPr>
          <w:rFonts w:eastAsia="Times New Roman"/>
        </w:rPr>
      </w:pPr>
      <w:r>
        <w:rPr>
          <w:rFonts w:eastAsia="Times New Roman"/>
          <w:b/>
          <w:bCs/>
          <w:i/>
          <w:iCs/>
          <w:color w:val="000000"/>
          <w:sz w:val="20"/>
          <w:szCs w:val="20"/>
        </w:rPr>
        <w:t>PennEast -</w:t>
      </w:r>
      <w:r>
        <w:rPr>
          <w:rFonts w:eastAsia="Times New Roman"/>
          <w:color w:val="000000"/>
          <w:sz w:val="20"/>
          <w:szCs w:val="20"/>
        </w:rPr>
        <w:t xml:space="preserve"> PennEast Pipeline Company, LLC</w:t>
      </w:r>
    </w:p>
    <w:p w:rsidR="00000000" w:rsidRDefault="005D625B">
      <w:pPr>
        <w:jc w:val="both"/>
        <w:divId w:val="1329557406"/>
        <w:rPr>
          <w:rFonts w:eastAsia="Times New Roman"/>
        </w:rPr>
      </w:pPr>
      <w:r>
        <w:rPr>
          <w:rFonts w:eastAsia="Times New Roman"/>
          <w:b/>
          <w:bCs/>
          <w:i/>
          <w:iCs/>
          <w:color w:val="000000"/>
          <w:sz w:val="20"/>
          <w:szCs w:val="20"/>
        </w:rPr>
        <w:t>Pine Run</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Pine Run Gat</w:t>
      </w:r>
      <w:r>
        <w:rPr>
          <w:rFonts w:eastAsia="Times New Roman"/>
          <w:color w:val="000000"/>
          <w:sz w:val="20"/>
          <w:szCs w:val="20"/>
        </w:rPr>
        <w:t>hering, LLC</w:t>
      </w:r>
    </w:p>
    <w:p w:rsidR="00000000" w:rsidRDefault="005D625B">
      <w:pPr>
        <w:jc w:val="both"/>
        <w:divId w:val="913007934"/>
        <w:rPr>
          <w:rFonts w:eastAsia="Times New Roman"/>
        </w:rPr>
      </w:pPr>
      <w:r>
        <w:rPr>
          <w:rFonts w:eastAsia="Times New Roman"/>
          <w:b/>
          <w:bCs/>
          <w:i/>
          <w:iCs/>
          <w:color w:val="000000"/>
          <w:sz w:val="20"/>
          <w:szCs w:val="20"/>
        </w:rPr>
        <w:t>UGI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Corporation</w:t>
      </w:r>
    </w:p>
    <w:p w:rsidR="00000000" w:rsidRDefault="005D625B">
      <w:pPr>
        <w:jc w:val="both"/>
        <w:divId w:val="862868062"/>
        <w:rPr>
          <w:rFonts w:eastAsia="Times New Roman"/>
        </w:rPr>
      </w:pPr>
      <w:r>
        <w:rPr>
          <w:rFonts w:eastAsia="Times New Roman"/>
          <w:b/>
          <w:bCs/>
          <w:i/>
          <w:iCs/>
          <w:color w:val="000000"/>
          <w:sz w:val="20"/>
          <w:szCs w:val="20"/>
        </w:rPr>
        <w:lastRenderedPageBreak/>
        <w:t>UGI Appalachia -</w:t>
      </w:r>
      <w:r>
        <w:rPr>
          <w:rFonts w:eastAsia="Times New Roman"/>
          <w:color w:val="000000"/>
          <w:sz w:val="20"/>
          <w:szCs w:val="20"/>
        </w:rPr>
        <w:t xml:space="preserve"> UGI Appalachia, LLC, a wholly owned subsidiary of Energy Services</w:t>
      </w:r>
    </w:p>
    <w:p w:rsidR="00000000" w:rsidRDefault="005D625B">
      <w:pPr>
        <w:jc w:val="both"/>
        <w:divId w:val="212233455"/>
        <w:rPr>
          <w:rFonts w:eastAsia="Times New Roman"/>
        </w:rPr>
      </w:pPr>
      <w:r>
        <w:rPr>
          <w:rFonts w:eastAsia="Times New Roman"/>
          <w:b/>
          <w:bCs/>
          <w:i/>
          <w:iCs/>
          <w:color w:val="000000"/>
          <w:sz w:val="20"/>
          <w:szCs w:val="20"/>
        </w:rPr>
        <w:t xml:space="preserve">UGI France - </w:t>
      </w:r>
      <w:r>
        <w:rPr>
          <w:rFonts w:eastAsia="Times New Roman"/>
          <w:color w:val="000000"/>
          <w:sz w:val="20"/>
          <w:szCs w:val="20"/>
        </w:rPr>
        <w:t>UGI France SAS (</w:t>
      </w:r>
      <w:r>
        <w:rPr>
          <w:rFonts w:eastAsia="Times New Roman"/>
          <w:i/>
          <w:iCs/>
          <w:color w:val="000000"/>
          <w:sz w:val="20"/>
          <w:szCs w:val="20"/>
        </w:rPr>
        <w:t>a Société par actions simplifiée</w:t>
      </w:r>
      <w:r>
        <w:rPr>
          <w:rFonts w:eastAsia="Times New Roman"/>
          <w:color w:val="000000"/>
          <w:sz w:val="20"/>
          <w:szCs w:val="20"/>
        </w:rPr>
        <w:t>), an indirect wholly owned subsidiary of UGI International, LLC</w:t>
      </w:r>
    </w:p>
    <w:p w:rsidR="00000000" w:rsidRDefault="005D625B">
      <w:pPr>
        <w:jc w:val="both"/>
        <w:divId w:val="988099167"/>
        <w:rPr>
          <w:rFonts w:eastAsia="Times New Roman"/>
        </w:rPr>
      </w:pPr>
      <w:r>
        <w:rPr>
          <w:rFonts w:eastAsia="Times New Roman"/>
          <w:b/>
          <w:bCs/>
          <w:i/>
          <w:iCs/>
          <w:color w:val="000000"/>
          <w:sz w:val="20"/>
          <w:szCs w:val="20"/>
        </w:rPr>
        <w:t>UGI Internati</w:t>
      </w:r>
      <w:r>
        <w:rPr>
          <w:rFonts w:eastAsia="Times New Roman"/>
          <w:b/>
          <w:bCs/>
          <w:i/>
          <w:iCs/>
          <w:color w:val="000000"/>
          <w:sz w:val="20"/>
          <w:szCs w:val="20"/>
        </w:rPr>
        <w:t>onal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Reportable segment principally comprising UGI’s foreign operations</w:t>
      </w:r>
    </w:p>
    <w:p w:rsidR="00000000" w:rsidRDefault="005D625B">
      <w:pPr>
        <w:jc w:val="both"/>
        <w:divId w:val="40328723"/>
        <w:rPr>
          <w:rFonts w:eastAsia="Times New Roman"/>
        </w:rPr>
      </w:pPr>
      <w:r>
        <w:rPr>
          <w:rFonts w:eastAsia="Times New Roman"/>
          <w:b/>
          <w:bCs/>
          <w:i/>
          <w:iCs/>
          <w:color w:val="000000"/>
          <w:sz w:val="20"/>
          <w:szCs w:val="20"/>
        </w:rPr>
        <w:t>UGI International, LLC</w:t>
      </w:r>
      <w:r>
        <w:rPr>
          <w:rFonts w:eastAsia="Times New Roman"/>
          <w:color w:val="000000"/>
          <w:sz w:val="20"/>
          <w:szCs w:val="20"/>
        </w:rPr>
        <w:t xml:space="preserve"> </w:t>
      </w:r>
      <w:r>
        <w:rPr>
          <w:rFonts w:eastAsia="Times New Roman"/>
          <w:b/>
          <w:bCs/>
          <w:i/>
          <w:iCs/>
          <w:color w:val="000000"/>
          <w:sz w:val="20"/>
          <w:szCs w:val="20"/>
        </w:rPr>
        <w:t xml:space="preserve">- </w:t>
      </w:r>
      <w:r>
        <w:rPr>
          <w:rFonts w:eastAsia="Times New Roman"/>
          <w:color w:val="000000"/>
          <w:sz w:val="20"/>
          <w:szCs w:val="20"/>
        </w:rPr>
        <w:t>UGI International, LLC, a wholly owned second-tier subsidiary of UGI</w:t>
      </w:r>
    </w:p>
    <w:p w:rsidR="00000000" w:rsidRDefault="005D625B">
      <w:pPr>
        <w:jc w:val="both"/>
        <w:divId w:val="755133238"/>
        <w:rPr>
          <w:rFonts w:eastAsia="Times New Roman"/>
        </w:rPr>
      </w:pPr>
      <w:r>
        <w:rPr>
          <w:rFonts w:eastAsia="Times New Roman"/>
          <w:b/>
          <w:bCs/>
          <w:i/>
          <w:iCs/>
          <w:color w:val="000000"/>
          <w:sz w:val="20"/>
          <w:szCs w:val="20"/>
        </w:rPr>
        <w:t>UGI PennEast, LLC -</w:t>
      </w:r>
      <w:r>
        <w:rPr>
          <w:rFonts w:eastAsia="Times New Roman"/>
          <w:color w:val="000000"/>
          <w:sz w:val="20"/>
          <w:szCs w:val="20"/>
        </w:rPr>
        <w:t xml:space="preserve"> A wholly owned subsidiary of Energy Services that holds a 20% member</w:t>
      </w:r>
      <w:r>
        <w:rPr>
          <w:rFonts w:eastAsia="Times New Roman"/>
          <w:color w:val="000000"/>
          <w:sz w:val="20"/>
          <w:szCs w:val="20"/>
        </w:rPr>
        <w:t>ship interest in PennEast</w:t>
      </w:r>
    </w:p>
    <w:p w:rsidR="00000000" w:rsidRDefault="005D625B">
      <w:pPr>
        <w:jc w:val="center"/>
        <w:divId w:val="465969495"/>
        <w:rPr>
          <w:rFonts w:eastAsia="Times New Roman"/>
        </w:rPr>
      </w:pPr>
      <w:r>
        <w:rPr>
          <w:rFonts w:eastAsia="Times New Roman"/>
          <w:color w:val="000000"/>
          <w:sz w:val="20"/>
          <w:szCs w:val="20"/>
        </w:rPr>
        <w:t>1</w:t>
      </w:r>
    </w:p>
    <w:p w:rsidR="00000000" w:rsidRDefault="005D625B">
      <w:pPr>
        <w:rPr>
          <w:rFonts w:eastAsia="Times New Roman"/>
        </w:rPr>
      </w:pPr>
      <w:r>
        <w:rPr>
          <w:rFonts w:eastAsia="Times New Roman"/>
        </w:rPr>
        <w:pict>
          <v:rect id="_x0000_i1027" style="width:0;height:1.5pt" o:hralign="center" o:hrstd="t" o:hr="t" fillcolor="#a0a0a0" stroked="f"/>
        </w:pict>
      </w:r>
    </w:p>
    <w:p w:rsidR="00000000" w:rsidRDefault="005D625B">
      <w:pPr>
        <w:divId w:val="31614177"/>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442339463"/>
        <w:rPr>
          <w:rFonts w:eastAsia="Times New Roman"/>
        </w:rPr>
      </w:pPr>
    </w:p>
    <w:p w:rsidR="00000000" w:rsidRDefault="005D625B">
      <w:pPr>
        <w:divId w:val="594479103"/>
        <w:rPr>
          <w:rFonts w:eastAsia="Times New Roman"/>
        </w:rPr>
      </w:pPr>
    </w:p>
    <w:p w:rsidR="00000000" w:rsidRDefault="005D625B">
      <w:pPr>
        <w:jc w:val="both"/>
        <w:divId w:val="276105034"/>
        <w:rPr>
          <w:rFonts w:eastAsia="Times New Roman"/>
        </w:rPr>
      </w:pPr>
      <w:r>
        <w:rPr>
          <w:rFonts w:eastAsia="Times New Roman"/>
          <w:b/>
          <w:bCs/>
          <w:i/>
          <w:iCs/>
          <w:color w:val="000000"/>
          <w:sz w:val="20"/>
          <w:szCs w:val="20"/>
        </w:rPr>
        <w:t xml:space="preserve">UGI Pine Run, LLC - </w:t>
      </w:r>
      <w:r>
        <w:rPr>
          <w:rFonts w:eastAsia="Times New Roman"/>
          <w:color w:val="000000"/>
          <w:sz w:val="20"/>
          <w:szCs w:val="20"/>
        </w:rPr>
        <w:t>A wholly owned subsidiary of Energy Services that holds a 49% membership interest in Pine Run</w:t>
      </w:r>
    </w:p>
    <w:p w:rsidR="00000000" w:rsidRDefault="005D625B">
      <w:pPr>
        <w:jc w:val="both"/>
        <w:divId w:val="616254449"/>
        <w:rPr>
          <w:rFonts w:eastAsia="Times New Roman"/>
        </w:rPr>
      </w:pPr>
      <w:r>
        <w:rPr>
          <w:rFonts w:eastAsia="Times New Roman"/>
          <w:b/>
          <w:bCs/>
          <w:i/>
          <w:iCs/>
          <w:color w:val="000000"/>
          <w:sz w:val="20"/>
          <w:szCs w:val="20"/>
        </w:rPr>
        <w:t>UGI Utilities -</w:t>
      </w:r>
      <w:r>
        <w:rPr>
          <w:rFonts w:eastAsia="Times New Roman"/>
          <w:color w:val="000000"/>
          <w:sz w:val="20"/>
          <w:szCs w:val="20"/>
        </w:rPr>
        <w:t xml:space="preserve"> UGI Utilities, Inc., a wholly owned subsidiary of UGI. Also a reportable segment of UGI comprising UGI Utilities, Inc. and its subsidiaries</w:t>
      </w:r>
    </w:p>
    <w:p w:rsidR="00000000" w:rsidRDefault="005D625B">
      <w:pPr>
        <w:jc w:val="both"/>
        <w:divId w:val="1747218132"/>
        <w:rPr>
          <w:rFonts w:eastAsia="Times New Roman"/>
        </w:rPr>
      </w:pPr>
      <w:r>
        <w:rPr>
          <w:rFonts w:eastAsia="Times New Roman"/>
          <w:b/>
          <w:bCs/>
          <w:i/>
          <w:iCs/>
          <w:color w:val="000000"/>
          <w:sz w:val="20"/>
          <w:szCs w:val="20"/>
        </w:rPr>
        <w:t>UGID -</w:t>
      </w:r>
      <w:r>
        <w:rPr>
          <w:rFonts w:eastAsia="Times New Roman"/>
          <w:color w:val="000000"/>
          <w:sz w:val="20"/>
          <w:szCs w:val="20"/>
        </w:rPr>
        <w:t xml:space="preserve"> UGI Development Company, a wholly owned subsidiary of Energy Services</w:t>
      </w:r>
    </w:p>
    <w:p w:rsidR="00000000" w:rsidRDefault="005D625B">
      <w:pPr>
        <w:jc w:val="both"/>
        <w:divId w:val="1998074993"/>
        <w:rPr>
          <w:rFonts w:eastAsia="Times New Roman"/>
        </w:rPr>
      </w:pPr>
      <w:r>
        <w:rPr>
          <w:rFonts w:eastAsia="Times New Roman"/>
          <w:b/>
          <w:bCs/>
          <w:i/>
          <w:iCs/>
          <w:color w:val="000000"/>
          <w:sz w:val="20"/>
          <w:szCs w:val="20"/>
        </w:rPr>
        <w:t>UniverGas -</w:t>
      </w:r>
      <w:r>
        <w:rPr>
          <w:rFonts w:eastAsia="Times New Roman"/>
          <w:color w:val="000000"/>
          <w:sz w:val="20"/>
          <w:szCs w:val="20"/>
        </w:rPr>
        <w:t xml:space="preserve"> UniverGas Italia S.r.l, an indirect wholly owned subsidiary of UGI International, LLC</w:t>
      </w:r>
    </w:p>
    <w:p w:rsidR="00000000" w:rsidRDefault="005D625B">
      <w:pPr>
        <w:jc w:val="center"/>
        <w:divId w:val="1485588146"/>
        <w:rPr>
          <w:rFonts w:eastAsia="Times New Roman"/>
        </w:rPr>
      </w:pPr>
      <w:r>
        <w:rPr>
          <w:rFonts w:eastAsia="Times New Roman"/>
          <w:b/>
          <w:bCs/>
          <w:i/>
          <w:iCs/>
          <w:color w:val="000000"/>
          <w:sz w:val="20"/>
          <w:szCs w:val="20"/>
          <w:u w:val="single"/>
        </w:rPr>
        <w:t>Other Terms and Abbreviations</w:t>
      </w:r>
    </w:p>
    <w:p w:rsidR="00000000" w:rsidRDefault="005D625B">
      <w:pPr>
        <w:jc w:val="both"/>
        <w:divId w:val="1126508363"/>
        <w:rPr>
          <w:rFonts w:eastAsia="Times New Roman"/>
        </w:rPr>
      </w:pPr>
      <w:r>
        <w:rPr>
          <w:rFonts w:eastAsia="Times New Roman"/>
          <w:b/>
          <w:bCs/>
          <w:i/>
          <w:iCs/>
          <w:color w:val="000000"/>
          <w:sz w:val="20"/>
          <w:szCs w:val="20"/>
        </w:rPr>
        <w:t>1.59% Senior Note -</w:t>
      </w:r>
      <w:r>
        <w:rPr>
          <w:rFonts w:eastAsia="Times New Roman"/>
          <w:color w:val="000000"/>
          <w:sz w:val="20"/>
          <w:szCs w:val="20"/>
        </w:rPr>
        <w:t xml:space="preserve"> A private placement of $100 million p</w:t>
      </w:r>
      <w:r>
        <w:rPr>
          <w:rFonts w:eastAsia="Times New Roman"/>
          <w:color w:val="000000"/>
          <w:sz w:val="20"/>
          <w:szCs w:val="20"/>
        </w:rPr>
        <w:t>rincipal amount of senior notes due June 2026, issued by UGI Utilities</w:t>
      </w:r>
    </w:p>
    <w:p w:rsidR="00000000" w:rsidRDefault="005D625B">
      <w:pPr>
        <w:jc w:val="both"/>
        <w:divId w:val="2048487488"/>
        <w:rPr>
          <w:rFonts w:eastAsia="Times New Roman"/>
        </w:rPr>
      </w:pPr>
      <w:r>
        <w:rPr>
          <w:rFonts w:eastAsia="Times New Roman"/>
          <w:b/>
          <w:bCs/>
          <w:i/>
          <w:iCs/>
          <w:color w:val="000000"/>
          <w:sz w:val="20"/>
          <w:szCs w:val="20"/>
        </w:rPr>
        <w:t>1.64% Senior Note -</w:t>
      </w:r>
      <w:r>
        <w:rPr>
          <w:rFonts w:eastAsia="Times New Roman"/>
          <w:color w:val="000000"/>
          <w:sz w:val="20"/>
          <w:szCs w:val="20"/>
        </w:rPr>
        <w:t xml:space="preserve"> A private placement of $75 million principal amount of senior notes due September 2026, to be issued by UGI Utilities in September 2021</w:t>
      </w:r>
    </w:p>
    <w:p w:rsidR="00000000" w:rsidRDefault="005D625B">
      <w:pPr>
        <w:jc w:val="both"/>
        <w:divId w:val="1660228713"/>
        <w:rPr>
          <w:rFonts w:eastAsia="Times New Roman"/>
        </w:rPr>
      </w:pPr>
      <w:r>
        <w:rPr>
          <w:rFonts w:eastAsia="Times New Roman"/>
          <w:b/>
          <w:bCs/>
          <w:i/>
          <w:iCs/>
          <w:color w:val="000000"/>
          <w:sz w:val="20"/>
          <w:szCs w:val="20"/>
        </w:rPr>
        <w:t>2020 Annual Report -</w:t>
      </w:r>
      <w:r>
        <w:rPr>
          <w:rFonts w:eastAsia="Times New Roman"/>
          <w:b/>
          <w:bCs/>
          <w:color w:val="000000"/>
          <w:sz w:val="20"/>
          <w:szCs w:val="20"/>
        </w:rPr>
        <w:t xml:space="preserve"> </w:t>
      </w:r>
      <w:r>
        <w:rPr>
          <w:rFonts w:eastAsia="Times New Roman"/>
          <w:color w:val="000000"/>
          <w:sz w:val="20"/>
          <w:szCs w:val="20"/>
        </w:rPr>
        <w:t>UGI Annu</w:t>
      </w:r>
      <w:r>
        <w:rPr>
          <w:rFonts w:eastAsia="Times New Roman"/>
          <w:color w:val="000000"/>
          <w:sz w:val="20"/>
          <w:szCs w:val="20"/>
        </w:rPr>
        <w:t>al Report on Form 10-K for the fiscal year ended September 30, 2020</w:t>
      </w:r>
    </w:p>
    <w:p w:rsidR="00000000" w:rsidRDefault="005D625B">
      <w:pPr>
        <w:jc w:val="both"/>
        <w:divId w:val="25298657"/>
        <w:rPr>
          <w:rFonts w:eastAsia="Times New Roman"/>
        </w:rPr>
      </w:pPr>
      <w:r>
        <w:rPr>
          <w:rFonts w:eastAsia="Times New Roman"/>
          <w:b/>
          <w:bCs/>
          <w:i/>
          <w:iCs/>
          <w:color w:val="000000"/>
          <w:sz w:val="20"/>
          <w:szCs w:val="20"/>
        </w:rPr>
        <w:t>2020 nine-month period -</w:t>
      </w:r>
      <w:r>
        <w:rPr>
          <w:rFonts w:eastAsia="Times New Roman"/>
          <w:b/>
          <w:bCs/>
          <w:color w:val="000000"/>
          <w:sz w:val="20"/>
          <w:szCs w:val="20"/>
        </w:rPr>
        <w:t xml:space="preserve"> </w:t>
      </w:r>
      <w:r>
        <w:rPr>
          <w:rFonts w:eastAsia="Times New Roman"/>
          <w:color w:val="000000"/>
          <w:sz w:val="20"/>
          <w:szCs w:val="20"/>
        </w:rPr>
        <w:t>Nine months ended June 30, 2020</w:t>
      </w:r>
    </w:p>
    <w:p w:rsidR="00000000" w:rsidRDefault="005D625B">
      <w:pPr>
        <w:jc w:val="both"/>
        <w:divId w:val="1839687668"/>
        <w:rPr>
          <w:rFonts w:eastAsia="Times New Roman"/>
        </w:rPr>
      </w:pPr>
      <w:r>
        <w:rPr>
          <w:rFonts w:eastAsia="Times New Roman"/>
          <w:b/>
          <w:bCs/>
          <w:i/>
          <w:iCs/>
          <w:color w:val="000000"/>
          <w:sz w:val="20"/>
          <w:szCs w:val="20"/>
        </w:rPr>
        <w:t>2020 three-month period -</w:t>
      </w:r>
      <w:r>
        <w:rPr>
          <w:rFonts w:eastAsia="Times New Roman"/>
          <w:b/>
          <w:bCs/>
          <w:color w:val="000000"/>
          <w:sz w:val="20"/>
          <w:szCs w:val="20"/>
        </w:rPr>
        <w:t xml:space="preserve"> </w:t>
      </w:r>
      <w:r>
        <w:rPr>
          <w:rFonts w:eastAsia="Times New Roman"/>
          <w:color w:val="000000"/>
          <w:sz w:val="20"/>
          <w:szCs w:val="20"/>
        </w:rPr>
        <w:t>Three months ended June 30, 2020</w:t>
      </w:r>
    </w:p>
    <w:p w:rsidR="00000000" w:rsidRDefault="005D625B">
      <w:pPr>
        <w:jc w:val="both"/>
        <w:divId w:val="798113847"/>
        <w:rPr>
          <w:rFonts w:eastAsia="Times New Roman"/>
        </w:rPr>
      </w:pPr>
      <w:r>
        <w:rPr>
          <w:rFonts w:eastAsia="Times New Roman"/>
          <w:b/>
          <w:bCs/>
          <w:i/>
          <w:iCs/>
          <w:color w:val="000000"/>
          <w:sz w:val="20"/>
          <w:szCs w:val="20"/>
        </w:rPr>
        <w:t>2021 nine-month period -</w:t>
      </w:r>
      <w:r>
        <w:rPr>
          <w:rFonts w:eastAsia="Times New Roman"/>
          <w:b/>
          <w:bCs/>
          <w:color w:val="000000"/>
          <w:sz w:val="20"/>
          <w:szCs w:val="20"/>
        </w:rPr>
        <w:t xml:space="preserve"> </w:t>
      </w:r>
      <w:r>
        <w:rPr>
          <w:rFonts w:eastAsia="Times New Roman"/>
          <w:color w:val="000000"/>
          <w:sz w:val="20"/>
          <w:szCs w:val="20"/>
        </w:rPr>
        <w:t>Nine months ended June 30, 2021</w:t>
      </w:r>
    </w:p>
    <w:p w:rsidR="00000000" w:rsidRDefault="005D625B">
      <w:pPr>
        <w:jc w:val="both"/>
        <w:divId w:val="444734859"/>
        <w:rPr>
          <w:rFonts w:eastAsia="Times New Roman"/>
        </w:rPr>
      </w:pPr>
      <w:r>
        <w:rPr>
          <w:rFonts w:eastAsia="Times New Roman"/>
          <w:b/>
          <w:bCs/>
          <w:i/>
          <w:iCs/>
          <w:color w:val="000000"/>
          <w:sz w:val="20"/>
          <w:szCs w:val="20"/>
        </w:rPr>
        <w:t>2021 three-mont</w:t>
      </w:r>
      <w:r>
        <w:rPr>
          <w:rFonts w:eastAsia="Times New Roman"/>
          <w:b/>
          <w:bCs/>
          <w:i/>
          <w:iCs/>
          <w:color w:val="000000"/>
          <w:sz w:val="20"/>
          <w:szCs w:val="20"/>
        </w:rPr>
        <w:t>h period -</w:t>
      </w:r>
      <w:r>
        <w:rPr>
          <w:rFonts w:eastAsia="Times New Roman"/>
          <w:b/>
          <w:bCs/>
          <w:color w:val="000000"/>
          <w:sz w:val="20"/>
          <w:szCs w:val="20"/>
        </w:rPr>
        <w:t xml:space="preserve"> </w:t>
      </w:r>
      <w:r>
        <w:rPr>
          <w:rFonts w:eastAsia="Times New Roman"/>
          <w:color w:val="000000"/>
          <w:sz w:val="20"/>
          <w:szCs w:val="20"/>
        </w:rPr>
        <w:t>Three months ended June 30, 2021</w:t>
      </w:r>
    </w:p>
    <w:p w:rsidR="00000000" w:rsidRDefault="005D625B">
      <w:pPr>
        <w:jc w:val="both"/>
        <w:divId w:val="1687707443"/>
        <w:rPr>
          <w:rFonts w:eastAsia="Times New Roman"/>
        </w:rPr>
      </w:pPr>
      <w:r>
        <w:rPr>
          <w:rFonts w:eastAsia="Times New Roman"/>
          <w:b/>
          <w:bCs/>
          <w:i/>
          <w:iCs/>
          <w:color w:val="000000"/>
          <w:sz w:val="20"/>
          <w:szCs w:val="20"/>
        </w:rPr>
        <w:t>2021 UGI Corporation Senior Credit Facility</w:t>
      </w:r>
      <w:r>
        <w:rPr>
          <w:rFonts w:eastAsia="Times New Roman"/>
          <w:color w:val="000000"/>
          <w:sz w:val="20"/>
          <w:szCs w:val="20"/>
        </w:rPr>
        <w:t xml:space="preserve"> - An amended unsecured senior facilities agreement entered into on May 4, 2021, by UGI which extended the maturity date of the previous three-year $300 million term loa</w:t>
      </w:r>
      <w:r>
        <w:rPr>
          <w:rFonts w:eastAsia="Times New Roman"/>
          <w:color w:val="000000"/>
          <w:sz w:val="20"/>
          <w:szCs w:val="20"/>
        </w:rPr>
        <w:t>n facility included in the UGI Corporation Senior Credit Facility, now due in May 2025 and includes a new four-year $215 million term loan commitment</w:t>
      </w:r>
    </w:p>
    <w:p w:rsidR="00000000" w:rsidRDefault="005D625B">
      <w:pPr>
        <w:jc w:val="both"/>
        <w:divId w:val="1217009456"/>
        <w:rPr>
          <w:rFonts w:eastAsia="Times New Roman"/>
        </w:rPr>
      </w:pPr>
      <w:r>
        <w:rPr>
          <w:rFonts w:eastAsia="Times New Roman"/>
          <w:b/>
          <w:bCs/>
          <w:i/>
          <w:iCs/>
          <w:color w:val="000000"/>
          <w:sz w:val="20"/>
          <w:szCs w:val="20"/>
        </w:rPr>
        <w:t>2024 Purchase Contract –</w:t>
      </w:r>
      <w:r>
        <w:rPr>
          <w:rFonts w:eastAsia="Times New Roman"/>
          <w:color w:val="000000"/>
          <w:sz w:val="20"/>
          <w:szCs w:val="20"/>
        </w:rPr>
        <w:t xml:space="preserve"> A forward stock purchase contract issued by UGI Corporation as a part of the issu</w:t>
      </w:r>
      <w:r>
        <w:rPr>
          <w:rFonts w:eastAsia="Times New Roman"/>
          <w:color w:val="000000"/>
          <w:sz w:val="20"/>
          <w:szCs w:val="20"/>
        </w:rPr>
        <w:t>ance of Equity Units which obligates holders to purchase a number of shares of UGI common stock from the Company on June 1, 2024</w:t>
      </w:r>
    </w:p>
    <w:p w:rsidR="00000000" w:rsidRDefault="005D625B">
      <w:pPr>
        <w:jc w:val="both"/>
        <w:divId w:val="523598718"/>
        <w:rPr>
          <w:rFonts w:eastAsia="Times New Roman"/>
        </w:rPr>
      </w:pPr>
      <w:r>
        <w:rPr>
          <w:rFonts w:eastAsia="Times New Roman"/>
          <w:b/>
          <w:bCs/>
          <w:i/>
          <w:iCs/>
          <w:color w:val="000000"/>
          <w:sz w:val="20"/>
          <w:szCs w:val="20"/>
        </w:rPr>
        <w:t>AFUDC -</w:t>
      </w:r>
      <w:r>
        <w:rPr>
          <w:rFonts w:eastAsia="Times New Roman"/>
          <w:color w:val="000000"/>
          <w:sz w:val="20"/>
          <w:szCs w:val="20"/>
        </w:rPr>
        <w:t xml:space="preserve"> Allowance for Funds Used During Construction</w:t>
      </w:r>
    </w:p>
    <w:p w:rsidR="00000000" w:rsidRDefault="005D625B">
      <w:pPr>
        <w:jc w:val="both"/>
        <w:rPr>
          <w:rFonts w:eastAsia="Times New Roman"/>
        </w:rPr>
      </w:pPr>
      <w:r>
        <w:rPr>
          <w:rFonts w:eastAsia="Times New Roman"/>
          <w:b/>
          <w:bCs/>
          <w:i/>
          <w:iCs/>
          <w:color w:val="000000"/>
          <w:sz w:val="20"/>
          <w:szCs w:val="20"/>
        </w:rPr>
        <w:t xml:space="preserve">AOCI - </w:t>
      </w:r>
      <w:r>
        <w:rPr>
          <w:rFonts w:eastAsia="Times New Roman"/>
          <w:color w:val="000000"/>
          <w:sz w:val="20"/>
          <w:szCs w:val="20"/>
        </w:rPr>
        <w:t>Accumulated Other Comprehensive Income (Loss)</w:t>
      </w:r>
    </w:p>
    <w:p w:rsidR="00000000" w:rsidRDefault="005D625B">
      <w:pPr>
        <w:jc w:val="both"/>
        <w:rPr>
          <w:rFonts w:eastAsia="Times New Roman"/>
        </w:rPr>
      </w:pPr>
    </w:p>
    <w:p w:rsidR="00000000" w:rsidRDefault="005D625B">
      <w:pPr>
        <w:jc w:val="both"/>
        <w:divId w:val="886377457"/>
        <w:rPr>
          <w:rFonts w:eastAsia="Times New Roman"/>
        </w:rPr>
      </w:pPr>
      <w:r>
        <w:rPr>
          <w:rFonts w:eastAsia="Times New Roman"/>
          <w:b/>
          <w:bCs/>
          <w:i/>
          <w:iCs/>
          <w:color w:val="000000"/>
          <w:sz w:val="20"/>
          <w:szCs w:val="20"/>
        </w:rPr>
        <w:t>ASC -</w:t>
      </w:r>
      <w:r>
        <w:rPr>
          <w:rFonts w:eastAsia="Times New Roman"/>
          <w:color w:val="000000"/>
          <w:sz w:val="20"/>
          <w:szCs w:val="20"/>
        </w:rPr>
        <w:t xml:space="preserve"> Accounting St</w:t>
      </w:r>
      <w:r>
        <w:rPr>
          <w:rFonts w:eastAsia="Times New Roman"/>
          <w:color w:val="000000"/>
          <w:sz w:val="20"/>
          <w:szCs w:val="20"/>
        </w:rPr>
        <w:t>andards Codification</w:t>
      </w:r>
    </w:p>
    <w:p w:rsidR="00000000" w:rsidRDefault="005D625B">
      <w:pPr>
        <w:jc w:val="both"/>
        <w:divId w:val="424613518"/>
        <w:rPr>
          <w:rFonts w:eastAsia="Times New Roman"/>
        </w:rPr>
      </w:pPr>
      <w:r>
        <w:rPr>
          <w:rFonts w:eastAsia="Times New Roman"/>
          <w:b/>
          <w:bCs/>
          <w:i/>
          <w:iCs/>
          <w:color w:val="000000"/>
          <w:sz w:val="20"/>
          <w:szCs w:val="20"/>
        </w:rPr>
        <w:t>ASC 606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ASC 606, “Revenue from Contracts with Customers”</w:t>
      </w:r>
    </w:p>
    <w:p w:rsidR="00000000" w:rsidRDefault="005D625B">
      <w:pPr>
        <w:jc w:val="both"/>
        <w:divId w:val="1216159233"/>
        <w:rPr>
          <w:rFonts w:eastAsia="Times New Roman"/>
        </w:rPr>
      </w:pPr>
      <w:r>
        <w:rPr>
          <w:rFonts w:eastAsia="Times New Roman"/>
          <w:b/>
          <w:bCs/>
          <w:i/>
          <w:iCs/>
          <w:color w:val="000000"/>
          <w:sz w:val="20"/>
          <w:szCs w:val="20"/>
        </w:rPr>
        <w:lastRenderedPageBreak/>
        <w:t xml:space="preserve">ASU - </w:t>
      </w:r>
      <w:r>
        <w:rPr>
          <w:rFonts w:eastAsia="Times New Roman"/>
          <w:color w:val="000000"/>
          <w:sz w:val="20"/>
          <w:szCs w:val="20"/>
        </w:rPr>
        <w:t>Accounting Standards Update</w:t>
      </w:r>
    </w:p>
    <w:p w:rsidR="00000000" w:rsidRDefault="005D625B">
      <w:pPr>
        <w:jc w:val="both"/>
        <w:divId w:val="289167118"/>
        <w:rPr>
          <w:rFonts w:eastAsia="Times New Roman"/>
        </w:rPr>
      </w:pPr>
      <w:r>
        <w:rPr>
          <w:rFonts w:eastAsia="Times New Roman"/>
          <w:b/>
          <w:bCs/>
          <w:i/>
          <w:iCs/>
          <w:color w:val="000000"/>
          <w:sz w:val="20"/>
          <w:szCs w:val="20"/>
        </w:rPr>
        <w:t>Bcf -</w:t>
      </w:r>
      <w:r>
        <w:rPr>
          <w:rFonts w:eastAsia="Times New Roman"/>
          <w:color w:val="000000"/>
          <w:sz w:val="20"/>
          <w:szCs w:val="20"/>
        </w:rPr>
        <w:t xml:space="preserve"> Billions of cubic feet</w:t>
      </w:r>
    </w:p>
    <w:p w:rsidR="00000000" w:rsidRDefault="005D625B">
      <w:pPr>
        <w:jc w:val="both"/>
        <w:divId w:val="1273048720"/>
        <w:rPr>
          <w:rFonts w:eastAsia="Times New Roman"/>
        </w:rPr>
      </w:pPr>
      <w:r>
        <w:rPr>
          <w:rFonts w:eastAsia="Times New Roman"/>
          <w:b/>
          <w:bCs/>
          <w:i/>
          <w:iCs/>
          <w:color w:val="000000"/>
          <w:sz w:val="20"/>
          <w:szCs w:val="20"/>
        </w:rPr>
        <w:t xml:space="preserve">CARES Act - </w:t>
      </w:r>
      <w:r>
        <w:rPr>
          <w:rFonts w:eastAsia="Times New Roman"/>
          <w:color w:val="000000"/>
          <w:sz w:val="20"/>
          <w:szCs w:val="20"/>
        </w:rPr>
        <w:t>Coronavirus Aid, Relief, and Economic Security Act</w:t>
      </w:r>
    </w:p>
    <w:p w:rsidR="00000000" w:rsidRDefault="005D625B">
      <w:pPr>
        <w:jc w:val="both"/>
        <w:divId w:val="1329551586"/>
        <w:rPr>
          <w:rFonts w:eastAsia="Times New Roman"/>
        </w:rPr>
      </w:pPr>
      <w:r>
        <w:rPr>
          <w:rFonts w:eastAsia="Times New Roman"/>
          <w:b/>
          <w:bCs/>
          <w:i/>
          <w:iCs/>
          <w:color w:val="000000"/>
          <w:sz w:val="20"/>
          <w:szCs w:val="20"/>
        </w:rPr>
        <w:t>CDC</w:t>
      </w:r>
      <w:r>
        <w:rPr>
          <w:rFonts w:eastAsia="Times New Roman"/>
          <w:color w:val="000000"/>
          <w:sz w:val="20"/>
          <w:szCs w:val="20"/>
        </w:rPr>
        <w:t xml:space="preserve"> </w:t>
      </w:r>
      <w:r>
        <w:rPr>
          <w:rFonts w:eastAsia="Times New Roman"/>
          <w:color w:val="000000"/>
          <w:sz w:val="20"/>
          <w:szCs w:val="20"/>
        </w:rPr>
        <w:t>- Centers for Disease Control and Prevention</w:t>
      </w:r>
    </w:p>
    <w:p w:rsidR="00000000" w:rsidRDefault="005D625B">
      <w:pPr>
        <w:jc w:val="both"/>
        <w:divId w:val="12191769"/>
        <w:rPr>
          <w:rFonts w:eastAsia="Times New Roman"/>
        </w:rPr>
      </w:pPr>
      <w:r>
        <w:rPr>
          <w:rFonts w:eastAsia="Times New Roman"/>
          <w:b/>
          <w:bCs/>
          <w:i/>
          <w:iCs/>
          <w:color w:val="000000"/>
          <w:sz w:val="20"/>
          <w:szCs w:val="20"/>
        </w:rPr>
        <w:t>CMG Acquisition</w:t>
      </w:r>
      <w:r>
        <w:rPr>
          <w:rFonts w:eastAsia="Times New Roman"/>
          <w:b/>
          <w:bCs/>
          <w:color w:val="000000"/>
          <w:sz w:val="20"/>
          <w:szCs w:val="20"/>
        </w:rPr>
        <w:t xml:space="preserve"> -</w:t>
      </w:r>
      <w:r>
        <w:rPr>
          <w:rFonts w:eastAsia="Times New Roman"/>
          <w:color w:val="000000"/>
          <w:sz w:val="20"/>
          <w:szCs w:val="20"/>
        </w:rPr>
        <w:t xml:space="preserve"> </w:t>
      </w:r>
      <w:r>
        <w:rPr>
          <w:rFonts w:eastAsia="Times New Roman"/>
          <w:color w:val="000000"/>
          <w:sz w:val="20"/>
          <w:szCs w:val="20"/>
        </w:rPr>
        <w:t>Acquisition of Columbia Midstream Group, LLC and Columbia Pennant, LLC on August 1, 2019 pursuant to the CMG Acquisition Agreements</w:t>
      </w:r>
    </w:p>
    <w:p w:rsidR="00000000" w:rsidRDefault="005D625B">
      <w:pPr>
        <w:jc w:val="both"/>
        <w:divId w:val="844515948"/>
        <w:rPr>
          <w:rFonts w:eastAsia="Times New Roman"/>
        </w:rPr>
      </w:pPr>
      <w:r>
        <w:rPr>
          <w:rFonts w:eastAsia="Times New Roman"/>
          <w:b/>
          <w:bCs/>
          <w:i/>
          <w:iCs/>
          <w:color w:val="000000"/>
          <w:sz w:val="20"/>
          <w:szCs w:val="20"/>
        </w:rPr>
        <w:t>CMG Acquisition Agreements</w:t>
      </w:r>
      <w:r>
        <w:rPr>
          <w:rFonts w:eastAsia="Times New Roman"/>
          <w:color w:val="000000"/>
          <w:sz w:val="20"/>
          <w:szCs w:val="20"/>
        </w:rPr>
        <w:t xml:space="preserve"> - Agreements related to the CMG Acquisition comprising (1) a purchase and sale agreement related </w:t>
      </w:r>
      <w:r>
        <w:rPr>
          <w:rFonts w:eastAsia="Times New Roman"/>
          <w:color w:val="000000"/>
          <w:sz w:val="20"/>
          <w:szCs w:val="20"/>
        </w:rPr>
        <w:t>to the CMG acquisition, dated July 2, 2019, by and among Columbia Midstream &amp; Minerals Group, LLC, Energy Services, UGI and TransCanada PipeLine USA Ltd., and (2) a purchase and sale agreement related to the Columbia Pennant, LLC acquisition, dated July 2,</w:t>
      </w:r>
      <w:r>
        <w:rPr>
          <w:rFonts w:eastAsia="Times New Roman"/>
          <w:color w:val="000000"/>
          <w:sz w:val="20"/>
          <w:szCs w:val="20"/>
        </w:rPr>
        <w:t xml:space="preserve"> 2019, by and among Columbia Midstream &amp; Minerals Group, LLC, Energy Services, and TransCanada PipeLine USA Ltd.</w:t>
      </w:r>
    </w:p>
    <w:p w:rsidR="00000000" w:rsidRDefault="005D625B">
      <w:pPr>
        <w:jc w:val="both"/>
        <w:divId w:val="693000247"/>
        <w:rPr>
          <w:rFonts w:eastAsia="Times New Roman"/>
        </w:rPr>
      </w:pPr>
      <w:r>
        <w:rPr>
          <w:rFonts w:eastAsia="Times New Roman"/>
          <w:b/>
          <w:bCs/>
          <w:i/>
          <w:iCs/>
          <w:color w:val="000000"/>
          <w:sz w:val="20"/>
          <w:szCs w:val="20"/>
        </w:rPr>
        <w:t>COA -</w:t>
      </w:r>
      <w:r>
        <w:rPr>
          <w:rFonts w:eastAsia="Times New Roman"/>
          <w:color w:val="000000"/>
          <w:sz w:val="20"/>
          <w:szCs w:val="20"/>
        </w:rPr>
        <w:t xml:space="preserve"> Consent Order and Agreement</w:t>
      </w:r>
    </w:p>
    <w:p w:rsidR="00000000" w:rsidRDefault="005D625B">
      <w:pPr>
        <w:jc w:val="both"/>
        <w:rPr>
          <w:rFonts w:eastAsia="Times New Roman"/>
        </w:rPr>
      </w:pPr>
      <w:r>
        <w:rPr>
          <w:rFonts w:eastAsia="Times New Roman"/>
          <w:b/>
          <w:bCs/>
          <w:i/>
          <w:iCs/>
          <w:color w:val="000000"/>
          <w:sz w:val="20"/>
          <w:szCs w:val="20"/>
        </w:rPr>
        <w:t>CODM -</w:t>
      </w:r>
      <w:r>
        <w:rPr>
          <w:rFonts w:eastAsia="Times New Roman"/>
          <w:color w:val="000000"/>
          <w:sz w:val="20"/>
          <w:szCs w:val="20"/>
        </w:rPr>
        <w:t xml:space="preserve"> Chief Operating Decision Maker as defined in ASC 280, “Segment Reporting”</w:t>
      </w:r>
    </w:p>
    <w:p w:rsidR="00000000" w:rsidRDefault="005D625B">
      <w:pPr>
        <w:jc w:val="both"/>
        <w:rPr>
          <w:rFonts w:eastAsia="Times New Roman"/>
        </w:rPr>
      </w:pPr>
    </w:p>
    <w:p w:rsidR="00000000" w:rsidRDefault="005D625B">
      <w:pPr>
        <w:jc w:val="center"/>
        <w:divId w:val="1644315642"/>
        <w:rPr>
          <w:rFonts w:eastAsia="Times New Roman"/>
        </w:rPr>
      </w:pPr>
      <w:r>
        <w:rPr>
          <w:rFonts w:eastAsia="Times New Roman"/>
          <w:color w:val="000000"/>
          <w:sz w:val="20"/>
          <w:szCs w:val="20"/>
        </w:rPr>
        <w:t>2</w:t>
      </w:r>
    </w:p>
    <w:p w:rsidR="00000000" w:rsidRDefault="005D625B">
      <w:pPr>
        <w:rPr>
          <w:rFonts w:eastAsia="Times New Roman"/>
        </w:rPr>
      </w:pPr>
      <w:r>
        <w:rPr>
          <w:rFonts w:eastAsia="Times New Roman"/>
        </w:rPr>
        <w:pict>
          <v:rect id="_x0000_i1028" style="width:0;height:1.5pt" o:hralign="center" o:hrstd="t" o:hr="t" fillcolor="#a0a0a0" stroked="f"/>
        </w:pict>
      </w:r>
    </w:p>
    <w:p w:rsidR="00000000" w:rsidRDefault="005D625B">
      <w:pPr>
        <w:divId w:val="1273129846"/>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433088784"/>
        <w:rPr>
          <w:rFonts w:eastAsia="Times New Roman"/>
        </w:rPr>
      </w:pPr>
    </w:p>
    <w:p w:rsidR="00000000" w:rsidRDefault="005D625B">
      <w:pPr>
        <w:divId w:val="1000503817"/>
        <w:rPr>
          <w:rFonts w:eastAsia="Times New Roman"/>
        </w:rPr>
      </w:pPr>
    </w:p>
    <w:p w:rsidR="00000000" w:rsidRDefault="005D625B">
      <w:pPr>
        <w:jc w:val="both"/>
        <w:divId w:val="254630131"/>
        <w:rPr>
          <w:rFonts w:eastAsia="Times New Roman"/>
        </w:rPr>
      </w:pPr>
      <w:r>
        <w:rPr>
          <w:rFonts w:eastAsia="Times New Roman"/>
          <w:b/>
          <w:bCs/>
          <w:i/>
          <w:iCs/>
          <w:color w:val="000000"/>
          <w:sz w:val="20"/>
          <w:szCs w:val="20"/>
        </w:rPr>
        <w:t xml:space="preserve">Common Stock - </w:t>
      </w:r>
      <w:r>
        <w:rPr>
          <w:rFonts w:eastAsia="Times New Roman"/>
          <w:color w:val="000000"/>
          <w:sz w:val="20"/>
          <w:szCs w:val="20"/>
        </w:rPr>
        <w:t>shares of UGI common stock</w:t>
      </w:r>
    </w:p>
    <w:p w:rsidR="00000000" w:rsidRDefault="005D625B">
      <w:pPr>
        <w:jc w:val="both"/>
        <w:divId w:val="25982165"/>
        <w:rPr>
          <w:rFonts w:eastAsia="Times New Roman"/>
        </w:rPr>
      </w:pPr>
      <w:r>
        <w:rPr>
          <w:rFonts w:eastAsia="Times New Roman"/>
          <w:b/>
          <w:bCs/>
          <w:i/>
          <w:iCs/>
          <w:color w:val="000000"/>
          <w:sz w:val="20"/>
          <w:szCs w:val="20"/>
        </w:rPr>
        <w:t xml:space="preserve">Conemaugh - </w:t>
      </w:r>
      <w:r>
        <w:rPr>
          <w:rFonts w:eastAsia="Times New Roman"/>
          <w:color w:val="000000"/>
          <w:sz w:val="20"/>
          <w:szCs w:val="20"/>
        </w:rPr>
        <w:t>Conemaugh generation station, a 1,711-megawatt, coal-fired electricity generation station located near Johnsto</w:t>
      </w:r>
      <w:r>
        <w:rPr>
          <w:rFonts w:eastAsia="Times New Roman"/>
          <w:color w:val="000000"/>
          <w:sz w:val="20"/>
          <w:szCs w:val="20"/>
        </w:rPr>
        <w:t>wn, Pennsylvania</w:t>
      </w:r>
    </w:p>
    <w:p w:rsidR="00000000" w:rsidRDefault="005D625B">
      <w:pPr>
        <w:jc w:val="both"/>
        <w:divId w:val="921912400"/>
        <w:rPr>
          <w:rFonts w:eastAsia="Times New Roman"/>
        </w:rPr>
      </w:pPr>
      <w:r>
        <w:rPr>
          <w:rFonts w:eastAsia="Times New Roman"/>
          <w:b/>
          <w:bCs/>
          <w:i/>
          <w:iCs/>
          <w:color w:val="000000"/>
          <w:sz w:val="20"/>
          <w:szCs w:val="20"/>
        </w:rPr>
        <w:t>Convertible Preferred Stock –</w:t>
      </w:r>
      <w:r>
        <w:rPr>
          <w:rFonts w:eastAsia="Times New Roman"/>
          <w:color w:val="000000"/>
          <w:sz w:val="20"/>
          <w:szCs w:val="20"/>
        </w:rPr>
        <w:t xml:space="preserve"> Preferred stock of UGI titled 0.125% series A cumulative perpetual convertible preferred stock without par value and having a liquidation preference of $1,000 per share</w:t>
      </w:r>
    </w:p>
    <w:p w:rsidR="00000000" w:rsidRDefault="005D625B">
      <w:pPr>
        <w:jc w:val="both"/>
        <w:divId w:val="1266614851"/>
        <w:rPr>
          <w:rFonts w:eastAsia="Times New Roman"/>
        </w:rPr>
      </w:pPr>
      <w:r>
        <w:rPr>
          <w:rFonts w:eastAsia="Times New Roman"/>
          <w:b/>
          <w:bCs/>
          <w:i/>
          <w:iCs/>
          <w:color w:val="000000"/>
          <w:sz w:val="20"/>
          <w:szCs w:val="20"/>
        </w:rPr>
        <w:t>COVID-19 -</w:t>
      </w:r>
      <w:r>
        <w:rPr>
          <w:rFonts w:eastAsia="Times New Roman"/>
          <w:color w:val="000000"/>
          <w:sz w:val="20"/>
          <w:szCs w:val="20"/>
        </w:rPr>
        <w:t xml:space="preserve"> A novel strain of coronavirus</w:t>
      </w:r>
      <w:r>
        <w:rPr>
          <w:rFonts w:eastAsia="Times New Roman"/>
          <w:color w:val="000000"/>
          <w:sz w:val="20"/>
          <w:szCs w:val="20"/>
        </w:rPr>
        <w:t xml:space="preserve"> disease discovered in 2019</w:t>
      </w:r>
    </w:p>
    <w:p w:rsidR="00000000" w:rsidRDefault="005D625B">
      <w:pPr>
        <w:jc w:val="both"/>
        <w:divId w:val="1601647859"/>
        <w:rPr>
          <w:rFonts w:eastAsia="Times New Roman"/>
        </w:rPr>
      </w:pPr>
      <w:r>
        <w:rPr>
          <w:rFonts w:eastAsia="Times New Roman"/>
          <w:b/>
          <w:bCs/>
          <w:i/>
          <w:iCs/>
          <w:color w:val="000000"/>
          <w:sz w:val="20"/>
          <w:szCs w:val="20"/>
        </w:rPr>
        <w:t>DS -</w:t>
      </w:r>
      <w:r>
        <w:rPr>
          <w:rFonts w:eastAsia="Times New Roman"/>
          <w:color w:val="000000"/>
          <w:sz w:val="20"/>
          <w:szCs w:val="20"/>
        </w:rPr>
        <w:t xml:space="preserve"> Default service</w:t>
      </w:r>
    </w:p>
    <w:p w:rsidR="00000000" w:rsidRDefault="005D625B">
      <w:pPr>
        <w:jc w:val="both"/>
        <w:divId w:val="1599410782"/>
        <w:rPr>
          <w:rFonts w:eastAsia="Times New Roman"/>
        </w:rPr>
      </w:pPr>
      <w:r>
        <w:rPr>
          <w:rFonts w:eastAsia="Times New Roman"/>
          <w:b/>
          <w:bCs/>
          <w:i/>
          <w:iCs/>
          <w:color w:val="000000"/>
          <w:sz w:val="20"/>
          <w:szCs w:val="20"/>
        </w:rPr>
        <w:t>DSIC</w:t>
      </w:r>
      <w:r>
        <w:rPr>
          <w:rFonts w:eastAsia="Times New Roman"/>
          <w:color w:val="000000"/>
          <w:sz w:val="20"/>
          <w:szCs w:val="20"/>
        </w:rPr>
        <w:t xml:space="preserve"> - Distribution System Improvement Charge</w:t>
      </w:r>
    </w:p>
    <w:p w:rsidR="00000000" w:rsidRDefault="005D625B">
      <w:pPr>
        <w:jc w:val="both"/>
        <w:divId w:val="472406790"/>
        <w:rPr>
          <w:rFonts w:eastAsia="Times New Roman"/>
        </w:rPr>
      </w:pPr>
      <w:r>
        <w:rPr>
          <w:rFonts w:eastAsia="Times New Roman"/>
          <w:b/>
          <w:bCs/>
          <w:i/>
          <w:iCs/>
          <w:color w:val="000000"/>
          <w:sz w:val="20"/>
          <w:szCs w:val="20"/>
        </w:rPr>
        <w:t>EBITDA</w:t>
      </w:r>
      <w:r>
        <w:rPr>
          <w:rFonts w:eastAsia="Times New Roman"/>
          <w:color w:val="000000"/>
          <w:sz w:val="20"/>
          <w:szCs w:val="20"/>
        </w:rPr>
        <w:t xml:space="preserve"> - Earnings before interest, taxes, depreciation, and amortization</w:t>
      </w:r>
    </w:p>
    <w:p w:rsidR="00000000" w:rsidRDefault="005D625B">
      <w:pPr>
        <w:jc w:val="both"/>
        <w:divId w:val="357857715"/>
        <w:rPr>
          <w:rFonts w:eastAsia="Times New Roman"/>
        </w:rPr>
      </w:pPr>
      <w:r>
        <w:rPr>
          <w:rFonts w:eastAsia="Times New Roman"/>
          <w:b/>
          <w:bCs/>
          <w:i/>
          <w:iCs/>
          <w:color w:val="000000"/>
          <w:sz w:val="20"/>
          <w:szCs w:val="20"/>
        </w:rPr>
        <w:t xml:space="preserve">Eighth Circuit - </w:t>
      </w:r>
      <w:r>
        <w:rPr>
          <w:rFonts w:eastAsia="Times New Roman"/>
          <w:color w:val="000000"/>
          <w:sz w:val="20"/>
          <w:szCs w:val="20"/>
        </w:rPr>
        <w:t>United States Court of Appeals for the Eighth Circuit</w:t>
      </w:r>
    </w:p>
    <w:p w:rsidR="00000000" w:rsidRDefault="005D625B">
      <w:pPr>
        <w:jc w:val="both"/>
        <w:divId w:val="1776947380"/>
        <w:rPr>
          <w:rFonts w:eastAsia="Times New Roman"/>
        </w:rPr>
      </w:pPr>
      <w:r>
        <w:rPr>
          <w:rFonts w:eastAsia="Times New Roman"/>
          <w:b/>
          <w:bCs/>
          <w:i/>
          <w:iCs/>
          <w:color w:val="000000"/>
          <w:sz w:val="20"/>
          <w:szCs w:val="20"/>
        </w:rPr>
        <w:t>Equity Unit Agree</w:t>
      </w:r>
      <w:r>
        <w:rPr>
          <w:rFonts w:eastAsia="Times New Roman"/>
          <w:b/>
          <w:bCs/>
          <w:i/>
          <w:iCs/>
          <w:color w:val="000000"/>
          <w:sz w:val="20"/>
          <w:szCs w:val="20"/>
        </w:rPr>
        <w:t>ments –</w:t>
      </w:r>
      <w:r>
        <w:rPr>
          <w:rFonts w:eastAsia="Times New Roman"/>
          <w:color w:val="000000"/>
          <w:sz w:val="20"/>
          <w:szCs w:val="20"/>
        </w:rPr>
        <w:t xml:space="preserve"> </w:t>
      </w:r>
      <w:r>
        <w:rPr>
          <w:rFonts w:eastAsia="Times New Roman"/>
          <w:color w:val="000000"/>
          <w:sz w:val="20"/>
          <w:szCs w:val="20"/>
        </w:rPr>
        <w:t>Collection of agreements governing the rights, privileges and obligations of the holders of the Equity Units and UGI as issuer of the Equity Units, which were filed with the SEC on Form 8-K on May 25, 2021</w:t>
      </w:r>
    </w:p>
    <w:p w:rsidR="00000000" w:rsidRDefault="005D625B">
      <w:pPr>
        <w:jc w:val="both"/>
        <w:divId w:val="1529296768"/>
        <w:rPr>
          <w:rFonts w:eastAsia="Times New Roman"/>
        </w:rPr>
      </w:pPr>
      <w:r>
        <w:rPr>
          <w:rFonts w:eastAsia="Times New Roman"/>
          <w:b/>
          <w:bCs/>
          <w:i/>
          <w:iCs/>
          <w:color w:val="000000"/>
          <w:sz w:val="20"/>
          <w:szCs w:val="20"/>
        </w:rPr>
        <w:t>Equity Units –</w:t>
      </w:r>
      <w:r>
        <w:rPr>
          <w:rFonts w:eastAsia="Times New Roman"/>
          <w:color w:val="000000"/>
          <w:sz w:val="20"/>
          <w:szCs w:val="20"/>
        </w:rPr>
        <w:t xml:space="preserve"> A corporate unit consisting of a 20</w:t>
      </w:r>
      <w:r>
        <w:rPr>
          <w:rFonts w:eastAsia="Times New Roman"/>
          <w:color w:val="000000"/>
          <w:sz w:val="20"/>
          <w:szCs w:val="20"/>
        </w:rPr>
        <w:t>24 Purchase Contract and 1/1</w:t>
      </w:r>
      <w:r>
        <w:rPr>
          <w:rFonts w:eastAsia="Times New Roman"/>
          <w:color w:val="000000"/>
          <w:sz w:val="20"/>
          <w:szCs w:val="20"/>
        </w:rPr>
        <w:t>0</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or 10% undivided interest in one share of Convertible Preferred Stock</w:t>
      </w:r>
    </w:p>
    <w:p w:rsidR="00000000" w:rsidRDefault="005D625B">
      <w:pPr>
        <w:jc w:val="both"/>
        <w:rPr>
          <w:rFonts w:eastAsia="Times New Roman"/>
        </w:rPr>
      </w:pPr>
      <w:r>
        <w:rPr>
          <w:rFonts w:eastAsia="Times New Roman"/>
          <w:b/>
          <w:bCs/>
          <w:i/>
          <w:iCs/>
          <w:color w:val="000000"/>
          <w:sz w:val="20"/>
          <w:szCs w:val="20"/>
        </w:rPr>
        <w:t>Exchange Act -</w:t>
      </w:r>
      <w:r>
        <w:rPr>
          <w:rFonts w:eastAsia="Times New Roman"/>
          <w:color w:val="000000"/>
          <w:sz w:val="20"/>
          <w:szCs w:val="20"/>
        </w:rPr>
        <w:t xml:space="preserve"> Securities Exchange Act of 1934, as amended</w:t>
      </w:r>
    </w:p>
    <w:p w:rsidR="00000000" w:rsidRDefault="005D625B">
      <w:pPr>
        <w:jc w:val="both"/>
        <w:rPr>
          <w:rFonts w:eastAsia="Times New Roman"/>
        </w:rPr>
      </w:pPr>
    </w:p>
    <w:p w:rsidR="00000000" w:rsidRDefault="005D625B">
      <w:pPr>
        <w:jc w:val="both"/>
        <w:divId w:val="1315797540"/>
        <w:rPr>
          <w:rFonts w:eastAsia="Times New Roman"/>
        </w:rPr>
      </w:pPr>
      <w:r>
        <w:rPr>
          <w:rFonts w:eastAsia="Times New Roman"/>
          <w:b/>
          <w:bCs/>
          <w:i/>
          <w:iCs/>
          <w:color w:val="000000"/>
          <w:sz w:val="20"/>
          <w:szCs w:val="20"/>
        </w:rPr>
        <w:t>FASB -</w:t>
      </w:r>
      <w:r>
        <w:rPr>
          <w:rFonts w:eastAsia="Times New Roman"/>
          <w:color w:val="000000"/>
          <w:sz w:val="20"/>
          <w:szCs w:val="20"/>
        </w:rPr>
        <w:t xml:space="preserve"> Financial Accounting Standards Board</w:t>
      </w:r>
    </w:p>
    <w:p w:rsidR="00000000" w:rsidRDefault="005D625B">
      <w:pPr>
        <w:jc w:val="both"/>
        <w:divId w:val="1606307310"/>
        <w:rPr>
          <w:rFonts w:eastAsia="Times New Roman"/>
        </w:rPr>
      </w:pPr>
      <w:r>
        <w:rPr>
          <w:rFonts w:eastAsia="Times New Roman"/>
          <w:b/>
          <w:bCs/>
          <w:i/>
          <w:iCs/>
          <w:color w:val="000000"/>
          <w:sz w:val="20"/>
          <w:szCs w:val="20"/>
        </w:rPr>
        <w:t>FDIC -</w:t>
      </w:r>
      <w:r>
        <w:rPr>
          <w:rFonts w:eastAsia="Times New Roman"/>
          <w:color w:val="000000"/>
          <w:sz w:val="20"/>
          <w:szCs w:val="20"/>
        </w:rPr>
        <w:t xml:space="preserve"> Federal Deposit Insurance Corporation</w:t>
      </w:r>
    </w:p>
    <w:p w:rsidR="00000000" w:rsidRDefault="005D625B">
      <w:pPr>
        <w:jc w:val="both"/>
        <w:divId w:val="1162506051"/>
        <w:rPr>
          <w:rFonts w:eastAsia="Times New Roman"/>
        </w:rPr>
      </w:pPr>
      <w:r>
        <w:rPr>
          <w:rFonts w:eastAsia="Times New Roman"/>
          <w:b/>
          <w:bCs/>
          <w:i/>
          <w:iCs/>
          <w:color w:val="000000"/>
          <w:sz w:val="20"/>
          <w:szCs w:val="20"/>
        </w:rPr>
        <w:t>FERC</w:t>
      </w:r>
      <w:r>
        <w:rPr>
          <w:rFonts w:eastAsia="Times New Roman"/>
          <w:b/>
          <w:bCs/>
          <w:i/>
          <w:iCs/>
          <w:color w:val="000000"/>
          <w:sz w:val="20"/>
          <w:szCs w:val="20"/>
        </w:rPr>
        <w:t xml:space="preserve"> -</w:t>
      </w:r>
      <w:r>
        <w:rPr>
          <w:rFonts w:eastAsia="Times New Roman"/>
          <w:color w:val="000000"/>
          <w:sz w:val="20"/>
          <w:szCs w:val="20"/>
        </w:rPr>
        <w:t xml:space="preserve"> Federal Energy Regulatory Commission</w:t>
      </w:r>
    </w:p>
    <w:p w:rsidR="00000000" w:rsidRDefault="005D625B">
      <w:pPr>
        <w:jc w:val="both"/>
        <w:divId w:val="285237606"/>
        <w:rPr>
          <w:rFonts w:eastAsia="Times New Roman"/>
        </w:rPr>
      </w:pPr>
      <w:r>
        <w:rPr>
          <w:rFonts w:eastAsia="Times New Roman"/>
          <w:b/>
          <w:bCs/>
          <w:i/>
          <w:iCs/>
          <w:color w:val="000000"/>
          <w:sz w:val="20"/>
          <w:szCs w:val="20"/>
        </w:rPr>
        <w:t>Fiscal 2019</w:t>
      </w:r>
      <w:r>
        <w:rPr>
          <w:rFonts w:eastAsia="Times New Roman"/>
          <w:color w:val="000000"/>
          <w:sz w:val="20"/>
          <w:szCs w:val="20"/>
        </w:rPr>
        <w:t xml:space="preserve"> - The fiscal year ended September 30, 2019</w:t>
      </w:r>
    </w:p>
    <w:p w:rsidR="00000000" w:rsidRDefault="005D625B">
      <w:pPr>
        <w:jc w:val="both"/>
        <w:divId w:val="604925533"/>
        <w:rPr>
          <w:rFonts w:eastAsia="Times New Roman"/>
        </w:rPr>
      </w:pPr>
      <w:r>
        <w:rPr>
          <w:rFonts w:eastAsia="Times New Roman"/>
          <w:b/>
          <w:bCs/>
          <w:i/>
          <w:iCs/>
          <w:color w:val="000000"/>
          <w:sz w:val="20"/>
          <w:szCs w:val="20"/>
        </w:rPr>
        <w:lastRenderedPageBreak/>
        <w:t>Fiscal 2020</w:t>
      </w:r>
      <w:r>
        <w:rPr>
          <w:rFonts w:eastAsia="Times New Roman"/>
          <w:color w:val="000000"/>
          <w:sz w:val="20"/>
          <w:szCs w:val="20"/>
        </w:rPr>
        <w:t xml:space="preserve"> - The fiscal year ended September 30, 2020</w:t>
      </w:r>
    </w:p>
    <w:p w:rsidR="00000000" w:rsidRDefault="005D625B">
      <w:pPr>
        <w:jc w:val="both"/>
        <w:divId w:val="2091656586"/>
        <w:rPr>
          <w:rFonts w:eastAsia="Times New Roman"/>
        </w:rPr>
      </w:pPr>
      <w:r>
        <w:rPr>
          <w:rFonts w:eastAsia="Times New Roman"/>
          <w:b/>
          <w:bCs/>
          <w:i/>
          <w:iCs/>
          <w:color w:val="000000"/>
          <w:sz w:val="20"/>
          <w:szCs w:val="20"/>
        </w:rPr>
        <w:t>Fiscal 2021</w:t>
      </w:r>
      <w:r>
        <w:rPr>
          <w:rFonts w:eastAsia="Times New Roman"/>
          <w:color w:val="000000"/>
          <w:sz w:val="20"/>
          <w:szCs w:val="20"/>
        </w:rPr>
        <w:t xml:space="preserve"> - The fiscal year ending September 30, 2021</w:t>
      </w:r>
    </w:p>
    <w:p w:rsidR="00000000" w:rsidRDefault="005D625B">
      <w:pPr>
        <w:jc w:val="both"/>
        <w:divId w:val="898369017"/>
        <w:rPr>
          <w:rFonts w:eastAsia="Times New Roman"/>
        </w:rPr>
      </w:pPr>
      <w:r>
        <w:rPr>
          <w:rFonts w:eastAsia="Times New Roman"/>
          <w:b/>
          <w:bCs/>
          <w:i/>
          <w:iCs/>
          <w:color w:val="000000"/>
          <w:sz w:val="20"/>
          <w:szCs w:val="20"/>
        </w:rPr>
        <w:t>Fiscal 2022</w:t>
      </w:r>
      <w:r>
        <w:rPr>
          <w:rFonts w:eastAsia="Times New Roman"/>
          <w:color w:val="000000"/>
          <w:sz w:val="20"/>
          <w:szCs w:val="20"/>
        </w:rPr>
        <w:t xml:space="preserve"> </w:t>
      </w:r>
      <w:r>
        <w:rPr>
          <w:rFonts w:eastAsia="Times New Roman"/>
          <w:color w:val="000000"/>
          <w:sz w:val="20"/>
          <w:szCs w:val="20"/>
        </w:rPr>
        <w:t>- The fiscal year ending September 30, 2022</w:t>
      </w:r>
    </w:p>
    <w:p w:rsidR="00000000" w:rsidRDefault="005D625B">
      <w:pPr>
        <w:jc w:val="both"/>
        <w:divId w:val="855466927"/>
        <w:rPr>
          <w:rFonts w:eastAsia="Times New Roman"/>
        </w:rPr>
      </w:pPr>
      <w:r>
        <w:rPr>
          <w:rFonts w:eastAsia="Times New Roman"/>
          <w:b/>
          <w:bCs/>
          <w:i/>
          <w:iCs/>
          <w:color w:val="000000"/>
          <w:sz w:val="20"/>
          <w:szCs w:val="20"/>
        </w:rPr>
        <w:t>GAAP -</w:t>
      </w:r>
      <w:r>
        <w:rPr>
          <w:rFonts w:eastAsia="Times New Roman"/>
          <w:color w:val="000000"/>
          <w:sz w:val="20"/>
          <w:szCs w:val="20"/>
        </w:rPr>
        <w:t xml:space="preserve"> U.S. generally accepted accounting principles</w:t>
      </w:r>
    </w:p>
    <w:p w:rsidR="00000000" w:rsidRDefault="005D625B">
      <w:pPr>
        <w:jc w:val="both"/>
        <w:divId w:val="1745836572"/>
        <w:rPr>
          <w:rFonts w:eastAsia="Times New Roman"/>
        </w:rPr>
      </w:pPr>
      <w:r>
        <w:rPr>
          <w:rFonts w:eastAsia="Times New Roman"/>
          <w:b/>
          <w:bCs/>
          <w:i/>
          <w:iCs/>
          <w:color w:val="000000"/>
          <w:sz w:val="20"/>
          <w:szCs w:val="20"/>
        </w:rPr>
        <w:t>GILTI</w:t>
      </w:r>
      <w:r>
        <w:rPr>
          <w:rFonts w:eastAsia="Times New Roman"/>
          <w:color w:val="000000"/>
          <w:sz w:val="20"/>
          <w:szCs w:val="20"/>
        </w:rPr>
        <w:t xml:space="preserve"> - Global Intangible Low Taxed Income</w:t>
      </w:r>
    </w:p>
    <w:p w:rsidR="00000000" w:rsidRDefault="005D625B">
      <w:pPr>
        <w:jc w:val="both"/>
        <w:divId w:val="367266629"/>
        <w:rPr>
          <w:rFonts w:eastAsia="Times New Roman"/>
        </w:rPr>
      </w:pPr>
      <w:r>
        <w:rPr>
          <w:rFonts w:eastAsia="Times New Roman"/>
          <w:b/>
          <w:bCs/>
          <w:i/>
          <w:iCs/>
          <w:color w:val="000000"/>
          <w:sz w:val="20"/>
          <w:szCs w:val="20"/>
        </w:rPr>
        <w:t>Gwh -</w:t>
      </w:r>
      <w:r>
        <w:rPr>
          <w:rFonts w:eastAsia="Times New Roman"/>
          <w:color w:val="000000"/>
          <w:sz w:val="20"/>
          <w:szCs w:val="20"/>
        </w:rPr>
        <w:t xml:space="preserve"> Millions of kilowatt hours</w:t>
      </w:r>
    </w:p>
    <w:p w:rsidR="00000000" w:rsidRDefault="005D625B">
      <w:pPr>
        <w:jc w:val="both"/>
        <w:divId w:val="1752846820"/>
        <w:rPr>
          <w:rFonts w:eastAsia="Times New Roman"/>
        </w:rPr>
      </w:pPr>
      <w:r>
        <w:rPr>
          <w:rFonts w:eastAsia="Times New Roman"/>
          <w:b/>
          <w:bCs/>
          <w:i/>
          <w:iCs/>
          <w:color w:val="000000"/>
          <w:sz w:val="20"/>
          <w:szCs w:val="20"/>
        </w:rPr>
        <w:t>ICE -</w:t>
      </w:r>
      <w:r>
        <w:rPr>
          <w:rFonts w:eastAsia="Times New Roman"/>
          <w:color w:val="000000"/>
          <w:sz w:val="20"/>
          <w:szCs w:val="20"/>
        </w:rPr>
        <w:t xml:space="preserve"> Intercontinental Exchange</w:t>
      </w:r>
    </w:p>
    <w:p w:rsidR="00000000" w:rsidRDefault="005D625B">
      <w:pPr>
        <w:jc w:val="both"/>
        <w:divId w:val="1034696971"/>
        <w:rPr>
          <w:rFonts w:eastAsia="Times New Roman"/>
        </w:rPr>
      </w:pPr>
      <w:r>
        <w:rPr>
          <w:rFonts w:eastAsia="Times New Roman"/>
          <w:b/>
          <w:bCs/>
          <w:i/>
          <w:iCs/>
          <w:color w:val="000000"/>
          <w:sz w:val="20"/>
          <w:szCs w:val="20"/>
        </w:rPr>
        <w:t>IRC</w:t>
      </w:r>
      <w:r>
        <w:rPr>
          <w:rFonts w:eastAsia="Times New Roman"/>
          <w:color w:val="000000"/>
          <w:sz w:val="20"/>
          <w:szCs w:val="20"/>
        </w:rPr>
        <w:t xml:space="preserve"> - Internal Revenue Code</w:t>
      </w:r>
    </w:p>
    <w:p w:rsidR="00000000" w:rsidRDefault="005D625B">
      <w:pPr>
        <w:jc w:val="both"/>
        <w:divId w:val="1880968201"/>
        <w:rPr>
          <w:rFonts w:eastAsia="Times New Roman"/>
        </w:rPr>
      </w:pPr>
      <w:r>
        <w:rPr>
          <w:rFonts w:eastAsia="Times New Roman"/>
          <w:b/>
          <w:bCs/>
          <w:i/>
          <w:iCs/>
          <w:color w:val="000000"/>
          <w:sz w:val="20"/>
          <w:szCs w:val="20"/>
        </w:rPr>
        <w:t>IRPA -</w:t>
      </w:r>
      <w:r>
        <w:rPr>
          <w:rFonts w:eastAsia="Times New Roman"/>
          <w:color w:val="000000"/>
          <w:sz w:val="20"/>
          <w:szCs w:val="20"/>
        </w:rPr>
        <w:t xml:space="preserve"> Interest rate pr</w:t>
      </w:r>
      <w:r>
        <w:rPr>
          <w:rFonts w:eastAsia="Times New Roman"/>
          <w:color w:val="000000"/>
          <w:sz w:val="20"/>
          <w:szCs w:val="20"/>
        </w:rPr>
        <w:t>otection agreement</w:t>
      </w:r>
    </w:p>
    <w:p w:rsidR="00000000" w:rsidRDefault="005D625B">
      <w:pPr>
        <w:jc w:val="both"/>
        <w:divId w:val="646976180"/>
        <w:rPr>
          <w:rFonts w:eastAsia="Times New Roman"/>
        </w:rPr>
      </w:pPr>
      <w:r>
        <w:rPr>
          <w:rFonts w:eastAsia="Times New Roman"/>
          <w:b/>
          <w:bCs/>
          <w:i/>
          <w:iCs/>
          <w:color w:val="000000"/>
          <w:sz w:val="20"/>
          <w:szCs w:val="20"/>
        </w:rPr>
        <w:t>IRS</w:t>
      </w:r>
      <w:r>
        <w:rPr>
          <w:rFonts w:eastAsia="Times New Roman"/>
          <w:color w:val="000000"/>
          <w:sz w:val="20"/>
          <w:szCs w:val="20"/>
        </w:rPr>
        <w:t xml:space="preserve"> - Internal Revenue Services</w:t>
      </w:r>
    </w:p>
    <w:p w:rsidR="00000000" w:rsidRDefault="005D625B">
      <w:pPr>
        <w:jc w:val="both"/>
        <w:divId w:val="83039989"/>
        <w:rPr>
          <w:rFonts w:eastAsia="Times New Roman"/>
        </w:rPr>
      </w:pPr>
      <w:r>
        <w:rPr>
          <w:rFonts w:eastAsia="Times New Roman"/>
          <w:b/>
          <w:bCs/>
          <w:i/>
          <w:iCs/>
          <w:color w:val="000000"/>
          <w:sz w:val="20"/>
          <w:szCs w:val="20"/>
        </w:rPr>
        <w:t>IT -</w:t>
      </w:r>
      <w:r>
        <w:rPr>
          <w:rFonts w:eastAsia="Times New Roman"/>
          <w:color w:val="000000"/>
          <w:sz w:val="20"/>
          <w:szCs w:val="20"/>
        </w:rPr>
        <w:t xml:space="preserve"> Information technology</w:t>
      </w:r>
    </w:p>
    <w:p w:rsidR="00000000" w:rsidRDefault="005D625B">
      <w:pPr>
        <w:jc w:val="both"/>
        <w:divId w:val="941033371"/>
        <w:rPr>
          <w:rFonts w:eastAsia="Times New Roman"/>
        </w:rPr>
      </w:pPr>
      <w:r>
        <w:rPr>
          <w:rFonts w:eastAsia="Times New Roman"/>
          <w:b/>
          <w:bCs/>
          <w:i/>
          <w:iCs/>
          <w:color w:val="000000"/>
          <w:sz w:val="20"/>
          <w:szCs w:val="20"/>
        </w:rPr>
        <w:t>LNG -</w:t>
      </w:r>
      <w:r>
        <w:rPr>
          <w:rFonts w:eastAsia="Times New Roman"/>
          <w:color w:val="000000"/>
          <w:sz w:val="20"/>
          <w:szCs w:val="20"/>
        </w:rPr>
        <w:t xml:space="preserve"> Liquefied natural gas</w:t>
      </w:r>
    </w:p>
    <w:p w:rsidR="00000000" w:rsidRDefault="005D625B">
      <w:pPr>
        <w:jc w:val="both"/>
        <w:divId w:val="1652322943"/>
        <w:rPr>
          <w:rFonts w:eastAsia="Times New Roman"/>
        </w:rPr>
      </w:pPr>
      <w:r>
        <w:rPr>
          <w:rFonts w:eastAsia="Times New Roman"/>
          <w:b/>
          <w:bCs/>
          <w:i/>
          <w:iCs/>
          <w:color w:val="000000"/>
          <w:sz w:val="20"/>
          <w:szCs w:val="20"/>
        </w:rPr>
        <w:t>LPG -</w:t>
      </w:r>
      <w:r>
        <w:rPr>
          <w:rFonts w:eastAsia="Times New Roman"/>
          <w:color w:val="000000"/>
          <w:sz w:val="20"/>
          <w:szCs w:val="20"/>
        </w:rPr>
        <w:t xml:space="preserve"> Liquefied petroleum gas</w:t>
      </w:r>
    </w:p>
    <w:p w:rsidR="00000000" w:rsidRDefault="005D625B">
      <w:pPr>
        <w:jc w:val="both"/>
        <w:divId w:val="609820755"/>
        <w:rPr>
          <w:rFonts w:eastAsia="Times New Roman"/>
        </w:rPr>
      </w:pPr>
      <w:r>
        <w:rPr>
          <w:rFonts w:eastAsia="Times New Roman"/>
          <w:b/>
          <w:bCs/>
          <w:i/>
          <w:iCs/>
          <w:color w:val="000000"/>
          <w:sz w:val="20"/>
          <w:szCs w:val="20"/>
        </w:rPr>
        <w:t xml:space="preserve">MDPSC - </w:t>
      </w:r>
      <w:r>
        <w:rPr>
          <w:rFonts w:eastAsia="Times New Roman"/>
          <w:color w:val="000000"/>
          <w:sz w:val="20"/>
          <w:szCs w:val="20"/>
        </w:rPr>
        <w:t>Maryland Public Service Commission</w:t>
      </w:r>
    </w:p>
    <w:p w:rsidR="00000000" w:rsidRDefault="005D625B">
      <w:pPr>
        <w:jc w:val="both"/>
        <w:divId w:val="386875940"/>
        <w:rPr>
          <w:rFonts w:eastAsia="Times New Roman"/>
        </w:rPr>
      </w:pPr>
      <w:r>
        <w:rPr>
          <w:rFonts w:eastAsia="Times New Roman"/>
          <w:b/>
          <w:bCs/>
          <w:i/>
          <w:iCs/>
          <w:color w:val="000000"/>
          <w:sz w:val="20"/>
          <w:szCs w:val="20"/>
        </w:rPr>
        <w:t xml:space="preserve">MGP - </w:t>
      </w:r>
      <w:r>
        <w:rPr>
          <w:rFonts w:eastAsia="Times New Roman"/>
          <w:color w:val="000000"/>
          <w:sz w:val="20"/>
          <w:szCs w:val="20"/>
        </w:rPr>
        <w:t>Manufactured gas plant</w:t>
      </w:r>
    </w:p>
    <w:p w:rsidR="00000000" w:rsidRDefault="005D625B">
      <w:pPr>
        <w:jc w:val="center"/>
        <w:divId w:val="1808862374"/>
        <w:rPr>
          <w:rFonts w:eastAsia="Times New Roman"/>
        </w:rPr>
      </w:pPr>
      <w:r>
        <w:rPr>
          <w:rFonts w:eastAsia="Times New Roman"/>
          <w:color w:val="000000"/>
          <w:sz w:val="20"/>
          <w:szCs w:val="20"/>
        </w:rPr>
        <w:t>3</w:t>
      </w:r>
    </w:p>
    <w:p w:rsidR="00000000" w:rsidRDefault="005D625B">
      <w:pPr>
        <w:rPr>
          <w:rFonts w:eastAsia="Times New Roman"/>
        </w:rPr>
      </w:pPr>
      <w:r>
        <w:rPr>
          <w:rFonts w:eastAsia="Times New Roman"/>
        </w:rPr>
        <w:pict>
          <v:rect id="_x0000_i1029" style="width:0;height:1.5pt" o:hralign="center" o:hrstd="t" o:hr="t" fillcolor="#a0a0a0" stroked="f"/>
        </w:pict>
      </w:r>
    </w:p>
    <w:p w:rsidR="00000000" w:rsidRDefault="005D625B">
      <w:pPr>
        <w:divId w:val="1212111519"/>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584581778"/>
        <w:rPr>
          <w:rFonts w:eastAsia="Times New Roman"/>
        </w:rPr>
      </w:pPr>
    </w:p>
    <w:p w:rsidR="00000000" w:rsidRDefault="005D625B">
      <w:pPr>
        <w:divId w:val="571499881"/>
        <w:rPr>
          <w:rFonts w:eastAsia="Times New Roman"/>
        </w:rPr>
      </w:pPr>
    </w:p>
    <w:p w:rsidR="00000000" w:rsidRDefault="005D625B">
      <w:pPr>
        <w:jc w:val="both"/>
        <w:divId w:val="509104226"/>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 Mountaineer Gas Company, a natural gas distribution company in West Virginia</w:t>
      </w:r>
    </w:p>
    <w:p w:rsidR="00000000" w:rsidRDefault="005D625B">
      <w:pPr>
        <w:jc w:val="both"/>
        <w:divId w:val="1457990386"/>
        <w:rPr>
          <w:rFonts w:eastAsia="Times New Roman"/>
        </w:rPr>
      </w:pPr>
      <w:r>
        <w:rPr>
          <w:rFonts w:eastAsia="Times New Roman"/>
          <w:b/>
          <w:bCs/>
          <w:i/>
          <w:iCs/>
          <w:color w:val="000000"/>
          <w:sz w:val="20"/>
          <w:szCs w:val="20"/>
        </w:rPr>
        <w:t>Mountaineer Acquisition</w:t>
      </w:r>
      <w:r>
        <w:rPr>
          <w:rFonts w:eastAsia="Times New Roman"/>
          <w:b/>
          <w:bCs/>
          <w:color w:val="000000"/>
          <w:sz w:val="20"/>
          <w:szCs w:val="20"/>
        </w:rPr>
        <w:t xml:space="preserve"> -</w:t>
      </w:r>
      <w:r>
        <w:rPr>
          <w:rFonts w:eastAsia="Times New Roman"/>
          <w:color w:val="000000"/>
          <w:sz w:val="20"/>
          <w:szCs w:val="20"/>
        </w:rPr>
        <w:t xml:space="preserve"> </w:t>
      </w:r>
      <w:r>
        <w:rPr>
          <w:rFonts w:eastAsia="Times New Roman"/>
          <w:color w:val="000000"/>
          <w:sz w:val="20"/>
          <w:szCs w:val="20"/>
        </w:rPr>
        <w:t>Pending acquisition of Mountaintop Energy Holdings LLC, indirect parent of Mountaineer, pursuant to a definitive agreement signed on December 29, 2020</w:t>
      </w:r>
    </w:p>
    <w:p w:rsidR="00000000" w:rsidRDefault="005D625B">
      <w:pPr>
        <w:jc w:val="both"/>
        <w:divId w:val="540096124"/>
        <w:rPr>
          <w:rFonts w:eastAsia="Times New Roman"/>
        </w:rPr>
      </w:pPr>
      <w:r>
        <w:rPr>
          <w:rFonts w:eastAsia="Times New Roman"/>
          <w:b/>
          <w:bCs/>
          <w:i/>
          <w:iCs/>
          <w:color w:val="000000"/>
          <w:sz w:val="20"/>
          <w:szCs w:val="20"/>
        </w:rPr>
        <w:t>NOAA -</w:t>
      </w:r>
      <w:r>
        <w:rPr>
          <w:rFonts w:eastAsia="Times New Roman"/>
          <w:color w:val="000000"/>
          <w:sz w:val="20"/>
          <w:szCs w:val="20"/>
        </w:rPr>
        <w:t xml:space="preserve"> National Oceanic and Atmospheric Administration</w:t>
      </w:r>
    </w:p>
    <w:p w:rsidR="00000000" w:rsidRDefault="005D625B">
      <w:pPr>
        <w:jc w:val="both"/>
        <w:divId w:val="1475483477"/>
        <w:rPr>
          <w:rFonts w:eastAsia="Times New Roman"/>
        </w:rPr>
      </w:pPr>
      <w:r>
        <w:rPr>
          <w:rFonts w:eastAsia="Times New Roman"/>
          <w:b/>
          <w:bCs/>
          <w:i/>
          <w:iCs/>
          <w:color w:val="000000"/>
          <w:sz w:val="20"/>
          <w:szCs w:val="20"/>
        </w:rPr>
        <w:t>NOL</w:t>
      </w:r>
      <w:r>
        <w:rPr>
          <w:rFonts w:eastAsia="Times New Roman"/>
          <w:color w:val="000000"/>
          <w:sz w:val="20"/>
          <w:szCs w:val="20"/>
        </w:rPr>
        <w:t xml:space="preserve"> - Net operating loss</w:t>
      </w:r>
    </w:p>
    <w:p w:rsidR="00000000" w:rsidRDefault="005D625B">
      <w:pPr>
        <w:jc w:val="both"/>
        <w:divId w:val="408771528"/>
        <w:rPr>
          <w:rFonts w:eastAsia="Times New Roman"/>
        </w:rPr>
      </w:pPr>
      <w:r>
        <w:rPr>
          <w:rFonts w:eastAsia="Times New Roman"/>
          <w:b/>
          <w:bCs/>
          <w:i/>
          <w:iCs/>
          <w:color w:val="000000"/>
          <w:sz w:val="20"/>
          <w:szCs w:val="20"/>
        </w:rPr>
        <w:t>NPNS -</w:t>
      </w:r>
      <w:r>
        <w:rPr>
          <w:rFonts w:eastAsia="Times New Roman"/>
          <w:color w:val="000000"/>
          <w:sz w:val="20"/>
          <w:szCs w:val="20"/>
        </w:rPr>
        <w:t xml:space="preserve"> Normal purchase an</w:t>
      </w:r>
      <w:r>
        <w:rPr>
          <w:rFonts w:eastAsia="Times New Roman"/>
          <w:color w:val="000000"/>
          <w:sz w:val="20"/>
          <w:szCs w:val="20"/>
        </w:rPr>
        <w:t>d normal sale</w:t>
      </w:r>
    </w:p>
    <w:p w:rsidR="00000000" w:rsidRDefault="005D625B">
      <w:pPr>
        <w:jc w:val="both"/>
        <w:divId w:val="572398731"/>
        <w:rPr>
          <w:rFonts w:eastAsia="Times New Roman"/>
        </w:rPr>
      </w:pPr>
      <w:r>
        <w:rPr>
          <w:rFonts w:eastAsia="Times New Roman"/>
          <w:b/>
          <w:bCs/>
          <w:i/>
          <w:iCs/>
          <w:color w:val="000000"/>
          <w:sz w:val="20"/>
          <w:szCs w:val="20"/>
        </w:rPr>
        <w:t xml:space="preserve">NYDEC - </w:t>
      </w:r>
      <w:r>
        <w:rPr>
          <w:rFonts w:eastAsia="Times New Roman"/>
          <w:color w:val="000000"/>
          <w:sz w:val="20"/>
          <w:szCs w:val="20"/>
        </w:rPr>
        <w:t>New York State Department of Environmental Conservation</w:t>
      </w:r>
    </w:p>
    <w:p w:rsidR="00000000" w:rsidRDefault="005D625B">
      <w:pPr>
        <w:jc w:val="both"/>
        <w:divId w:val="566233730"/>
        <w:rPr>
          <w:rFonts w:eastAsia="Times New Roman"/>
        </w:rPr>
      </w:pPr>
      <w:r>
        <w:rPr>
          <w:rFonts w:eastAsia="Times New Roman"/>
          <w:b/>
          <w:bCs/>
          <w:i/>
          <w:iCs/>
          <w:color w:val="000000"/>
          <w:sz w:val="20"/>
          <w:szCs w:val="20"/>
        </w:rPr>
        <w:t>NYMEX -</w:t>
      </w:r>
      <w:r>
        <w:rPr>
          <w:rFonts w:eastAsia="Times New Roman"/>
          <w:color w:val="000000"/>
          <w:sz w:val="20"/>
          <w:szCs w:val="20"/>
        </w:rPr>
        <w:t xml:space="preserve"> New York Mercantile Exchange</w:t>
      </w:r>
    </w:p>
    <w:p w:rsidR="00000000" w:rsidRDefault="005D625B">
      <w:pPr>
        <w:jc w:val="both"/>
        <w:divId w:val="442774086"/>
        <w:rPr>
          <w:rFonts w:eastAsia="Times New Roman"/>
        </w:rPr>
      </w:pPr>
      <w:r>
        <w:rPr>
          <w:rFonts w:eastAsia="Times New Roman"/>
          <w:b/>
          <w:bCs/>
          <w:i/>
          <w:iCs/>
          <w:color w:val="000000"/>
          <w:sz w:val="20"/>
          <w:szCs w:val="20"/>
        </w:rPr>
        <w:t>PADEP -</w:t>
      </w:r>
      <w:r>
        <w:rPr>
          <w:rFonts w:eastAsia="Times New Roman"/>
          <w:color w:val="000000"/>
          <w:sz w:val="20"/>
          <w:szCs w:val="20"/>
        </w:rPr>
        <w:t xml:space="preserve"> Pennsylvania Department of Environmental Protection</w:t>
      </w:r>
    </w:p>
    <w:p w:rsidR="00000000" w:rsidRDefault="005D625B">
      <w:pPr>
        <w:jc w:val="both"/>
        <w:divId w:val="866406626"/>
        <w:rPr>
          <w:rFonts w:eastAsia="Times New Roman"/>
        </w:rPr>
      </w:pPr>
      <w:r>
        <w:rPr>
          <w:rFonts w:eastAsia="Times New Roman"/>
          <w:b/>
          <w:bCs/>
          <w:i/>
          <w:iCs/>
          <w:color w:val="000000"/>
          <w:sz w:val="20"/>
          <w:szCs w:val="20"/>
        </w:rPr>
        <w:t>PAPUC -</w:t>
      </w:r>
      <w:r>
        <w:rPr>
          <w:rFonts w:eastAsia="Times New Roman"/>
          <w:color w:val="000000"/>
          <w:sz w:val="20"/>
          <w:szCs w:val="20"/>
        </w:rPr>
        <w:t xml:space="preserve"> Pennsylvania Public Utility Commission</w:t>
      </w:r>
    </w:p>
    <w:p w:rsidR="00000000" w:rsidRDefault="005D625B">
      <w:pPr>
        <w:jc w:val="both"/>
        <w:divId w:val="438598134"/>
        <w:rPr>
          <w:rFonts w:eastAsia="Times New Roman"/>
        </w:rPr>
      </w:pPr>
      <w:r>
        <w:rPr>
          <w:rFonts w:eastAsia="Times New Roman"/>
          <w:b/>
          <w:bCs/>
          <w:i/>
          <w:iCs/>
          <w:color w:val="000000"/>
          <w:sz w:val="20"/>
          <w:szCs w:val="20"/>
        </w:rPr>
        <w:t>PennEnergy -</w:t>
      </w:r>
      <w:r>
        <w:rPr>
          <w:rFonts w:eastAsia="Times New Roman"/>
          <w:color w:val="000000"/>
          <w:sz w:val="20"/>
          <w:szCs w:val="20"/>
        </w:rPr>
        <w:t xml:space="preserve"> PennEnergy Resources,</w:t>
      </w:r>
      <w:r>
        <w:rPr>
          <w:rFonts w:eastAsia="Times New Roman"/>
          <w:color w:val="000000"/>
          <w:sz w:val="20"/>
          <w:szCs w:val="20"/>
        </w:rPr>
        <w:t xml:space="preserve"> LLC</w:t>
      </w:r>
    </w:p>
    <w:p w:rsidR="00000000" w:rsidRDefault="005D625B">
      <w:pPr>
        <w:jc w:val="both"/>
        <w:divId w:val="110975245"/>
        <w:rPr>
          <w:rFonts w:eastAsia="Times New Roman"/>
        </w:rPr>
      </w:pPr>
      <w:r>
        <w:rPr>
          <w:rFonts w:eastAsia="Times New Roman"/>
          <w:b/>
          <w:bCs/>
          <w:i/>
          <w:iCs/>
          <w:color w:val="000000"/>
          <w:sz w:val="20"/>
          <w:szCs w:val="20"/>
        </w:rPr>
        <w:t>PGC -</w:t>
      </w:r>
      <w:r>
        <w:rPr>
          <w:rFonts w:eastAsia="Times New Roman"/>
          <w:color w:val="000000"/>
          <w:sz w:val="20"/>
          <w:szCs w:val="20"/>
        </w:rPr>
        <w:t xml:space="preserve"> Purchased gas costs</w:t>
      </w:r>
    </w:p>
    <w:p w:rsidR="00000000" w:rsidRDefault="005D625B">
      <w:pPr>
        <w:jc w:val="both"/>
        <w:divId w:val="1682855040"/>
        <w:rPr>
          <w:rFonts w:eastAsia="Times New Roman"/>
        </w:rPr>
      </w:pPr>
      <w:r>
        <w:rPr>
          <w:rFonts w:eastAsia="Times New Roman"/>
          <w:b/>
          <w:bCs/>
          <w:i/>
          <w:iCs/>
          <w:color w:val="000000"/>
          <w:sz w:val="20"/>
          <w:szCs w:val="20"/>
        </w:rPr>
        <w:t xml:space="preserve">PRP - </w:t>
      </w:r>
      <w:r>
        <w:rPr>
          <w:rFonts w:eastAsia="Times New Roman"/>
          <w:color w:val="000000"/>
          <w:sz w:val="20"/>
          <w:szCs w:val="20"/>
        </w:rPr>
        <w:t>Potentially Responsible Party</w:t>
      </w:r>
    </w:p>
    <w:p w:rsidR="00000000" w:rsidRDefault="005D625B">
      <w:pPr>
        <w:jc w:val="both"/>
        <w:divId w:val="1467090760"/>
        <w:rPr>
          <w:rFonts w:eastAsia="Times New Roman"/>
        </w:rPr>
      </w:pPr>
      <w:r>
        <w:rPr>
          <w:rFonts w:eastAsia="Times New Roman"/>
          <w:b/>
          <w:bCs/>
          <w:i/>
          <w:iCs/>
          <w:color w:val="000000"/>
          <w:sz w:val="20"/>
          <w:szCs w:val="20"/>
        </w:rPr>
        <w:t>Receivables Facility -</w:t>
      </w:r>
      <w:r>
        <w:rPr>
          <w:rFonts w:eastAsia="Times New Roman"/>
          <w:color w:val="000000"/>
          <w:sz w:val="20"/>
          <w:szCs w:val="20"/>
        </w:rPr>
        <w:t xml:space="preserve"> </w:t>
      </w:r>
      <w:r>
        <w:rPr>
          <w:rFonts w:eastAsia="Times New Roman"/>
          <w:color w:val="000000"/>
          <w:sz w:val="20"/>
          <w:szCs w:val="20"/>
        </w:rPr>
        <w:t>A receivables purchase facility of Energy Services with an issuer of receivables-backed commercial paper</w:t>
      </w:r>
    </w:p>
    <w:p w:rsidR="00000000" w:rsidRDefault="005D625B">
      <w:pPr>
        <w:jc w:val="both"/>
        <w:divId w:val="1464540223"/>
        <w:rPr>
          <w:rFonts w:eastAsia="Times New Roman"/>
        </w:rPr>
      </w:pPr>
      <w:r>
        <w:rPr>
          <w:rFonts w:eastAsia="Times New Roman"/>
          <w:b/>
          <w:bCs/>
          <w:i/>
          <w:iCs/>
          <w:color w:val="000000"/>
          <w:sz w:val="20"/>
          <w:szCs w:val="20"/>
        </w:rPr>
        <w:t>Retail core-market -</w:t>
      </w:r>
      <w:r>
        <w:rPr>
          <w:rFonts w:eastAsia="Times New Roman"/>
          <w:color w:val="000000"/>
          <w:sz w:val="20"/>
          <w:szCs w:val="20"/>
        </w:rPr>
        <w:t xml:space="preserve"> Comprises firm residential, commercial and industrial customers to whom UGI Utilities has a statutory obligation to provide servic</w:t>
      </w:r>
      <w:r>
        <w:rPr>
          <w:rFonts w:eastAsia="Times New Roman"/>
          <w:color w:val="000000"/>
          <w:sz w:val="20"/>
          <w:szCs w:val="20"/>
        </w:rPr>
        <w:t>e that purchase their natural gas from Gas Utility</w:t>
      </w:r>
    </w:p>
    <w:p w:rsidR="00000000" w:rsidRDefault="005D625B">
      <w:pPr>
        <w:jc w:val="both"/>
        <w:divId w:val="483932073"/>
        <w:rPr>
          <w:rFonts w:eastAsia="Times New Roman"/>
        </w:rPr>
      </w:pPr>
      <w:r>
        <w:rPr>
          <w:rFonts w:eastAsia="Times New Roman"/>
          <w:b/>
          <w:bCs/>
          <w:i/>
          <w:iCs/>
          <w:color w:val="000000"/>
          <w:sz w:val="20"/>
          <w:szCs w:val="20"/>
        </w:rPr>
        <w:t xml:space="preserve">ROD - </w:t>
      </w:r>
      <w:r>
        <w:rPr>
          <w:rFonts w:eastAsia="Times New Roman"/>
          <w:color w:val="000000"/>
          <w:sz w:val="20"/>
          <w:szCs w:val="20"/>
        </w:rPr>
        <w:t>Record of Decision</w:t>
      </w:r>
    </w:p>
    <w:p w:rsidR="00000000" w:rsidRDefault="005D625B">
      <w:pPr>
        <w:jc w:val="both"/>
        <w:divId w:val="1881748620"/>
        <w:rPr>
          <w:rFonts w:eastAsia="Times New Roman"/>
        </w:rPr>
      </w:pPr>
      <w:r>
        <w:rPr>
          <w:rFonts w:eastAsia="Times New Roman"/>
          <w:b/>
          <w:bCs/>
          <w:i/>
          <w:iCs/>
          <w:color w:val="000000"/>
          <w:sz w:val="20"/>
          <w:szCs w:val="20"/>
        </w:rPr>
        <w:t>SCAA -</w:t>
      </w:r>
      <w:r>
        <w:rPr>
          <w:rFonts w:eastAsia="Times New Roman"/>
          <w:color w:val="000000"/>
          <w:sz w:val="20"/>
          <w:szCs w:val="20"/>
        </w:rPr>
        <w:t xml:space="preserve"> Storage Contract Administrative Agreements</w:t>
      </w:r>
    </w:p>
    <w:p w:rsidR="00000000" w:rsidRDefault="005D625B">
      <w:pPr>
        <w:jc w:val="both"/>
        <w:divId w:val="4326579"/>
        <w:rPr>
          <w:rFonts w:eastAsia="Times New Roman"/>
        </w:rPr>
      </w:pPr>
      <w:r>
        <w:rPr>
          <w:rFonts w:eastAsia="Times New Roman"/>
          <w:b/>
          <w:bCs/>
          <w:i/>
          <w:iCs/>
          <w:color w:val="000000"/>
          <w:sz w:val="20"/>
          <w:szCs w:val="20"/>
        </w:rPr>
        <w:t>SEC -</w:t>
      </w:r>
      <w:r>
        <w:rPr>
          <w:rFonts w:eastAsia="Times New Roman"/>
          <w:color w:val="000000"/>
          <w:sz w:val="20"/>
          <w:szCs w:val="20"/>
        </w:rPr>
        <w:t xml:space="preserve"> U.S. Securities and Exchange Commission</w:t>
      </w:r>
    </w:p>
    <w:p w:rsidR="00000000" w:rsidRDefault="005D625B">
      <w:pPr>
        <w:jc w:val="both"/>
        <w:divId w:val="1558710211"/>
        <w:rPr>
          <w:rFonts w:eastAsia="Times New Roman"/>
        </w:rPr>
      </w:pPr>
      <w:r>
        <w:rPr>
          <w:rFonts w:eastAsia="Times New Roman"/>
          <w:b/>
          <w:bCs/>
          <w:i/>
          <w:iCs/>
          <w:color w:val="000000"/>
          <w:sz w:val="20"/>
          <w:szCs w:val="20"/>
        </w:rPr>
        <w:t>Series B preferred stock -</w:t>
      </w:r>
      <w:r>
        <w:rPr>
          <w:rFonts w:eastAsia="Times New Roman"/>
          <w:color w:val="000000"/>
          <w:sz w:val="20"/>
          <w:szCs w:val="20"/>
        </w:rPr>
        <w:t xml:space="preserve"> Preferred stock of UGI titled 0.125% series B cumulative </w:t>
      </w:r>
      <w:r>
        <w:rPr>
          <w:rFonts w:eastAsia="Times New Roman"/>
          <w:color w:val="000000"/>
          <w:sz w:val="20"/>
          <w:szCs w:val="20"/>
        </w:rPr>
        <w:t>perpetual preferred stock with terms substantially identical to the Convertible Preferred Stock, except that it will not be convertible</w:t>
      </w:r>
    </w:p>
    <w:p w:rsidR="00000000" w:rsidRDefault="005D625B">
      <w:pPr>
        <w:jc w:val="both"/>
        <w:rPr>
          <w:rFonts w:eastAsia="Times New Roman"/>
        </w:rPr>
      </w:pPr>
      <w:r>
        <w:rPr>
          <w:rFonts w:eastAsia="Times New Roman"/>
          <w:b/>
          <w:bCs/>
          <w:i/>
          <w:iCs/>
          <w:color w:val="000000"/>
          <w:sz w:val="20"/>
          <w:szCs w:val="20"/>
        </w:rPr>
        <w:t>Stonehenge -</w:t>
      </w:r>
      <w:r>
        <w:rPr>
          <w:rFonts w:eastAsia="Times New Roman"/>
          <w:color w:val="000000"/>
          <w:sz w:val="20"/>
          <w:szCs w:val="20"/>
        </w:rPr>
        <w:t xml:space="preserve"> Stonehenge Energy Resources III, LLC, a portfolio company of Energy Spectrum Partners VIII, L.P.</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TCJA -</w:t>
      </w:r>
      <w:r>
        <w:rPr>
          <w:rFonts w:eastAsia="Times New Roman"/>
          <w:color w:val="000000"/>
          <w:sz w:val="20"/>
          <w:szCs w:val="20"/>
        </w:rPr>
        <w:t xml:space="preserve"> T</w:t>
      </w:r>
      <w:r>
        <w:rPr>
          <w:rFonts w:eastAsia="Times New Roman"/>
          <w:color w:val="000000"/>
          <w:sz w:val="20"/>
          <w:szCs w:val="20"/>
        </w:rPr>
        <w:t>ax Cuts and Jobs Act</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Temporary Rates Order -</w:t>
      </w:r>
      <w:r>
        <w:rPr>
          <w:rFonts w:eastAsia="Times New Roman"/>
          <w:color w:val="000000"/>
          <w:sz w:val="20"/>
          <w:szCs w:val="20"/>
        </w:rPr>
        <w:t xml:space="preserve"> Order issued by the PAPUC on March 15, 2018, that converted PAPUC approved rates of a defined group of large Pennsylvania public utilities into temporary rates for a period of not more than 12 months while the</w:t>
      </w:r>
      <w:r>
        <w:rPr>
          <w:rFonts w:eastAsia="Times New Roman"/>
          <w:color w:val="000000"/>
          <w:sz w:val="20"/>
          <w:szCs w:val="20"/>
        </w:rPr>
        <w:t xml:space="preserve"> PAPUC reviewed effects of the TCJA</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UGI Corporation Senior Credit Facilit</w:t>
      </w:r>
      <w:r>
        <w:rPr>
          <w:rFonts w:eastAsia="Times New Roman"/>
          <w:color w:val="000000"/>
          <w:sz w:val="20"/>
          <w:szCs w:val="20"/>
        </w:rPr>
        <w:t>y - An unsecured senior facilities agreement entered into on August 1, 2019, by UGI comprising (1) a five-year $250 million term loan facility; (2) a three-year $300 million term loan facility; and (3) a five-year $300 million revolving credit facility (in</w:t>
      </w:r>
      <w:r>
        <w:rPr>
          <w:rFonts w:eastAsia="Times New Roman"/>
          <w:color w:val="000000"/>
          <w:sz w:val="20"/>
          <w:szCs w:val="20"/>
        </w:rPr>
        <w:t>cluding a $10 million sublimit for letters of credit)</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 xml:space="preserve">USD </w:t>
      </w:r>
      <w:r>
        <w:rPr>
          <w:rFonts w:eastAsia="Times New Roman"/>
          <w:color w:val="000000"/>
          <w:sz w:val="20"/>
          <w:szCs w:val="20"/>
        </w:rPr>
        <w:t>- U.S. dollar</w:t>
      </w:r>
    </w:p>
    <w:p w:rsidR="00000000" w:rsidRDefault="005D625B">
      <w:pPr>
        <w:jc w:val="both"/>
        <w:rPr>
          <w:rFonts w:eastAsia="Times New Roman"/>
        </w:rPr>
      </w:pPr>
    </w:p>
    <w:p w:rsidR="00000000" w:rsidRDefault="005D625B">
      <w:pPr>
        <w:jc w:val="both"/>
        <w:divId w:val="1056587197"/>
        <w:rPr>
          <w:rFonts w:eastAsia="Times New Roman"/>
        </w:rPr>
      </w:pPr>
      <w:r>
        <w:rPr>
          <w:rFonts w:eastAsia="Times New Roman"/>
          <w:b/>
          <w:bCs/>
          <w:i/>
          <w:iCs/>
          <w:color w:val="000000"/>
          <w:sz w:val="20"/>
          <w:szCs w:val="20"/>
        </w:rPr>
        <w:t xml:space="preserve">Western Missouri District Court - </w:t>
      </w:r>
      <w:r>
        <w:rPr>
          <w:rFonts w:eastAsia="Times New Roman"/>
          <w:color w:val="000000"/>
          <w:sz w:val="20"/>
          <w:szCs w:val="20"/>
        </w:rPr>
        <w:t>The United States District Court for the Western District of Missouri</w:t>
      </w:r>
    </w:p>
    <w:p w:rsidR="00000000" w:rsidRDefault="005D625B">
      <w:pPr>
        <w:jc w:val="both"/>
        <w:divId w:val="487788853"/>
        <w:rPr>
          <w:rFonts w:eastAsia="Times New Roman"/>
        </w:rPr>
      </w:pPr>
      <w:r>
        <w:rPr>
          <w:rFonts w:eastAsia="Times New Roman"/>
          <w:b/>
          <w:bCs/>
          <w:i/>
          <w:iCs/>
          <w:color w:val="000000"/>
          <w:sz w:val="20"/>
          <w:szCs w:val="20"/>
        </w:rPr>
        <w:t>WHO</w:t>
      </w:r>
      <w:r>
        <w:rPr>
          <w:rFonts w:eastAsia="Times New Roman"/>
          <w:color w:val="000000"/>
          <w:sz w:val="20"/>
          <w:szCs w:val="20"/>
        </w:rPr>
        <w:t xml:space="preserve"> - World Health Organization</w:t>
      </w:r>
    </w:p>
    <w:p w:rsidR="00000000" w:rsidRDefault="005D625B">
      <w:pPr>
        <w:jc w:val="both"/>
        <w:divId w:val="755633104"/>
        <w:rPr>
          <w:rFonts w:eastAsia="Times New Roman"/>
        </w:rPr>
      </w:pPr>
      <w:r>
        <w:rPr>
          <w:rFonts w:eastAsia="Times New Roman"/>
          <w:b/>
          <w:bCs/>
          <w:i/>
          <w:iCs/>
          <w:color w:val="000000"/>
          <w:sz w:val="20"/>
          <w:szCs w:val="20"/>
        </w:rPr>
        <w:t>WV PSC</w:t>
      </w:r>
      <w:r>
        <w:rPr>
          <w:rFonts w:eastAsia="Times New Roman"/>
          <w:color w:val="000000"/>
          <w:sz w:val="20"/>
          <w:szCs w:val="20"/>
        </w:rPr>
        <w:t xml:space="preserve"> - Public Service Commission of West V</w:t>
      </w:r>
      <w:r>
        <w:rPr>
          <w:rFonts w:eastAsia="Times New Roman"/>
          <w:color w:val="000000"/>
          <w:sz w:val="20"/>
          <w:szCs w:val="20"/>
        </w:rPr>
        <w:t xml:space="preserve">irginia </w:t>
      </w:r>
    </w:p>
    <w:p w:rsidR="00000000" w:rsidRDefault="005D625B">
      <w:pPr>
        <w:jc w:val="center"/>
        <w:divId w:val="863901000"/>
        <w:rPr>
          <w:rFonts w:eastAsia="Times New Roman"/>
        </w:rPr>
      </w:pPr>
      <w:r>
        <w:rPr>
          <w:rFonts w:eastAsia="Times New Roman"/>
          <w:color w:val="000000"/>
          <w:sz w:val="20"/>
          <w:szCs w:val="20"/>
        </w:rPr>
        <w:t>4</w:t>
      </w:r>
    </w:p>
    <w:p w:rsidR="00000000" w:rsidRDefault="005D625B">
      <w:pPr>
        <w:rPr>
          <w:rFonts w:eastAsia="Times New Roman"/>
        </w:rPr>
      </w:pPr>
      <w:r>
        <w:rPr>
          <w:rFonts w:eastAsia="Times New Roman"/>
        </w:rPr>
        <w:pict>
          <v:rect id="_x0000_i1030" style="width:0;height:1.5pt" o:hralign="center" o:hrstd="t" o:hr="t" fillcolor="#a0a0a0" stroked="f"/>
        </w:pict>
      </w:r>
    </w:p>
    <w:p w:rsidR="00000000" w:rsidRDefault="005D625B">
      <w:pPr>
        <w:divId w:val="1316379527"/>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2111046903"/>
        <w:rPr>
          <w:rFonts w:eastAsia="Times New Roman"/>
        </w:rPr>
      </w:pPr>
      <w:r>
        <w:rPr>
          <w:rFonts w:eastAsia="Times New Roman"/>
          <w:b/>
          <w:bCs/>
          <w:color w:val="000000"/>
          <w:sz w:val="20"/>
          <w:szCs w:val="20"/>
        </w:rPr>
        <w:t>UGI CORPORATION AND SUBSIDIARIES</w:t>
      </w:r>
    </w:p>
    <w:p w:rsidR="00000000" w:rsidRDefault="005D625B">
      <w:pPr>
        <w:jc w:val="center"/>
        <w:divId w:val="2006014612"/>
        <w:rPr>
          <w:rFonts w:eastAsia="Times New Roman"/>
        </w:rPr>
      </w:pPr>
      <w:r>
        <w:rPr>
          <w:rFonts w:eastAsia="Times New Roman"/>
          <w:b/>
          <w:bCs/>
          <w:color w:val="000000"/>
          <w:sz w:val="20"/>
          <w:szCs w:val="20"/>
        </w:rPr>
        <w:t>PART I FINANCIAL INFORMATION</w:t>
      </w:r>
    </w:p>
    <w:p w:rsidR="00000000" w:rsidRDefault="005D625B">
      <w:pPr>
        <w:jc w:val="center"/>
        <w:divId w:val="105849298"/>
        <w:rPr>
          <w:rFonts w:eastAsia="Times New Roman"/>
        </w:rPr>
      </w:pPr>
      <w:r>
        <w:rPr>
          <w:rFonts w:eastAsia="Times New Roman"/>
          <w:b/>
          <w:bCs/>
          <w:color w:val="000000"/>
          <w:sz w:val="20"/>
          <w:szCs w:val="20"/>
        </w:rPr>
        <w:t>ITEM 1. FINANCIAL STATEMENTS</w:t>
      </w:r>
    </w:p>
    <w:p w:rsidR="00000000" w:rsidRDefault="005D625B">
      <w:pPr>
        <w:jc w:val="center"/>
        <w:rPr>
          <w:rFonts w:eastAsia="Times New Roman"/>
        </w:rPr>
      </w:pPr>
      <w:r>
        <w:rPr>
          <w:rFonts w:eastAsia="Times New Roman"/>
          <w:b/>
          <w:bCs/>
          <w:color w:val="000000"/>
          <w:sz w:val="20"/>
          <w:szCs w:val="20"/>
        </w:rPr>
        <w:t>CONDENSED CONSOLIDATED BALANCE SHEETS</w:t>
      </w:r>
    </w:p>
    <w:p w:rsidR="00000000" w:rsidRDefault="005D625B">
      <w:pPr>
        <w:jc w:val="center"/>
        <w:rPr>
          <w:rFonts w:eastAsia="Times New Roman"/>
        </w:rPr>
      </w:pPr>
      <w:r>
        <w:rPr>
          <w:rFonts w:eastAsia="Times New Roman"/>
          <w:color w:val="000000"/>
          <w:sz w:val="20"/>
          <w:szCs w:val="20"/>
        </w:rPr>
        <w:t>(unaudited)</w:t>
      </w:r>
    </w:p>
    <w:p w:rsidR="00000000" w:rsidRDefault="005D625B">
      <w:pPr>
        <w:jc w:val="center"/>
        <w:rPr>
          <w:rFonts w:eastAsia="Times New Roman"/>
        </w:rPr>
      </w:pPr>
      <w:r>
        <w:rPr>
          <w:rFonts w:eastAsia="Times New Roman"/>
          <w:color w:val="000000"/>
          <w:sz w:val="20"/>
          <w:szCs w:val="20"/>
        </w:rPr>
        <w:t>(Millions of dollars)</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060"/>
        <w:gridCol w:w="39"/>
        <w:gridCol w:w="36"/>
        <w:gridCol w:w="36"/>
        <w:gridCol w:w="36"/>
        <w:gridCol w:w="110"/>
        <w:gridCol w:w="785"/>
        <w:gridCol w:w="36"/>
        <w:gridCol w:w="36"/>
        <w:gridCol w:w="36"/>
        <w:gridCol w:w="36"/>
        <w:gridCol w:w="111"/>
        <w:gridCol w:w="796"/>
        <w:gridCol w:w="36"/>
        <w:gridCol w:w="36"/>
        <w:gridCol w:w="36"/>
        <w:gridCol w:w="36"/>
        <w:gridCol w:w="110"/>
        <w:gridCol w:w="797"/>
        <w:gridCol w:w="36"/>
      </w:tblGrid>
      <w:tr w:rsidR="00000000">
        <w:trPr>
          <w:divId w:val="1363481555"/>
          <w:jc w:val="center"/>
        </w:trPr>
        <w:tc>
          <w:tcPr>
            <w:tcW w:w="50" w:type="pct"/>
            <w:vAlign w:val="center"/>
            <w:hideMark/>
          </w:tcPr>
          <w:p w:rsidR="00000000" w:rsidRDefault="005D625B">
            <w:pPr>
              <w:jc w:val="center"/>
              <w:rPr>
                <w:rFonts w:eastAsia="Times New Roman"/>
              </w:rPr>
            </w:pPr>
          </w:p>
        </w:tc>
        <w:tc>
          <w:tcPr>
            <w:tcW w:w="30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2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September 30,</w:t>
            </w:r>
            <w:r>
              <w:rPr>
                <w:rFonts w:eastAsia="Times New Roman"/>
                <w:color w:val="000000"/>
                <w:sz w:val="18"/>
                <w:szCs w:val="18"/>
              </w:rPr>
              <w:b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2020</w:t>
            </w:r>
          </w:p>
        </w:tc>
      </w:tr>
      <w:tr w:rsidR="00000000">
        <w:trPr>
          <w:divId w:val="1363481555"/>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CCEE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545 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336 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487 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divId w:val="365180602"/>
              <w:rPr>
                <w:rFonts w:eastAsia="Times New Roman"/>
              </w:rPr>
            </w:pPr>
            <w:r>
              <w:rPr>
                <w:rFonts w:eastAsia="Times New Roman"/>
                <w:color w:val="000000"/>
                <w:sz w:val="18"/>
                <w:szCs w:val="18"/>
              </w:rPr>
              <w:t>Accounts receivable (less allowances for doubtful accounts of $51, $42 and $42, respectively)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848 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652 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675 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Accrued utility revenues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Income taxes receivable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296 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241 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201 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CCEE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350 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FFFF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171 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155 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74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1,543 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20" w:type="dxa"/>
              <w:bottom w:w="30" w:type="dxa"/>
              <w:right w:w="20" w:type="dxa"/>
            </w:tcMar>
            <w:hideMark/>
          </w:tcPr>
          <w:p w:rsidR="00000000" w:rsidRDefault="005D625B">
            <w:pPr>
              <w:spacing w:after="100"/>
              <w:divId w:val="554203235"/>
              <w:rPr>
                <w:rFonts w:eastAsia="Times New Roman"/>
              </w:rPr>
            </w:pPr>
            <w:r>
              <w:rPr>
                <w:rFonts w:eastAsia="Times New Roman"/>
                <w:color w:val="000000"/>
                <w:sz w:val="18"/>
                <w:szCs w:val="18"/>
              </w:rPr>
              <w:t>Property, plant and equipment, (less accumulated depreciation of $3,923, $3,698 and $3,600, respectively)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7,085 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6,960 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6,805 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3,543 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3,518 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3,482 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624 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677 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669 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Utility regulatory 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389 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395 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395 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129 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859 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854 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854 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74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15,006 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13,985 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13,843 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LIABILITIES AND EQUITY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CCEE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Current maturities of long-term debt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FFFF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Short-term borrowings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207 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347 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423 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579 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475 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382 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812 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816 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739 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74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1,701 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1,755 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1,679 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5,811 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5,981 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5,961 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Deferred income taxes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919 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640 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1,420 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1,389 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74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Total liabilities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9,900 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9,848 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9,708 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Commitments and contingencies (Note 9)</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Equity: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UGI Corporation stockholders’ equity: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63481555"/>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divId w:val="473646765"/>
              <w:rPr>
                <w:rFonts w:eastAsia="Times New Roman"/>
              </w:rPr>
            </w:pPr>
            <w:r>
              <w:rPr>
                <w:rFonts w:eastAsia="Times New Roman"/>
                <w:color w:val="000000"/>
                <w:sz w:val="18"/>
                <w:szCs w:val="18"/>
              </w:rPr>
              <w:t>Preferred stock, without par value (authorized – 5,000,000 shares; issued – 220,000, 0 and 0 shares, respectively)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divId w:val="77601240"/>
              <w:rPr>
                <w:rFonts w:eastAsia="Times New Roman"/>
              </w:rPr>
            </w:pPr>
            <w:r>
              <w:rPr>
                <w:rFonts w:eastAsia="Times New Roman"/>
                <w:color w:val="000000"/>
                <w:sz w:val="18"/>
                <w:szCs w:val="18"/>
              </w:rPr>
              <w:t xml:space="preserve">UGI Common Stock, without par value (authorized — 450,000,000 shares; issued — 209,725,554, </w:t>
            </w:r>
            <w:r>
              <w:rPr>
                <w:rFonts w:eastAsia="Times New Roman"/>
                <w:color w:val="000000"/>
                <w:sz w:val="18"/>
                <w:szCs w:val="18"/>
              </w:rPr>
              <w:t>209,514,044 and 209,504,994 shares, respectively)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1,388 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Retained earnings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3,629 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2,908 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2,970 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(105)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(205)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Treasury stock, at cost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74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Total UGI Corporation stockholders’ equity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4,128 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38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FFFFFF"/>
            <w:tcMar>
              <w:top w:w="30" w:type="dxa"/>
              <w:left w:w="74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Total equity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4,135 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63481555"/>
          <w:jc w:val="center"/>
        </w:trPr>
        <w:tc>
          <w:tcPr>
            <w:tcW w:w="0" w:type="auto"/>
            <w:gridSpan w:val="3"/>
            <w:shd w:val="clear" w:color="auto" w:fill="CCEEFF"/>
            <w:tcMar>
              <w:top w:w="30" w:type="dxa"/>
              <w:left w:w="74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Total liabilities and equity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15,006 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13,985 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13,843 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divId w:val="111171104"/>
        <w:rPr>
          <w:rFonts w:eastAsia="Times New Roman"/>
        </w:rPr>
      </w:pPr>
      <w:r>
        <w:rPr>
          <w:rFonts w:eastAsia="Times New Roman"/>
          <w:color w:val="000000"/>
          <w:sz w:val="20"/>
          <w:szCs w:val="20"/>
        </w:rPr>
        <w:t>See accompanying notes to condensed consolidated financial statements.</w:t>
      </w:r>
    </w:p>
    <w:p w:rsidR="00000000" w:rsidRDefault="005D625B">
      <w:pPr>
        <w:jc w:val="center"/>
        <w:divId w:val="538126277"/>
        <w:rPr>
          <w:rFonts w:eastAsia="Times New Roman"/>
        </w:rPr>
      </w:pPr>
      <w:r>
        <w:rPr>
          <w:rFonts w:eastAsia="Times New Roman"/>
          <w:color w:val="000000"/>
          <w:sz w:val="20"/>
          <w:szCs w:val="20"/>
        </w:rPr>
        <w:t>5</w:t>
      </w:r>
    </w:p>
    <w:p w:rsidR="00000000" w:rsidRDefault="005D625B">
      <w:pPr>
        <w:rPr>
          <w:rFonts w:eastAsia="Times New Roman"/>
        </w:rPr>
      </w:pPr>
      <w:r>
        <w:rPr>
          <w:rFonts w:eastAsia="Times New Roman"/>
        </w:rPr>
        <w:pict>
          <v:rect id="_x0000_i1031" style="width:0;height:1.5pt" o:hralign="center" o:hrstd="t" o:hr="t" fillcolor="#a0a0a0" stroked="f"/>
        </w:pict>
      </w:r>
    </w:p>
    <w:p w:rsidR="00000000" w:rsidRDefault="005D625B">
      <w:pPr>
        <w:divId w:val="1608581791"/>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620310756"/>
        <w:rPr>
          <w:rFonts w:eastAsia="Times New Roman"/>
        </w:rPr>
      </w:pPr>
      <w:r>
        <w:rPr>
          <w:rFonts w:eastAsia="Times New Roman"/>
          <w:b/>
          <w:bCs/>
          <w:color w:val="000000"/>
          <w:sz w:val="20"/>
          <w:szCs w:val="20"/>
        </w:rPr>
        <w:t>UGI CORPORATION AND SUBSIDIARIES</w:t>
      </w:r>
    </w:p>
    <w:p w:rsidR="00000000" w:rsidRDefault="005D625B">
      <w:pPr>
        <w:jc w:val="center"/>
        <w:rPr>
          <w:rFonts w:eastAsia="Times New Roman"/>
        </w:rPr>
      </w:pPr>
      <w:r>
        <w:rPr>
          <w:rFonts w:eastAsia="Times New Roman"/>
          <w:b/>
          <w:bCs/>
          <w:color w:val="000000"/>
          <w:sz w:val="20"/>
          <w:szCs w:val="20"/>
        </w:rPr>
        <w:t xml:space="preserve">CONDENSED CONSOLIDATED STATEMENTS OF </w:t>
      </w:r>
      <w:r>
        <w:rPr>
          <w:rFonts w:eastAsia="Times New Roman"/>
          <w:b/>
          <w:bCs/>
          <w:color w:val="000000"/>
          <w:sz w:val="20"/>
          <w:szCs w:val="20"/>
        </w:rPr>
        <w:t>INCOME</w:t>
      </w:r>
    </w:p>
    <w:p w:rsidR="00000000" w:rsidRDefault="005D625B">
      <w:pPr>
        <w:jc w:val="center"/>
        <w:rPr>
          <w:rFonts w:eastAsia="Times New Roman"/>
        </w:rPr>
      </w:pPr>
      <w:r>
        <w:rPr>
          <w:rFonts w:eastAsia="Times New Roman"/>
          <w:color w:val="000000"/>
          <w:sz w:val="20"/>
          <w:szCs w:val="20"/>
        </w:rPr>
        <w:t>(unaudited)</w:t>
      </w:r>
    </w:p>
    <w:p w:rsidR="00000000" w:rsidRDefault="005D625B">
      <w:pPr>
        <w:jc w:val="center"/>
        <w:rPr>
          <w:rFonts w:eastAsia="Times New Roman"/>
        </w:rPr>
      </w:pPr>
      <w:r>
        <w:rPr>
          <w:rFonts w:eastAsia="Times New Roman"/>
          <w:color w:val="000000"/>
          <w:sz w:val="20"/>
          <w:szCs w:val="20"/>
        </w:rPr>
        <w:t>(Millions of dollars,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33"/>
        <w:gridCol w:w="38"/>
        <w:gridCol w:w="36"/>
        <w:gridCol w:w="36"/>
        <w:gridCol w:w="36"/>
        <w:gridCol w:w="121"/>
        <w:gridCol w:w="784"/>
        <w:gridCol w:w="36"/>
        <w:gridCol w:w="36"/>
        <w:gridCol w:w="36"/>
        <w:gridCol w:w="36"/>
        <w:gridCol w:w="121"/>
        <w:gridCol w:w="784"/>
        <w:gridCol w:w="36"/>
        <w:gridCol w:w="36"/>
        <w:gridCol w:w="36"/>
        <w:gridCol w:w="36"/>
        <w:gridCol w:w="121"/>
        <w:gridCol w:w="834"/>
        <w:gridCol w:w="36"/>
        <w:gridCol w:w="36"/>
        <w:gridCol w:w="36"/>
        <w:gridCol w:w="36"/>
        <w:gridCol w:w="121"/>
        <w:gridCol w:w="834"/>
        <w:gridCol w:w="36"/>
      </w:tblGrid>
      <w:tr w:rsidR="00000000">
        <w:trPr>
          <w:divId w:val="1794861094"/>
        </w:trPr>
        <w:tc>
          <w:tcPr>
            <w:tcW w:w="50" w:type="pct"/>
            <w:vAlign w:val="center"/>
            <w:hideMark/>
          </w:tcPr>
          <w:p w:rsidR="00000000" w:rsidRDefault="005D625B">
            <w:pPr>
              <w:jc w:val="center"/>
              <w:rPr>
                <w:rFonts w:eastAsia="Times New Roman"/>
              </w:rPr>
            </w:pPr>
          </w:p>
        </w:tc>
        <w:tc>
          <w:tcPr>
            <w:tcW w:w="240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2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2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794861094"/>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June 30,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p>
        </w:tc>
      </w:tr>
      <w:tr w:rsidR="00000000">
        <w:trPr>
          <w:divId w:val="1794861094"/>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2020</w:t>
            </w:r>
          </w:p>
        </w:tc>
      </w:tr>
      <w:tr w:rsidR="00000000">
        <w:trPr>
          <w:divId w:val="1794861094"/>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6,009 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94861094"/>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Cost of sales (excluding depreciation and amortization shown below)</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516 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417 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2,673 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437 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1,473 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1,452 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Impairment of assets held-for-sale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794861094"/>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794861094"/>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Other operating income, net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4,445 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4,522 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Operating income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(Loss) income from equity investees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794861094"/>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794861094"/>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Other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w:t>
            </w:r>
            <w:r>
              <w:rPr>
                <w:rFonts w:eastAsia="Times New Roman"/>
                <w:color w:val="000000"/>
                <w:sz w:val="20"/>
                <w:szCs w:val="20"/>
              </w:rPr>
              <w:t>233)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Income tax expense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(320)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794861094"/>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794861094"/>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Net income attributable to UGI Corporation</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Earnings per common share attributable to UGI Corporation stockholders: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94861094"/>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0.72 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0.41 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4.51 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0.41 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4.48 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Weighted-average common shares outstanding (thousands):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94861094"/>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209,099 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208,598 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208,934 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208,989 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210,851 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208,975 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210,194 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210,009 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94861094"/>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bl>
    <w:p w:rsidR="00000000" w:rsidRDefault="005D625B">
      <w:pPr>
        <w:divId w:val="793907878"/>
        <w:rPr>
          <w:rFonts w:eastAsia="Times New Roman"/>
        </w:rPr>
      </w:pPr>
      <w:r>
        <w:rPr>
          <w:rFonts w:eastAsia="Times New Roman"/>
          <w:color w:val="000000"/>
          <w:sz w:val="20"/>
          <w:szCs w:val="20"/>
        </w:rPr>
        <w:t>See accompanying notes to condensed consolidated financial statements.</w:t>
      </w:r>
    </w:p>
    <w:p w:rsidR="00000000" w:rsidRDefault="005D625B">
      <w:pPr>
        <w:jc w:val="center"/>
        <w:rPr>
          <w:rFonts w:eastAsia="Times New Roman"/>
        </w:rPr>
      </w:pPr>
    </w:p>
    <w:p w:rsidR="00000000" w:rsidRDefault="005D625B">
      <w:pPr>
        <w:jc w:val="center"/>
        <w:divId w:val="1779373186"/>
        <w:rPr>
          <w:rFonts w:eastAsia="Times New Roman"/>
        </w:rPr>
      </w:pPr>
      <w:r>
        <w:rPr>
          <w:rFonts w:eastAsia="Times New Roman"/>
          <w:color w:val="000000"/>
          <w:sz w:val="20"/>
          <w:szCs w:val="20"/>
        </w:rPr>
        <w:t>6</w:t>
      </w:r>
    </w:p>
    <w:p w:rsidR="00000000" w:rsidRDefault="005D625B">
      <w:pPr>
        <w:rPr>
          <w:rFonts w:eastAsia="Times New Roman"/>
        </w:rPr>
      </w:pPr>
      <w:r>
        <w:rPr>
          <w:rFonts w:eastAsia="Times New Roman"/>
        </w:rPr>
        <w:pict>
          <v:rect id="_x0000_i1032" style="width:0;height:1.5pt" o:hralign="center" o:hrstd="t" o:hr="t" fillcolor="#a0a0a0" stroked="f"/>
        </w:pict>
      </w:r>
    </w:p>
    <w:p w:rsidR="00000000" w:rsidRDefault="005D625B">
      <w:pPr>
        <w:divId w:val="251164349"/>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569874429"/>
        <w:rPr>
          <w:rFonts w:eastAsia="Times New Roman"/>
        </w:rPr>
      </w:pPr>
      <w:r>
        <w:rPr>
          <w:rFonts w:eastAsia="Times New Roman"/>
          <w:b/>
          <w:bCs/>
          <w:color w:val="000000"/>
          <w:sz w:val="20"/>
          <w:szCs w:val="20"/>
        </w:rPr>
        <w:t>UGI CORPORATION AND SUBSIDIARIES</w:t>
      </w:r>
    </w:p>
    <w:p w:rsidR="00000000" w:rsidRDefault="005D625B">
      <w:pPr>
        <w:jc w:val="center"/>
        <w:rPr>
          <w:rFonts w:eastAsia="Times New Roman"/>
        </w:rPr>
      </w:pPr>
      <w:r>
        <w:rPr>
          <w:rFonts w:eastAsia="Times New Roman"/>
          <w:b/>
          <w:bCs/>
          <w:color w:val="000000"/>
          <w:sz w:val="20"/>
          <w:szCs w:val="20"/>
        </w:rPr>
        <w:t>CONDENSED CONSOLIDATED STATEMENTS O</w:t>
      </w:r>
      <w:r>
        <w:rPr>
          <w:rFonts w:eastAsia="Times New Roman"/>
          <w:b/>
          <w:bCs/>
          <w:color w:val="000000"/>
          <w:sz w:val="20"/>
          <w:szCs w:val="20"/>
        </w:rPr>
        <w:t>F COMPREHENSIVE INCOME</w:t>
      </w:r>
    </w:p>
    <w:p w:rsidR="00000000" w:rsidRDefault="005D625B">
      <w:pPr>
        <w:jc w:val="center"/>
        <w:rPr>
          <w:rFonts w:eastAsia="Times New Roman"/>
        </w:rPr>
      </w:pPr>
      <w:r>
        <w:rPr>
          <w:rFonts w:eastAsia="Times New Roman"/>
          <w:color w:val="000000"/>
          <w:sz w:val="20"/>
          <w:szCs w:val="20"/>
        </w:rPr>
        <w:t>(unaudited)</w:t>
      </w:r>
    </w:p>
    <w:p w:rsidR="00000000" w:rsidRDefault="005D625B">
      <w:pPr>
        <w:jc w:val="center"/>
        <w:rPr>
          <w:rFonts w:eastAsia="Times New Roman"/>
        </w:rPr>
      </w:pPr>
      <w:r>
        <w:rPr>
          <w:rFonts w:eastAsia="Times New Roman"/>
          <w:color w:val="000000"/>
          <w:sz w:val="20"/>
          <w:szCs w:val="20"/>
        </w:rPr>
        <w:t>(Millions of dollars)</w:t>
      </w:r>
    </w:p>
    <w:tbl>
      <w:tblPr>
        <w:tblW w:w="5000" w:type="pct"/>
        <w:tblCellMar>
          <w:top w:w="15" w:type="dxa"/>
          <w:left w:w="15" w:type="dxa"/>
          <w:bottom w:w="15" w:type="dxa"/>
          <w:right w:w="15" w:type="dxa"/>
        </w:tblCellMar>
        <w:tblLook w:val="04A0" w:firstRow="1" w:lastRow="0" w:firstColumn="1" w:lastColumn="0" w:noHBand="0" w:noVBand="1"/>
      </w:tblPr>
      <w:tblGrid>
        <w:gridCol w:w="40"/>
        <w:gridCol w:w="4491"/>
        <w:gridCol w:w="39"/>
        <w:gridCol w:w="120"/>
        <w:gridCol w:w="721"/>
        <w:gridCol w:w="36"/>
        <w:gridCol w:w="36"/>
        <w:gridCol w:w="36"/>
        <w:gridCol w:w="36"/>
        <w:gridCol w:w="120"/>
        <w:gridCol w:w="689"/>
        <w:gridCol w:w="36"/>
        <w:gridCol w:w="36"/>
        <w:gridCol w:w="36"/>
        <w:gridCol w:w="36"/>
        <w:gridCol w:w="120"/>
        <w:gridCol w:w="689"/>
        <w:gridCol w:w="36"/>
        <w:gridCol w:w="36"/>
        <w:gridCol w:w="36"/>
        <w:gridCol w:w="36"/>
        <w:gridCol w:w="120"/>
        <w:gridCol w:w="689"/>
        <w:gridCol w:w="36"/>
      </w:tblGrid>
      <w:tr w:rsidR="00000000">
        <w:trPr>
          <w:divId w:val="1469857313"/>
        </w:trPr>
        <w:tc>
          <w:tcPr>
            <w:tcW w:w="50" w:type="pct"/>
            <w:vAlign w:val="center"/>
            <w:hideMark/>
          </w:tcPr>
          <w:p w:rsidR="00000000" w:rsidRDefault="005D625B">
            <w:pPr>
              <w:jc w:val="center"/>
              <w:rPr>
                <w:rFonts w:eastAsia="Times New Roman"/>
              </w:rPr>
            </w:pPr>
          </w:p>
        </w:tc>
        <w:tc>
          <w:tcPr>
            <w:tcW w:w="273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6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7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7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7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469857313"/>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June 30,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p>
        </w:tc>
      </w:tr>
      <w:tr w:rsidR="00000000">
        <w:trPr>
          <w:divId w:val="1469857313"/>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2020</w:t>
            </w:r>
          </w:p>
        </w:tc>
      </w:tr>
      <w:tr w:rsidR="00000000">
        <w:trPr>
          <w:divId w:val="1469857313"/>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Net income attributable to UGI Corporation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69857313"/>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469857313"/>
        </w:trPr>
        <w:tc>
          <w:tcPr>
            <w:tcW w:w="0" w:type="auto"/>
            <w:gridSpan w:val="3"/>
            <w:shd w:val="clear" w:color="auto" w:fill="CCEEFF"/>
            <w:tcMar>
              <w:top w:w="30" w:type="dxa"/>
              <w:left w:w="20" w:type="dxa"/>
              <w:bottom w:w="30" w:type="dxa"/>
              <w:right w:w="20" w:type="dxa"/>
            </w:tcMar>
            <w:hideMark/>
          </w:tcPr>
          <w:p w:rsidR="00000000" w:rsidRDefault="005D625B">
            <w:pPr>
              <w:spacing w:after="100"/>
              <w:divId w:val="1468543852"/>
              <w:rPr>
                <w:rFonts w:eastAsia="Times New Roman"/>
              </w:rPr>
            </w:pPr>
            <w:r>
              <w:rPr>
                <w:rFonts w:eastAsia="Times New Roman"/>
                <w:color w:val="000000"/>
                <w:sz w:val="20"/>
                <w:szCs w:val="20"/>
              </w:rPr>
              <w:t>Net (losses) gains on derivative instruments (net of tax of $1, $3, $(1) and $15, respectively)</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69857313"/>
        </w:trPr>
        <w:tc>
          <w:tcPr>
            <w:tcW w:w="0" w:type="auto"/>
            <w:gridSpan w:val="3"/>
            <w:shd w:val="clear" w:color="auto" w:fill="FFFFFF"/>
            <w:tcMar>
              <w:top w:w="30" w:type="dxa"/>
              <w:left w:w="20" w:type="dxa"/>
              <w:bottom w:w="30" w:type="dxa"/>
              <w:right w:w="20" w:type="dxa"/>
            </w:tcMar>
            <w:hideMark/>
          </w:tcPr>
          <w:p w:rsidR="00000000" w:rsidRDefault="005D625B">
            <w:pPr>
              <w:spacing w:after="100"/>
              <w:divId w:val="1385326793"/>
              <w:rPr>
                <w:rFonts w:eastAsia="Times New Roman"/>
              </w:rPr>
            </w:pPr>
            <w:r>
              <w:rPr>
                <w:rFonts w:eastAsia="Times New Roman"/>
                <w:color w:val="000000"/>
                <w:sz w:val="20"/>
                <w:szCs w:val="20"/>
              </w:rPr>
              <w:t>Reclassifications of net losses on derivative instruments (net of tax of $(1), $(1), $(5) and $(2), respectively)</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69857313"/>
        </w:trPr>
        <w:tc>
          <w:tcPr>
            <w:tcW w:w="0" w:type="auto"/>
            <w:gridSpan w:val="3"/>
            <w:shd w:val="clear" w:color="auto" w:fill="CCEEFF"/>
            <w:tcMar>
              <w:top w:w="30" w:type="dxa"/>
              <w:left w:w="20" w:type="dxa"/>
              <w:bottom w:w="30" w:type="dxa"/>
              <w:right w:w="20" w:type="dxa"/>
            </w:tcMar>
            <w:hideMark/>
          </w:tcPr>
          <w:p w:rsidR="00000000" w:rsidRDefault="005D625B">
            <w:pPr>
              <w:spacing w:after="100"/>
              <w:divId w:val="404379745"/>
              <w:rPr>
                <w:rFonts w:eastAsia="Times New Roman"/>
              </w:rPr>
            </w:pPr>
            <w:r>
              <w:rPr>
                <w:rFonts w:eastAsia="Times New Roman"/>
                <w:color w:val="000000"/>
                <w:sz w:val="20"/>
                <w:szCs w:val="20"/>
              </w:rPr>
              <w:t>Foreign currency adjustments (net of tax of $3, $4, $5 and $4, respectively)</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69857313"/>
        </w:trPr>
        <w:tc>
          <w:tcPr>
            <w:tcW w:w="0" w:type="auto"/>
            <w:gridSpan w:val="3"/>
            <w:shd w:val="clear" w:color="auto" w:fill="FFFFFF"/>
            <w:tcMar>
              <w:top w:w="30" w:type="dxa"/>
              <w:left w:w="20" w:type="dxa"/>
              <w:bottom w:w="30" w:type="dxa"/>
              <w:right w:w="20" w:type="dxa"/>
            </w:tcMar>
            <w:hideMark/>
          </w:tcPr>
          <w:p w:rsidR="00000000" w:rsidRDefault="005D625B">
            <w:pPr>
              <w:spacing w:after="100"/>
              <w:divId w:val="918487702"/>
              <w:rPr>
                <w:rFonts w:eastAsia="Times New Roman"/>
              </w:rPr>
            </w:pPr>
            <w:r>
              <w:rPr>
                <w:rFonts w:eastAsia="Times New Roman"/>
                <w:color w:val="000000"/>
                <w:sz w:val="20"/>
                <w:szCs w:val="20"/>
              </w:rPr>
              <w:t>Benefit plans (net of tax of $(1), $0, $(1) and $(1), respectively)</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69857313"/>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Other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69857313"/>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469857313"/>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469857313"/>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Comprehensive income attributable to UGI Corporation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divId w:val="481242921"/>
        <w:rPr>
          <w:rFonts w:eastAsia="Times New Roman"/>
        </w:rPr>
      </w:pPr>
      <w:r>
        <w:rPr>
          <w:rFonts w:eastAsia="Times New Roman"/>
          <w:color w:val="000000"/>
          <w:sz w:val="20"/>
          <w:szCs w:val="20"/>
        </w:rPr>
        <w:t>See accompanying notes to condensed consolidated financial statements.</w:t>
      </w:r>
    </w:p>
    <w:p w:rsidR="00000000" w:rsidRDefault="005D625B">
      <w:pPr>
        <w:jc w:val="center"/>
        <w:rPr>
          <w:rFonts w:eastAsia="Times New Roman"/>
        </w:rPr>
      </w:pPr>
    </w:p>
    <w:p w:rsidR="00000000" w:rsidRDefault="005D625B">
      <w:pPr>
        <w:jc w:val="center"/>
        <w:divId w:val="1415205159"/>
        <w:rPr>
          <w:rFonts w:eastAsia="Times New Roman"/>
        </w:rPr>
      </w:pPr>
      <w:r>
        <w:rPr>
          <w:rFonts w:eastAsia="Times New Roman"/>
          <w:color w:val="000000"/>
          <w:sz w:val="20"/>
          <w:szCs w:val="20"/>
        </w:rPr>
        <w:t>7</w:t>
      </w:r>
    </w:p>
    <w:p w:rsidR="00000000" w:rsidRDefault="005D625B">
      <w:pPr>
        <w:rPr>
          <w:rFonts w:eastAsia="Times New Roman"/>
        </w:rPr>
      </w:pPr>
      <w:r>
        <w:rPr>
          <w:rFonts w:eastAsia="Times New Roman"/>
        </w:rPr>
        <w:pict>
          <v:rect id="_x0000_i1033" style="width:0;height:1.5pt" o:hralign="center" o:hrstd="t" o:hr="t" fillcolor="#a0a0a0" stroked="f"/>
        </w:pict>
      </w:r>
    </w:p>
    <w:p w:rsidR="00000000" w:rsidRDefault="005D625B">
      <w:pPr>
        <w:divId w:val="107163187"/>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858039261"/>
        <w:rPr>
          <w:rFonts w:eastAsia="Times New Roman"/>
        </w:rPr>
      </w:pPr>
      <w:r>
        <w:rPr>
          <w:rFonts w:eastAsia="Times New Roman"/>
          <w:b/>
          <w:bCs/>
          <w:color w:val="000000"/>
          <w:sz w:val="20"/>
          <w:szCs w:val="20"/>
        </w:rPr>
        <w:t>UGI CORPORATION AND SUBSIDIARIES</w:t>
      </w:r>
    </w:p>
    <w:p w:rsidR="00000000" w:rsidRDefault="005D625B">
      <w:pPr>
        <w:jc w:val="center"/>
        <w:rPr>
          <w:rFonts w:eastAsia="Times New Roman"/>
        </w:rPr>
      </w:pPr>
      <w:r>
        <w:rPr>
          <w:rFonts w:eastAsia="Times New Roman"/>
          <w:b/>
          <w:bCs/>
          <w:color w:val="000000"/>
          <w:sz w:val="20"/>
          <w:szCs w:val="20"/>
        </w:rPr>
        <w:t>CONDENSED CONSOLIDATED STATEMENTS OF CASH FLOWS</w:t>
      </w:r>
    </w:p>
    <w:p w:rsidR="00000000" w:rsidRDefault="005D625B">
      <w:pPr>
        <w:jc w:val="center"/>
        <w:rPr>
          <w:rFonts w:eastAsia="Times New Roman"/>
        </w:rPr>
      </w:pPr>
      <w:r>
        <w:rPr>
          <w:rFonts w:eastAsia="Times New Roman"/>
          <w:color w:val="000000"/>
          <w:sz w:val="20"/>
          <w:szCs w:val="20"/>
        </w:rPr>
        <w:t>(unaudited)</w:t>
      </w:r>
    </w:p>
    <w:p w:rsidR="00000000" w:rsidRDefault="005D625B">
      <w:pPr>
        <w:jc w:val="center"/>
        <w:rPr>
          <w:rFonts w:eastAsia="Times New Roman"/>
        </w:rPr>
      </w:pPr>
      <w:r>
        <w:rPr>
          <w:rFonts w:eastAsia="Times New Roman"/>
          <w:color w:val="000000"/>
          <w:sz w:val="20"/>
          <w:szCs w:val="20"/>
        </w:rPr>
        <w:t>(Millions of dollars)</w:t>
      </w:r>
    </w:p>
    <w:tbl>
      <w:tblPr>
        <w:tblW w:w="4978" w:type="pct"/>
        <w:tblCellMar>
          <w:top w:w="15" w:type="dxa"/>
          <w:left w:w="15" w:type="dxa"/>
          <w:bottom w:w="15" w:type="dxa"/>
          <w:right w:w="15" w:type="dxa"/>
        </w:tblCellMar>
        <w:tblLook w:val="04A0" w:firstRow="1" w:lastRow="0" w:firstColumn="1" w:lastColumn="0" w:noHBand="0" w:noVBand="1"/>
      </w:tblPr>
      <w:tblGrid>
        <w:gridCol w:w="41"/>
        <w:gridCol w:w="6382"/>
        <w:gridCol w:w="40"/>
        <w:gridCol w:w="36"/>
        <w:gridCol w:w="36"/>
        <w:gridCol w:w="36"/>
        <w:gridCol w:w="121"/>
        <w:gridCol w:w="614"/>
        <w:gridCol w:w="36"/>
        <w:gridCol w:w="36"/>
        <w:gridCol w:w="36"/>
        <w:gridCol w:w="36"/>
        <w:gridCol w:w="120"/>
        <w:gridCol w:w="663"/>
        <w:gridCol w:w="36"/>
      </w:tblGrid>
      <w:tr w:rsidR="00000000">
        <w:trPr>
          <w:divId w:val="822238435"/>
        </w:trPr>
        <w:tc>
          <w:tcPr>
            <w:tcW w:w="50" w:type="pct"/>
            <w:vAlign w:val="center"/>
            <w:hideMark/>
          </w:tcPr>
          <w:p w:rsidR="00000000" w:rsidRDefault="005D625B">
            <w:pPr>
              <w:jc w:val="center"/>
              <w:rPr>
                <w:rFonts w:eastAsia="Times New Roman"/>
              </w:rPr>
            </w:pPr>
          </w:p>
        </w:tc>
        <w:tc>
          <w:tcPr>
            <w:tcW w:w="388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2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5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p>
        </w:tc>
      </w:tr>
      <w:tr w:rsidR="00000000">
        <w:trPr>
          <w:divId w:val="82223843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2020</w:t>
            </w:r>
          </w:p>
        </w:tc>
      </w:tr>
      <w:tr w:rsidR="00000000">
        <w:trPr>
          <w:divId w:val="82223843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b/>
                <w:bCs/>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942 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Adjustments to reconcile net income attributable to UGI Corporation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FFFF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Deferred income tax expense (benefit), net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Provision for uncollectible accounts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CCEE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Changes in unrealized gains and losses on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(509)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Impairment of assets held-for-sale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CCEE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Loss (income)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FFFF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Other, net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Net change in:</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FFFFFF"/>
            <w:tcMar>
              <w:top w:w="30" w:type="dxa"/>
              <w:left w:w="1235" w:type="dxa"/>
              <w:bottom w:w="30" w:type="dxa"/>
              <w:right w:w="20" w:type="dxa"/>
            </w:tcMar>
            <w:hideMark/>
          </w:tcPr>
          <w:p w:rsidR="00000000" w:rsidRDefault="005D625B">
            <w:pPr>
              <w:spacing w:after="100"/>
              <w:rPr>
                <w:rFonts w:eastAsia="Times New Roman"/>
              </w:rPr>
            </w:pPr>
            <w:r>
              <w:rPr>
                <w:rFonts w:eastAsia="Times New Roman"/>
                <w:color w:val="000000"/>
                <w:sz w:val="20"/>
                <w:szCs w:val="20"/>
              </w:rPr>
              <w:t>Accounts receivable and accrued utility revenues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1235"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Income taxes receivable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1235"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1235" w:type="dxa"/>
              <w:bottom w:w="30" w:type="dxa"/>
              <w:right w:w="20" w:type="dxa"/>
            </w:tcMar>
            <w:hideMark/>
          </w:tcPr>
          <w:p w:rsidR="00000000" w:rsidRDefault="005D625B">
            <w:pPr>
              <w:spacing w:after="100"/>
              <w:rPr>
                <w:rFonts w:eastAsia="Times New Roman"/>
              </w:rPr>
            </w:pPr>
            <w:r>
              <w:rPr>
                <w:rFonts w:eastAsia="Times New Roman"/>
                <w:color w:val="000000"/>
                <w:sz w:val="20"/>
                <w:szCs w:val="20"/>
              </w:rPr>
              <w:t>Utility deferred fuel and power costs, net of changes in unsettled derivatives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1235" w:type="dxa"/>
              <w:bottom w:w="30" w:type="dxa"/>
              <w:right w:w="20" w:type="dxa"/>
            </w:tcMar>
            <w:hideMark/>
          </w:tcPr>
          <w:p w:rsidR="00000000" w:rsidRDefault="005D625B">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1235" w:type="dxa"/>
              <w:bottom w:w="30" w:type="dxa"/>
              <w:right w:w="20" w:type="dxa"/>
            </w:tcMar>
            <w:hideMark/>
          </w:tcPr>
          <w:p w:rsidR="00000000" w:rsidRDefault="005D625B">
            <w:pPr>
              <w:spacing w:after="100"/>
              <w:rPr>
                <w:rFonts w:eastAsia="Times New Roman"/>
              </w:rPr>
            </w:pPr>
            <w:r>
              <w:rPr>
                <w:rFonts w:eastAsia="Times New Roman"/>
                <w:color w:val="000000"/>
                <w:sz w:val="20"/>
                <w:szCs w:val="20"/>
              </w:rPr>
              <w:t>Derivative instruments collateral deposits received</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1235" w:type="dxa"/>
              <w:bottom w:w="30" w:type="dxa"/>
              <w:right w:w="20" w:type="dxa"/>
            </w:tcMar>
            <w:hideMark/>
          </w:tcPr>
          <w:p w:rsidR="00000000" w:rsidRDefault="005D625B">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1235" w:type="dxa"/>
              <w:bottom w:w="30" w:type="dxa"/>
              <w:right w:w="20" w:type="dxa"/>
            </w:tcMar>
            <w:hideMark/>
          </w:tcPr>
          <w:p w:rsidR="00000000" w:rsidRDefault="005D625B">
            <w:pPr>
              <w:spacing w:after="100"/>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Expenditures for property, plant and equipment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(460)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(471)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Acquisitions of businesses and assets, net of cash and restricted cash acquired</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Investments in equity method investees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Other, net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Net cash used by investing activities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Dividends on UGI Common Stock</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Issuances of long-term debt, net of issuance costs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Repayments of long-term debt and finance leases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(329)</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Decrease in short-term borrowings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(367)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Receivables Facility net repayments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Issuance of preferred stock, net of issuance costs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Issuances of UGI Common Stock</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Repurchases of UGI Common Stock</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FFFF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Net cash used by financing activities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Effect of exchange rate changes on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Cash, cash equivalents and restricted cash increase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b/>
                <w:bCs/>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822238435"/>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Cash, cash equivalents and restricted cash at end of period</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511 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22238435"/>
        </w:trPr>
        <w:tc>
          <w:tcPr>
            <w:tcW w:w="0" w:type="auto"/>
            <w:gridSpan w:val="3"/>
            <w:shd w:val="clear" w:color="auto" w:fill="FFFFFF"/>
            <w:tcMar>
              <w:top w:w="30" w:type="dxa"/>
              <w:left w:w="74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Cash, cash equivalents and restricted cash increase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divId w:val="527572111"/>
        <w:rPr>
          <w:rFonts w:eastAsia="Times New Roman"/>
        </w:rPr>
      </w:pPr>
      <w:r>
        <w:rPr>
          <w:rFonts w:eastAsia="Times New Roman"/>
          <w:color w:val="000000"/>
          <w:sz w:val="20"/>
          <w:szCs w:val="20"/>
        </w:rPr>
        <w:t>Se</w:t>
      </w:r>
      <w:r>
        <w:rPr>
          <w:rFonts w:eastAsia="Times New Roman"/>
          <w:color w:val="000000"/>
          <w:sz w:val="20"/>
          <w:szCs w:val="20"/>
        </w:rPr>
        <w:t>e accompanying notes to condensed consolidated financial statements.</w:t>
      </w:r>
    </w:p>
    <w:p w:rsidR="00000000" w:rsidRDefault="005D625B">
      <w:pPr>
        <w:jc w:val="center"/>
        <w:divId w:val="719212700"/>
        <w:rPr>
          <w:rFonts w:eastAsia="Times New Roman"/>
        </w:rPr>
      </w:pPr>
      <w:r>
        <w:rPr>
          <w:rFonts w:eastAsia="Times New Roman"/>
          <w:color w:val="000000"/>
          <w:sz w:val="20"/>
          <w:szCs w:val="20"/>
        </w:rPr>
        <w:t>8</w:t>
      </w:r>
    </w:p>
    <w:p w:rsidR="00000000" w:rsidRDefault="005D625B">
      <w:pPr>
        <w:rPr>
          <w:rFonts w:eastAsia="Times New Roman"/>
        </w:rPr>
      </w:pPr>
      <w:r>
        <w:rPr>
          <w:rFonts w:eastAsia="Times New Roman"/>
        </w:rPr>
        <w:pict>
          <v:rect id="_x0000_i1034" style="width:0;height:1.5pt" o:hralign="center" o:hrstd="t" o:hr="t" fillcolor="#a0a0a0" stroked="f"/>
        </w:pict>
      </w:r>
    </w:p>
    <w:p w:rsidR="00000000" w:rsidRDefault="005D625B">
      <w:pPr>
        <w:divId w:val="1086877980"/>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464808732"/>
        <w:rPr>
          <w:rFonts w:eastAsia="Times New Roman"/>
        </w:rPr>
      </w:pPr>
      <w:r>
        <w:rPr>
          <w:rFonts w:eastAsia="Times New Roman"/>
          <w:b/>
          <w:bCs/>
          <w:color w:val="000000"/>
          <w:sz w:val="20"/>
          <w:szCs w:val="20"/>
        </w:rPr>
        <w:t>UGI CORPORATION AND SUBSIDIARIES</w:t>
      </w:r>
    </w:p>
    <w:p w:rsidR="00000000" w:rsidRDefault="005D625B">
      <w:pPr>
        <w:jc w:val="center"/>
        <w:rPr>
          <w:rFonts w:eastAsia="Times New Roman"/>
        </w:rPr>
      </w:pPr>
      <w:r>
        <w:rPr>
          <w:rFonts w:eastAsia="Times New Roman"/>
          <w:b/>
          <w:bCs/>
          <w:color w:val="000000"/>
          <w:sz w:val="20"/>
          <w:szCs w:val="20"/>
        </w:rPr>
        <w:t>CONDENSED CONSOLIDATED STATEMENTS OF CHANGES IN EQUITY</w:t>
      </w:r>
    </w:p>
    <w:p w:rsidR="00000000" w:rsidRDefault="005D625B">
      <w:pPr>
        <w:jc w:val="center"/>
        <w:rPr>
          <w:rFonts w:eastAsia="Times New Roman"/>
        </w:rPr>
      </w:pPr>
      <w:r>
        <w:rPr>
          <w:rFonts w:eastAsia="Times New Roman"/>
          <w:color w:val="000000"/>
          <w:sz w:val="20"/>
          <w:szCs w:val="20"/>
        </w:rPr>
        <w:t>(unaudited)</w:t>
      </w:r>
    </w:p>
    <w:p w:rsidR="00000000" w:rsidRDefault="005D625B">
      <w:pPr>
        <w:jc w:val="center"/>
        <w:rPr>
          <w:rFonts w:eastAsia="Times New Roman"/>
        </w:rPr>
      </w:pPr>
      <w:r>
        <w:rPr>
          <w:rFonts w:eastAsia="Times New Roman"/>
          <w:color w:val="000000"/>
          <w:sz w:val="20"/>
          <w:szCs w:val="20"/>
        </w:rPr>
        <w:t>(Millions of dollars,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1"/>
        <w:gridCol w:w="4671"/>
        <w:gridCol w:w="40"/>
        <w:gridCol w:w="120"/>
        <w:gridCol w:w="683"/>
        <w:gridCol w:w="36"/>
        <w:gridCol w:w="36"/>
        <w:gridCol w:w="36"/>
        <w:gridCol w:w="36"/>
        <w:gridCol w:w="120"/>
        <w:gridCol w:w="641"/>
        <w:gridCol w:w="36"/>
        <w:gridCol w:w="36"/>
        <w:gridCol w:w="36"/>
        <w:gridCol w:w="36"/>
        <w:gridCol w:w="120"/>
        <w:gridCol w:w="641"/>
        <w:gridCol w:w="36"/>
        <w:gridCol w:w="36"/>
        <w:gridCol w:w="36"/>
        <w:gridCol w:w="36"/>
        <w:gridCol w:w="120"/>
        <w:gridCol w:w="641"/>
        <w:gridCol w:w="36"/>
      </w:tblGrid>
      <w:tr w:rsidR="00000000">
        <w:trPr>
          <w:divId w:val="833568890"/>
        </w:trPr>
        <w:tc>
          <w:tcPr>
            <w:tcW w:w="50" w:type="pct"/>
            <w:vAlign w:val="center"/>
            <w:hideMark/>
          </w:tcPr>
          <w:p w:rsidR="00000000" w:rsidRDefault="005D625B">
            <w:pPr>
              <w:jc w:val="center"/>
              <w:rPr>
                <w:rFonts w:eastAsia="Times New Roman"/>
              </w:rPr>
            </w:pPr>
          </w:p>
        </w:tc>
        <w:tc>
          <w:tcPr>
            <w:tcW w:w="284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4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4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4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4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June 30,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Nine Months Ended</w:t>
            </w:r>
            <w:r>
              <w:rPr>
                <w:rFonts w:eastAsia="Times New Roman"/>
                <w:color w:val="000000"/>
                <w:sz w:val="18"/>
                <w:szCs w:val="18"/>
              </w:rPr>
              <w:br/>
              <w:t>June 30,</w:t>
            </w:r>
          </w:p>
        </w:tc>
      </w:tr>
      <w:tr w:rsidR="00000000">
        <w:trPr>
          <w:divId w:val="833568890"/>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2020</w:t>
            </w:r>
          </w:p>
        </w:tc>
      </w:tr>
      <w:tr w:rsidR="00000000">
        <w:trPr>
          <w:divId w:val="833568890"/>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Preferred stock, without par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Issuance of preferred stock</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xml:space="preserve">Balance, end of period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Common stock, without par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1,428 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1,409 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Equity-based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Issuance of Equity Units - 2024 Purchase Contracts</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Retained earnings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3,557 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2,953 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2,908 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2,653 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Losses on common stock transactions in connection with 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Net income attributable to UGI Corporation</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942 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divId w:val="489518056"/>
              <w:rPr>
                <w:rFonts w:eastAsia="Times New Roman"/>
              </w:rPr>
            </w:pPr>
            <w:r>
              <w:rPr>
                <w:rFonts w:eastAsia="Times New Roman"/>
                <w:color w:val="000000"/>
                <w:sz w:val="20"/>
                <w:szCs w:val="20"/>
              </w:rPr>
              <w:t>Cash dividends on UGI Common Stock ($0.35, $0.33, $1.01, and $0.980, respectively)</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(68)</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3,629 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3,629 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Accumulated other comprehensive income (loss)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(126)</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Net (losses) gains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Reclassification of net losses on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Benefit plans</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Foreign currency adjustments</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Treasury stock</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Repurchases of UGI Common Stock</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Reacquired UGI Common Stock - 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Total UGI stockholders’ equity</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Noncontrolling interests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833568890"/>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33568890"/>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Total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5,106 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4,135 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5,106 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4,135 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divId w:val="717777058"/>
        <w:rPr>
          <w:rFonts w:eastAsia="Times New Roman"/>
        </w:rPr>
      </w:pPr>
      <w:r>
        <w:rPr>
          <w:rFonts w:eastAsia="Times New Roman"/>
          <w:color w:val="000000"/>
          <w:sz w:val="20"/>
          <w:szCs w:val="20"/>
        </w:rPr>
        <w:t>See accompanying notes to condensed consolidated financial statements.</w:t>
      </w:r>
    </w:p>
    <w:p w:rsidR="00000000" w:rsidRDefault="005D625B">
      <w:pPr>
        <w:jc w:val="center"/>
        <w:divId w:val="1216694989"/>
        <w:rPr>
          <w:rFonts w:eastAsia="Times New Roman"/>
        </w:rPr>
      </w:pPr>
      <w:r>
        <w:rPr>
          <w:rFonts w:eastAsia="Times New Roman"/>
          <w:color w:val="000000"/>
          <w:sz w:val="20"/>
          <w:szCs w:val="20"/>
        </w:rPr>
        <w:t>9</w:t>
      </w:r>
    </w:p>
    <w:p w:rsidR="00000000" w:rsidRDefault="005D625B">
      <w:pPr>
        <w:rPr>
          <w:rFonts w:eastAsia="Times New Roman"/>
        </w:rPr>
      </w:pPr>
      <w:r>
        <w:rPr>
          <w:rFonts w:eastAsia="Times New Roman"/>
        </w:rPr>
        <w:pict>
          <v:rect id="_x0000_i1035" style="width:0;height:1.5pt" o:hralign="center" o:hrstd="t" o:hr="t" fillcolor="#a0a0a0" stroked="f"/>
        </w:pict>
      </w:r>
    </w:p>
    <w:p w:rsidR="00000000" w:rsidRDefault="005D625B">
      <w:pPr>
        <w:divId w:val="2013098370"/>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870731587"/>
        <w:rPr>
          <w:rFonts w:eastAsia="Times New Roman"/>
        </w:rPr>
      </w:pPr>
      <w:r>
        <w:rPr>
          <w:rFonts w:eastAsia="Times New Roman"/>
          <w:b/>
          <w:bCs/>
          <w:color w:val="000000"/>
          <w:sz w:val="20"/>
          <w:szCs w:val="20"/>
        </w:rPr>
        <w:t>UGI CORPORATION AND SUBSIDIARIES</w:t>
      </w:r>
    </w:p>
    <w:p w:rsidR="00000000" w:rsidRDefault="005D625B">
      <w:pPr>
        <w:jc w:val="center"/>
        <w:divId w:val="703869883"/>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870731587"/>
        <w:rPr>
          <w:rFonts w:eastAsia="Times New Roman"/>
        </w:rPr>
      </w:pPr>
      <w:r>
        <w:rPr>
          <w:rFonts w:eastAsia="Times New Roman"/>
          <w:color w:val="000000"/>
          <w:sz w:val="20"/>
          <w:szCs w:val="20"/>
        </w:rPr>
        <w:t>(unaudited)</w:t>
      </w:r>
    </w:p>
    <w:p w:rsidR="00000000" w:rsidRDefault="005D625B">
      <w:pPr>
        <w:jc w:val="center"/>
        <w:divId w:val="870731587"/>
        <w:rPr>
          <w:rFonts w:eastAsia="Times New Roman"/>
        </w:rPr>
      </w:pPr>
      <w:r>
        <w:rPr>
          <w:rFonts w:eastAsia="Times New Roman"/>
          <w:color w:val="000000"/>
          <w:sz w:val="20"/>
          <w:szCs w:val="20"/>
        </w:rPr>
        <w:t>(Currency in millions, except per share amounts and where indicated otherwise)</w:t>
      </w:r>
    </w:p>
    <w:p w:rsidR="00000000" w:rsidRDefault="005D625B">
      <w:pPr>
        <w:divId w:val="1507405671"/>
        <w:rPr>
          <w:rFonts w:eastAsia="Times New Roman"/>
        </w:rPr>
      </w:pPr>
    </w:p>
    <w:p w:rsidR="00000000" w:rsidRDefault="005D625B">
      <w:pPr>
        <w:ind w:hanging="540"/>
        <w:divId w:val="532227499"/>
        <w:rPr>
          <w:rFonts w:eastAsia="Times New Roman"/>
        </w:rPr>
      </w:pPr>
      <w:r>
        <w:rPr>
          <w:rFonts w:eastAsia="Times New Roman"/>
          <w:b/>
          <w:bCs/>
          <w:color w:val="000000"/>
          <w:sz w:val="20"/>
          <w:szCs w:val="20"/>
          <w:u w:val="single"/>
        </w:rPr>
        <w:t xml:space="preserve">Note 1 — </w:t>
      </w:r>
      <w:r>
        <w:rPr>
          <w:rFonts w:eastAsia="Times New Roman"/>
          <w:b/>
          <w:bCs/>
          <w:color w:val="000000"/>
          <w:sz w:val="20"/>
          <w:szCs w:val="20"/>
          <w:u w:val="single"/>
        </w:rPr>
        <w:t>Nature of Operations</w:t>
      </w:r>
      <w:r>
        <w:rPr>
          <w:rFonts w:eastAsia="Times New Roman"/>
          <w:b/>
          <w:bCs/>
          <w:color w:val="000000"/>
          <w:sz w:val="20"/>
          <w:szCs w:val="20"/>
        </w:rPr>
        <w:t xml:space="preserve"> </w:t>
      </w:r>
    </w:p>
    <w:p w:rsidR="00000000" w:rsidRDefault="005D625B">
      <w:pPr>
        <w:divId w:val="541748432"/>
        <w:rPr>
          <w:rFonts w:eastAsia="Times New Roman"/>
        </w:rPr>
      </w:pPr>
    </w:p>
    <w:p w:rsidR="00000000" w:rsidRDefault="005D625B">
      <w:pPr>
        <w:jc w:val="both"/>
        <w:rPr>
          <w:rFonts w:eastAsia="Times New Roman"/>
        </w:rPr>
      </w:pPr>
      <w:r>
        <w:rPr>
          <w:rFonts w:eastAsia="Times New Roman"/>
          <w:color w:val="000000"/>
          <w:sz w:val="20"/>
          <w:szCs w:val="20"/>
        </w:rPr>
        <w:t>UGI is a holding company that, through subsidiaries and affiliates, distributes, stores, transports and markets energy products and related services. In the United States, we own and operate (1) a retail propane marketing and distri</w:t>
      </w:r>
      <w:r>
        <w:rPr>
          <w:rFonts w:eastAsia="Times New Roman"/>
          <w:color w:val="000000"/>
          <w:sz w:val="20"/>
          <w:szCs w:val="20"/>
        </w:rPr>
        <w:t>bution business; (2) natural gas and electric distribution utilities; and (3) an energy marketing, midstream infrastructure, storage, natural gas gathering and processing, natural gas production, electricity generation and energy services businesses. In Eu</w:t>
      </w:r>
      <w:r>
        <w:rPr>
          <w:rFonts w:eastAsia="Times New Roman"/>
          <w:color w:val="000000"/>
          <w:sz w:val="20"/>
          <w:szCs w:val="20"/>
        </w:rPr>
        <w:t xml:space="preserve">rope, we market and distribute propane and other LPG and market other energy products and services.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We conduct a domestic propane marketing and distribution business through AmeriGas Partners. AmeriGas Partners conducts a national propane distribution b</w:t>
      </w:r>
      <w:r>
        <w:rPr>
          <w:rFonts w:eastAsia="Times New Roman"/>
          <w:color w:val="000000"/>
          <w:sz w:val="20"/>
          <w:szCs w:val="20"/>
        </w:rPr>
        <w:t xml:space="preserve">usiness through its principal operating subsidiary, AmeriGas OLP.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International, through subsidiaries and affiliates, conducts (1) an LPG distribution business throughout much of Europe and (2) an energy marketing business in France, Belgium, the Ne</w:t>
      </w:r>
      <w:r>
        <w:rPr>
          <w:rFonts w:eastAsia="Times New Roman"/>
          <w:color w:val="000000"/>
          <w:sz w:val="20"/>
          <w:szCs w:val="20"/>
        </w:rPr>
        <w:t>therlands and the United Kingdom. These businesses are conducted principally through our subsidiaries, UGI France, Flaga, AvantiGas, DVEP and UniverGas.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Energy Services conducts, directly and through subsidiaries and affiliates, energy marketing, includi</w:t>
      </w:r>
      <w:r>
        <w:rPr>
          <w:rFonts w:eastAsia="Times New Roman"/>
          <w:color w:val="000000"/>
          <w:sz w:val="20"/>
          <w:szCs w:val="20"/>
        </w:rPr>
        <w:t>ng renewable natural gas, midstream transmission, LNG storage, natural gas gathering and processing, natural gas production, electricity generation and energy services businesses primarily in the eastern region of the U.S., eastern Ohio, the panhandle of W</w:t>
      </w:r>
      <w:r>
        <w:rPr>
          <w:rFonts w:eastAsia="Times New Roman"/>
          <w:color w:val="000000"/>
          <w:sz w:val="20"/>
          <w:szCs w:val="20"/>
        </w:rPr>
        <w:t xml:space="preserve">est Virginia and California. UGID owns electricity generation facilities principally located in Pennsylvania. Energy Services and its subsidiaries’ storage, LNG and portions of its midstream transmission operations are subject to regulation by the FERC.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Utilities directly owns and operates Gas Utility, a natural gas distribution utility business in eastern and central Pennsylvania and in a portion of one Maryland county. Gas Utility is subject to regulation by the PAPUC, the FERC, and, with respect t</w:t>
      </w:r>
      <w:r>
        <w:rPr>
          <w:rFonts w:eastAsia="Times New Roman"/>
          <w:color w:val="000000"/>
          <w:sz w:val="20"/>
          <w:szCs w:val="20"/>
        </w:rPr>
        <w:t>o a small service territory in one Maryland county, the MDPSC. UGI Utilities also owns and operates Electric Utility, an electric distribution utility located in northeastern Pennsylvania. Electric Utility is subject to regulation by the PAPUC and the FERC</w:t>
      </w:r>
      <w:r>
        <w:rPr>
          <w:rFonts w:eastAsia="Times New Roman"/>
          <w:color w:val="000000"/>
          <w:sz w:val="20"/>
          <w:szCs w:val="20"/>
        </w:rPr>
        <w:t>.</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Pending Acquisition of Mountaineer Gas Company</w:t>
      </w:r>
      <w:r>
        <w:rPr>
          <w:rFonts w:ascii="Calibri" w:eastAsia="Times New Roman" w:hAnsi="Calibri" w:cs="Calibri"/>
          <w:b/>
          <w:bCs/>
          <w:color w:val="000000"/>
        </w:rPr>
        <w:t xml:space="preserve">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On December 29, 2020, UGI Corporation signed a definitive agreement to acquire Mountaineer, the largest natural gas distribution company in West Virginia for a preliminary purchase price of $540, which </w:t>
      </w:r>
      <w:r>
        <w:rPr>
          <w:rFonts w:eastAsia="Times New Roman"/>
          <w:color w:val="000000"/>
          <w:sz w:val="20"/>
          <w:szCs w:val="20"/>
        </w:rPr>
        <w:t>includes the assumption of approximately $140 of long-term debt. Mountaineer serves nearly 215,000 customers across 50 of the state’s 55 counties. The pending acquisition is subject to customary regulatory and other closing conditions, including approval b</w:t>
      </w:r>
      <w:r>
        <w:rPr>
          <w:rFonts w:eastAsia="Times New Roman"/>
          <w:color w:val="000000"/>
          <w:sz w:val="20"/>
          <w:szCs w:val="20"/>
        </w:rPr>
        <w:t>y the WV PSC, and is expected to close in the second half of calendar year 2021. UGI currently expects to finance the pending acquisition using proceeds from the 2021 UGI Corporation Senior Credit Facility and the issuance of Equity Units. For additional i</w:t>
      </w:r>
      <w:r>
        <w:rPr>
          <w:rFonts w:eastAsia="Times New Roman"/>
          <w:color w:val="000000"/>
          <w:sz w:val="20"/>
          <w:szCs w:val="20"/>
        </w:rPr>
        <w:t>nformation on these financing activities, see Notes 7 and 8.</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On January 26, 2021, UGI and Mountaineer filed a joint petition for consent and approval of the pending acquisition at the WV PSC.</w:t>
      </w:r>
      <w:r>
        <w:rPr>
          <w:rFonts w:eastAsia="Times New Roman"/>
          <w:color w:val="000000"/>
        </w:rPr>
        <w:t xml:space="preserve"> </w:t>
      </w:r>
      <w:r>
        <w:rPr>
          <w:rFonts w:eastAsia="Times New Roman"/>
          <w:color w:val="000000"/>
          <w:sz w:val="20"/>
          <w:szCs w:val="20"/>
        </w:rPr>
        <w:t xml:space="preserve">On July 15, 2021, UGI and Mountaineer filed, on behalf of all </w:t>
      </w:r>
      <w:r>
        <w:rPr>
          <w:rFonts w:eastAsia="Times New Roman"/>
          <w:color w:val="000000"/>
          <w:sz w:val="20"/>
          <w:szCs w:val="20"/>
        </w:rPr>
        <w:t>parties, a unanimous joint stipulation and agreement for settlement (the “Settlement”) of all issues in the proceeding that, among other provisions, requests the WV PSC to approve the pending acquisition. The Settlement was presented to the WV PSC in an ev</w:t>
      </w:r>
      <w:r>
        <w:rPr>
          <w:rFonts w:eastAsia="Times New Roman"/>
          <w:color w:val="000000"/>
          <w:sz w:val="20"/>
          <w:szCs w:val="20"/>
        </w:rPr>
        <w:t>identiary hearing on July 20, 2021. The Company cannot predict the timing or the ultimate outcome of the Settlement approval process.</w:t>
      </w:r>
      <w:r>
        <w:rPr>
          <w:rFonts w:eastAsia="Times New Roman"/>
          <w:color w:val="000000"/>
        </w:rPr>
        <w:t xml:space="preserve"> </w:t>
      </w:r>
    </w:p>
    <w:p w:rsidR="00000000" w:rsidRDefault="005D625B">
      <w:pPr>
        <w:jc w:val="both"/>
        <w:rPr>
          <w:rFonts w:eastAsia="Times New Roman"/>
        </w:rPr>
      </w:pPr>
    </w:p>
    <w:p w:rsidR="00000000" w:rsidRDefault="005D625B">
      <w:pPr>
        <w:ind w:hanging="540"/>
        <w:jc w:val="both"/>
        <w:rPr>
          <w:rFonts w:eastAsia="Times New Roman"/>
        </w:rPr>
      </w:pPr>
      <w:r>
        <w:rPr>
          <w:rFonts w:eastAsia="Times New Roman"/>
          <w:b/>
          <w:bCs/>
          <w:color w:val="000000"/>
          <w:sz w:val="20"/>
          <w:szCs w:val="20"/>
          <w:u w:val="single"/>
        </w:rPr>
        <w:t>Note 2 — Summary of Significant Accounting Policies</w:t>
      </w:r>
    </w:p>
    <w:p w:rsidR="00000000" w:rsidRDefault="005D625B">
      <w:pPr>
        <w:ind w:hanging="540"/>
        <w:divId w:val="208736302"/>
        <w:rPr>
          <w:rFonts w:eastAsia="Times New Roman"/>
        </w:rPr>
      </w:pPr>
    </w:p>
    <w:p w:rsidR="00000000" w:rsidRDefault="005D625B">
      <w:pPr>
        <w:jc w:val="both"/>
        <w:rPr>
          <w:rFonts w:eastAsia="Times New Roman"/>
        </w:rPr>
      </w:pPr>
      <w:r>
        <w:rPr>
          <w:rFonts w:eastAsia="Times New Roman"/>
          <w:color w:val="000000"/>
          <w:sz w:val="20"/>
          <w:szCs w:val="20"/>
        </w:rPr>
        <w:t>The accompanying condensed consolidated financial statements are unaudited and have been prepared in accordance with the rules and regulations of the SEC. They include all adjustments that we consider necessary for a fair statement of the results for the i</w:t>
      </w:r>
      <w:r>
        <w:rPr>
          <w:rFonts w:eastAsia="Times New Roman"/>
          <w:color w:val="000000"/>
          <w:sz w:val="20"/>
          <w:szCs w:val="20"/>
        </w:rPr>
        <w:t>nterim periods presented. Such adjustments consisted only of normal recurring items unless otherwise disclosed. The September 30, 2020, Condensed Consolidated Balance Sheet was derived from audited financial statements but does not include all footnote dis</w:t>
      </w:r>
      <w:r>
        <w:rPr>
          <w:rFonts w:eastAsia="Times New Roman"/>
          <w:color w:val="000000"/>
          <w:sz w:val="20"/>
          <w:szCs w:val="20"/>
        </w:rPr>
        <w:t>closures from the annual financial statements.</w:t>
      </w:r>
    </w:p>
    <w:p w:rsidR="00000000" w:rsidRDefault="005D625B">
      <w:pPr>
        <w:jc w:val="both"/>
        <w:rPr>
          <w:rFonts w:eastAsia="Times New Roman"/>
        </w:rPr>
      </w:pPr>
    </w:p>
    <w:p w:rsidR="00000000" w:rsidRDefault="005D625B">
      <w:pPr>
        <w:jc w:val="center"/>
        <w:divId w:val="849829615"/>
        <w:rPr>
          <w:rFonts w:eastAsia="Times New Roman"/>
        </w:rPr>
      </w:pPr>
      <w:r>
        <w:rPr>
          <w:rFonts w:eastAsia="Times New Roman"/>
          <w:color w:val="000000"/>
          <w:sz w:val="20"/>
          <w:szCs w:val="20"/>
        </w:rPr>
        <w:t>10</w:t>
      </w:r>
    </w:p>
    <w:p w:rsidR="00000000" w:rsidRDefault="005D625B">
      <w:pPr>
        <w:rPr>
          <w:rFonts w:eastAsia="Times New Roman"/>
        </w:rPr>
      </w:pPr>
      <w:r>
        <w:rPr>
          <w:rFonts w:eastAsia="Times New Roman"/>
        </w:rPr>
        <w:pict>
          <v:rect id="_x0000_i1036" style="width:0;height:1.5pt" o:hralign="center" o:hrstd="t" o:hr="t" fillcolor="#a0a0a0" stroked="f"/>
        </w:pict>
      </w:r>
    </w:p>
    <w:p w:rsidR="00000000" w:rsidRDefault="005D625B">
      <w:pPr>
        <w:divId w:val="29360685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226338507"/>
        <w:rPr>
          <w:rFonts w:eastAsia="Times New Roman"/>
        </w:rPr>
      </w:pPr>
      <w:r>
        <w:rPr>
          <w:rFonts w:eastAsia="Times New Roman"/>
          <w:b/>
          <w:bCs/>
          <w:color w:val="000000"/>
          <w:sz w:val="20"/>
          <w:szCs w:val="20"/>
        </w:rPr>
        <w:t>UGI CORPORATION AND SUBSIDIARIES</w:t>
      </w:r>
    </w:p>
    <w:p w:rsidR="00000000" w:rsidRDefault="005D625B">
      <w:pPr>
        <w:jc w:val="center"/>
        <w:divId w:val="322247450"/>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1226338507"/>
        <w:rPr>
          <w:rFonts w:eastAsia="Times New Roman"/>
        </w:rPr>
      </w:pPr>
      <w:r>
        <w:rPr>
          <w:rFonts w:eastAsia="Times New Roman"/>
          <w:color w:val="000000"/>
          <w:sz w:val="20"/>
          <w:szCs w:val="20"/>
        </w:rPr>
        <w:t>(unaudited)</w:t>
      </w:r>
    </w:p>
    <w:p w:rsidR="00000000" w:rsidRDefault="005D625B">
      <w:pPr>
        <w:jc w:val="center"/>
        <w:divId w:val="1226338507"/>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color w:val="000000"/>
          <w:sz w:val="20"/>
          <w:szCs w:val="20"/>
        </w:rPr>
        <w:t>These financial statements should be read in conjunction with the financial statements and related notes include</w:t>
      </w:r>
      <w:r>
        <w:rPr>
          <w:rFonts w:eastAsia="Times New Roman"/>
          <w:color w:val="000000"/>
          <w:sz w:val="20"/>
          <w:szCs w:val="20"/>
        </w:rPr>
        <w:t>d in the Company’s 2020 Annual Report. Due to the seasonal nature of our businesses, the results of operations for interim periods are not necessarily indicative of the results to be expected for a full year.</w:t>
      </w:r>
    </w:p>
    <w:p w:rsidR="00000000" w:rsidRDefault="005D625B">
      <w:pPr>
        <w:jc w:val="both"/>
        <w:divId w:val="1320617540"/>
        <w:rPr>
          <w:rFonts w:eastAsia="Times New Roman"/>
        </w:rPr>
      </w:pPr>
      <w:r>
        <w:rPr>
          <w:rFonts w:eastAsia="Times New Roman"/>
          <w:b/>
          <w:bCs/>
          <w:i/>
          <w:iCs/>
          <w:color w:val="000000"/>
          <w:sz w:val="20"/>
          <w:szCs w:val="20"/>
        </w:rPr>
        <w:t>Restricted Cash.</w:t>
      </w:r>
      <w:r>
        <w:rPr>
          <w:rFonts w:eastAsia="Times New Roman"/>
          <w:b/>
          <w:bCs/>
          <w:color w:val="000000"/>
          <w:sz w:val="20"/>
          <w:szCs w:val="20"/>
        </w:rPr>
        <w:t xml:space="preserve"> </w:t>
      </w:r>
      <w:r>
        <w:rPr>
          <w:rFonts w:eastAsia="Times New Roman"/>
          <w:color w:val="000000"/>
          <w:sz w:val="20"/>
          <w:szCs w:val="20"/>
        </w:rPr>
        <w:t>Restricted cash principally re</w:t>
      </w:r>
      <w:r>
        <w:rPr>
          <w:rFonts w:eastAsia="Times New Roman"/>
          <w:color w:val="000000"/>
          <w:sz w:val="20"/>
          <w:szCs w:val="20"/>
        </w:rPr>
        <w:t>presents those cash balances in our commodity futures brokerage accounts that are restricted from withdrawal. The following table provides a reconciliation of the total cash, cash equivalents and restricted cash reported on the Condensed Consolidated Balan</w:t>
      </w:r>
      <w:r>
        <w:rPr>
          <w:rFonts w:eastAsia="Times New Roman"/>
          <w:color w:val="000000"/>
          <w:sz w:val="20"/>
          <w:szCs w:val="20"/>
        </w:rPr>
        <w:t>ce Sheets to the corresponding amounts reported on the Condensed Consolidated Statements of Cash Flows.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778"/>
        <w:gridCol w:w="36"/>
        <w:gridCol w:w="36"/>
        <w:gridCol w:w="36"/>
        <w:gridCol w:w="36"/>
        <w:gridCol w:w="120"/>
        <w:gridCol w:w="832"/>
        <w:gridCol w:w="36"/>
        <w:gridCol w:w="36"/>
        <w:gridCol w:w="36"/>
        <w:gridCol w:w="36"/>
        <w:gridCol w:w="120"/>
        <w:gridCol w:w="846"/>
        <w:gridCol w:w="36"/>
        <w:gridCol w:w="36"/>
        <w:gridCol w:w="36"/>
        <w:gridCol w:w="36"/>
        <w:gridCol w:w="121"/>
        <w:gridCol w:w="846"/>
        <w:gridCol w:w="36"/>
        <w:gridCol w:w="36"/>
        <w:gridCol w:w="36"/>
        <w:gridCol w:w="36"/>
        <w:gridCol w:w="121"/>
        <w:gridCol w:w="848"/>
        <w:gridCol w:w="36"/>
      </w:tblGrid>
      <w:tr w:rsidR="00000000">
        <w:trPr>
          <w:divId w:val="1105734638"/>
          <w:jc w:val="center"/>
        </w:trPr>
        <w:tc>
          <w:tcPr>
            <w:tcW w:w="50" w:type="pct"/>
            <w:vAlign w:val="center"/>
            <w:hideMark/>
          </w:tcPr>
          <w:p w:rsidR="00000000" w:rsidRDefault="005D625B">
            <w:pPr>
              <w:jc w:val="both"/>
              <w:rPr>
                <w:rFonts w:eastAsia="Times New Roman"/>
              </w:rPr>
            </w:pPr>
          </w:p>
        </w:tc>
        <w:tc>
          <w:tcPr>
            <w:tcW w:w="231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6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6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6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6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105734638"/>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June 30,</w:t>
            </w:r>
            <w:r>
              <w:rPr>
                <w:rFonts w:eastAsia="Times New Roman"/>
                <w:color w:val="000000"/>
                <w:sz w:val="20"/>
                <w:szCs w:val="20"/>
              </w:rPr>
              <w:b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June 30,</w:t>
            </w:r>
            <w:r>
              <w:rPr>
                <w:rFonts w:eastAsia="Times New Roman"/>
                <w:color w:val="000000"/>
                <w:sz w:val="20"/>
                <w:szCs w:val="20"/>
              </w:rPr>
              <w:b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September 30, 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September 30, 2019</w:t>
            </w:r>
          </w:p>
        </w:tc>
      </w:tr>
      <w:tr w:rsidR="00000000">
        <w:trPr>
          <w:divId w:val="1105734638"/>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05734638"/>
          <w:jc w:val="center"/>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Restricted cash</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31 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45 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64 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05734638"/>
          <w:jc w:val="center"/>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Earnings Per Common Share.</w:t>
      </w:r>
      <w:r>
        <w:rPr>
          <w:rFonts w:eastAsia="Times New Roman"/>
          <w:i/>
          <w:iCs/>
          <w:color w:val="000000"/>
          <w:sz w:val="20"/>
          <w:szCs w:val="20"/>
        </w:rPr>
        <w:t xml:space="preserve"> </w:t>
      </w:r>
      <w:r>
        <w:rPr>
          <w:rFonts w:eastAsia="Times New Roman"/>
          <w:color w:val="000000"/>
          <w:sz w:val="20"/>
          <w:szCs w:val="20"/>
        </w:rPr>
        <w:t>Basic earnings per share attributable to UGI stockholders reflect the weighted-average number of common shares outstanding.</w:t>
      </w:r>
      <w:r>
        <w:rPr>
          <w:rFonts w:eastAsia="Times New Roman"/>
          <w:color w:val="000000"/>
          <w:sz w:val="20"/>
          <w:szCs w:val="20"/>
        </w:rPr>
        <w:t xml:space="preserve"> Diluted earnings per share attributable to UGI stockholders include the effects of dilutive stock options and common stock awards.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Shares used in computing basic and diluted earnings per share are as follows:</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4765"/>
        <w:gridCol w:w="36"/>
        <w:gridCol w:w="36"/>
        <w:gridCol w:w="36"/>
        <w:gridCol w:w="36"/>
        <w:gridCol w:w="85"/>
        <w:gridCol w:w="635"/>
        <w:gridCol w:w="38"/>
        <w:gridCol w:w="37"/>
        <w:gridCol w:w="37"/>
        <w:gridCol w:w="37"/>
        <w:gridCol w:w="85"/>
        <w:gridCol w:w="635"/>
        <w:gridCol w:w="37"/>
        <w:gridCol w:w="36"/>
        <w:gridCol w:w="36"/>
        <w:gridCol w:w="36"/>
        <w:gridCol w:w="85"/>
        <w:gridCol w:w="635"/>
        <w:gridCol w:w="38"/>
        <w:gridCol w:w="37"/>
        <w:gridCol w:w="37"/>
        <w:gridCol w:w="37"/>
        <w:gridCol w:w="85"/>
        <w:gridCol w:w="635"/>
        <w:gridCol w:w="37"/>
      </w:tblGrid>
      <w:tr w:rsidR="00000000">
        <w:trPr>
          <w:divId w:val="1352879232"/>
        </w:trPr>
        <w:tc>
          <w:tcPr>
            <w:tcW w:w="50" w:type="pct"/>
            <w:vAlign w:val="center"/>
            <w:hideMark/>
          </w:tcPr>
          <w:p w:rsidR="00000000" w:rsidRDefault="005D625B">
            <w:pPr>
              <w:jc w:val="both"/>
              <w:rPr>
                <w:rFonts w:eastAsia="Times New Roman"/>
              </w:rPr>
            </w:pPr>
          </w:p>
        </w:tc>
        <w:tc>
          <w:tcPr>
            <w:tcW w:w="307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7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7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7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7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352879232"/>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5D625B">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5D625B">
            <w:pPr>
              <w:spacing w:after="100"/>
              <w:jc w:val="center"/>
              <w:rPr>
                <w:rFonts w:eastAsia="Times New Roman"/>
              </w:rPr>
            </w:pPr>
            <w:r>
              <w:rPr>
                <w:rFonts w:eastAsia="Times New Roman"/>
                <w:color w:val="000000"/>
                <w:sz w:val="20"/>
                <w:szCs w:val="20"/>
              </w:rPr>
              <w:t>Nine Months Ended</w:t>
            </w:r>
            <w:r>
              <w:rPr>
                <w:rFonts w:eastAsia="Times New Roman"/>
                <w:color w:val="000000"/>
                <w:sz w:val="20"/>
                <w:szCs w:val="20"/>
              </w:rPr>
              <w:br/>
              <w:t>June 30,</w:t>
            </w:r>
          </w:p>
        </w:tc>
      </w:tr>
      <w:tr w:rsidR="00000000">
        <w:trPr>
          <w:divId w:val="1352879232"/>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r>
      <w:tr w:rsidR="00000000">
        <w:trPr>
          <w:divId w:val="1352879232"/>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Denominator (thousands of shares):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52879232"/>
        </w:trPr>
        <w:tc>
          <w:tcPr>
            <w:tcW w:w="0" w:type="auto"/>
            <w:gridSpan w:val="3"/>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Weighted-average common shares outstanding — basic</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209,099 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208,598 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208,934 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208,989 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52879232"/>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Incremental shares issuable for stock options and awards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1,752 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377 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1,260 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1,020 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352879232"/>
        </w:trPr>
        <w:tc>
          <w:tcPr>
            <w:tcW w:w="0" w:type="auto"/>
            <w:gridSpan w:val="3"/>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Weighted-average common shares outstanding — diluted</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210,851 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208,975 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210,194 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210,009 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r>
        <w:rPr>
          <w:rFonts w:eastAsia="Times New Roman"/>
          <w:color w:val="000000"/>
          <w:sz w:val="20"/>
          <w:szCs w:val="20"/>
        </w:rPr>
        <w:t>For the three and nine months ended June 30, 2021 and 2020, there were 2,502 and 7,083 shares, respectively, associated with o</w:t>
      </w:r>
      <w:r>
        <w:rPr>
          <w:rFonts w:eastAsia="Times New Roman"/>
          <w:color w:val="000000"/>
          <w:sz w:val="20"/>
          <w:szCs w:val="20"/>
        </w:rPr>
        <w:t>utstanding stock option awards that were excluded from the computation of diluted earnings per share above because their effect was antidilutive.</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As described in Note 8, the Company issued $220 in Equity Units in May 2021, consisting of Convertible Prefe</w:t>
      </w:r>
      <w:r>
        <w:rPr>
          <w:rFonts w:eastAsia="Times New Roman"/>
          <w:color w:val="000000"/>
          <w:sz w:val="20"/>
          <w:szCs w:val="20"/>
        </w:rPr>
        <w:t xml:space="preserve">rred Stock and the 2024 Purchase Contracts. The 2024 Purchase Contracts contain conversion provisions available under certain conditions. The Company will settle such conversions by paying or delivering (i) one share of UGI’s Series B preferred stock (or, </w:t>
      </w:r>
      <w:r>
        <w:rPr>
          <w:rFonts w:eastAsia="Times New Roman"/>
          <w:color w:val="000000"/>
          <w:sz w:val="20"/>
          <w:szCs w:val="20"/>
        </w:rPr>
        <w:t xml:space="preserve">for conversions in connection with a redemption of the Convertible Preferred Stock, up to $1,000 per share in cash) per share of Convertible Preferred Stock being converted; and (ii) to the extent the conversion value exceeds the liquidation preference of </w:t>
      </w:r>
      <w:r>
        <w:rPr>
          <w:rFonts w:eastAsia="Times New Roman"/>
          <w:color w:val="000000"/>
          <w:sz w:val="20"/>
          <w:szCs w:val="20"/>
        </w:rPr>
        <w:t>the Convertible Preferred Stock, shares of UGI’s common stock. The Convertible Preferred Stock is excluded from the denominator of the diluted earnings per share calculation on the basis that the Convertible Preferred Stock will be settled in cash except t</w:t>
      </w:r>
      <w:r>
        <w:rPr>
          <w:rFonts w:eastAsia="Times New Roman"/>
          <w:color w:val="000000"/>
          <w:sz w:val="20"/>
          <w:szCs w:val="20"/>
        </w:rPr>
        <w:t>o the extent that the conversion value exceeds its liquidation preference. Therefore, before any redemption or conversion, the shares of UGI’s common stock that would be required to settle the applicable conversion value in excess of the liquidation prefer</w:t>
      </w:r>
      <w:r>
        <w:rPr>
          <w:rFonts w:eastAsia="Times New Roman"/>
          <w:color w:val="000000"/>
          <w:sz w:val="20"/>
          <w:szCs w:val="20"/>
        </w:rPr>
        <w:t>ence, if the Company elects to settle such excess in shares of UGI’s common stock, would be included in the denominator of diluted earnings per share in periods in which they are dilutive. There were no shares related to the Convertible Preferred Stock inc</w:t>
      </w:r>
      <w:r>
        <w:rPr>
          <w:rFonts w:eastAsia="Times New Roman"/>
          <w:color w:val="000000"/>
          <w:sz w:val="20"/>
          <w:szCs w:val="20"/>
        </w:rPr>
        <w:t>luded in the diluted earnings per share calculation during the three and nine months ended June 30, 2021.</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 xml:space="preserve">Derivative Instruments. </w:t>
      </w:r>
      <w:r>
        <w:rPr>
          <w:rFonts w:eastAsia="Times New Roman"/>
          <w:color w:val="000000"/>
          <w:sz w:val="20"/>
          <w:szCs w:val="20"/>
        </w:rPr>
        <w:t>Derivative instruments are reported on the Condensed Consolidated Balance Sheets at their fair values, unless the NPNS excep</w:t>
      </w:r>
      <w:r>
        <w:rPr>
          <w:rFonts w:eastAsia="Times New Roman"/>
          <w:color w:val="000000"/>
          <w:sz w:val="20"/>
          <w:szCs w:val="20"/>
        </w:rPr>
        <w:t>tion is elected. The accounting for changes in fair value depends upon the purpose of the derivative instrument, whether it is subject to regulatory ratemaking mechanisms or if it qualifies and is designated as a hedge for accounting purposes.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Certain of our derivative instruments qualify and are designated as cash flow hedges. For cash flow hedges, changes in the fair values of the derivative instruments are recorded in AOCI, to the extent effective at offsetting changes in the hedged item, unt</w:t>
      </w:r>
      <w:r>
        <w:rPr>
          <w:rFonts w:eastAsia="Times New Roman"/>
          <w:color w:val="000000"/>
          <w:sz w:val="20"/>
          <w:szCs w:val="20"/>
        </w:rPr>
        <w:t xml:space="preserve">il earnings are affected by the hedged item. We discontinue cash flow hedge accounting if occurrence of the forecasted </w:t>
      </w:r>
    </w:p>
    <w:p w:rsidR="00000000" w:rsidRDefault="005D625B">
      <w:pPr>
        <w:jc w:val="center"/>
        <w:divId w:val="1949658237"/>
        <w:rPr>
          <w:rFonts w:eastAsia="Times New Roman"/>
        </w:rPr>
      </w:pPr>
      <w:r>
        <w:rPr>
          <w:rFonts w:eastAsia="Times New Roman"/>
          <w:color w:val="000000"/>
          <w:sz w:val="20"/>
          <w:szCs w:val="20"/>
        </w:rPr>
        <w:t>11</w:t>
      </w:r>
    </w:p>
    <w:p w:rsidR="00000000" w:rsidRDefault="005D625B">
      <w:pPr>
        <w:rPr>
          <w:rFonts w:eastAsia="Times New Roman"/>
        </w:rPr>
      </w:pPr>
      <w:r>
        <w:rPr>
          <w:rFonts w:eastAsia="Times New Roman"/>
        </w:rPr>
        <w:pict>
          <v:rect id="_x0000_i1037" style="width:0;height:1.5pt" o:hralign="center" o:hrstd="t" o:hr="t" fillcolor="#a0a0a0" stroked="f"/>
        </w:pict>
      </w:r>
    </w:p>
    <w:p w:rsidR="00000000" w:rsidRDefault="005D625B">
      <w:pPr>
        <w:divId w:val="1826361828"/>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9719790"/>
        <w:rPr>
          <w:rFonts w:eastAsia="Times New Roman"/>
        </w:rPr>
      </w:pPr>
      <w:r>
        <w:rPr>
          <w:rFonts w:eastAsia="Times New Roman"/>
          <w:b/>
          <w:bCs/>
          <w:color w:val="000000"/>
          <w:sz w:val="20"/>
          <w:szCs w:val="20"/>
        </w:rPr>
        <w:t xml:space="preserve">UGI CORPORATION AND </w:t>
      </w:r>
      <w:r>
        <w:rPr>
          <w:rFonts w:eastAsia="Times New Roman"/>
          <w:b/>
          <w:bCs/>
          <w:color w:val="000000"/>
          <w:sz w:val="20"/>
          <w:szCs w:val="20"/>
        </w:rPr>
        <w:t>SUBSIDIARIES</w:t>
      </w:r>
    </w:p>
    <w:p w:rsidR="00000000" w:rsidRDefault="005D625B">
      <w:pPr>
        <w:jc w:val="center"/>
        <w:divId w:val="1785617124"/>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9719790"/>
        <w:rPr>
          <w:rFonts w:eastAsia="Times New Roman"/>
        </w:rPr>
      </w:pPr>
      <w:r>
        <w:rPr>
          <w:rFonts w:eastAsia="Times New Roman"/>
          <w:color w:val="000000"/>
          <w:sz w:val="20"/>
          <w:szCs w:val="20"/>
        </w:rPr>
        <w:t>(unaudited)</w:t>
      </w:r>
    </w:p>
    <w:p w:rsidR="00000000" w:rsidRDefault="005D625B">
      <w:pPr>
        <w:jc w:val="center"/>
        <w:divId w:val="9719790"/>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color w:val="000000"/>
          <w:sz w:val="20"/>
          <w:szCs w:val="20"/>
        </w:rPr>
        <w:t>transaction is determined to be no longer probable. Hedge accounting is also discontinued for derivatives that cease to be highly effective. We do not designate our commodity and certain foreign currency derivative instruments as hedges under GAAP. Changes</w:t>
      </w:r>
      <w:r>
        <w:rPr>
          <w:rFonts w:eastAsia="Times New Roman"/>
          <w:color w:val="000000"/>
          <w:sz w:val="20"/>
          <w:szCs w:val="20"/>
        </w:rPr>
        <w:t xml:space="preserve"> in the fair values of these derivative instruments are reflected in net income. Gains and losses on substantially all of the commodity derivative instruments used by UGI Utilities are included in regulatory assets or liabilities because it is probable suc</w:t>
      </w:r>
      <w:r>
        <w:rPr>
          <w:rFonts w:eastAsia="Times New Roman"/>
          <w:color w:val="000000"/>
          <w:sz w:val="20"/>
          <w:szCs w:val="20"/>
        </w:rPr>
        <w:t>h gains or losses will be recoverable from, or refundable to, customers. From time to time, we also enter into net investment hedges. Gains and losses on net investment hedges that relate to our foreign operations are included in the cumulative translation</w:t>
      </w:r>
      <w:r>
        <w:rPr>
          <w:rFonts w:eastAsia="Times New Roman"/>
          <w:color w:val="000000"/>
          <w:sz w:val="20"/>
          <w:szCs w:val="20"/>
        </w:rPr>
        <w:t xml:space="preserve"> adjustment component in AOCI until such foreign net investment is substantially sold or liquidated.</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Cash flows from derivative instruments, other than certain cross-currency swaps and net investment hedges, if any, are included in cash flows from operat</w:t>
      </w:r>
      <w:r>
        <w:rPr>
          <w:rFonts w:eastAsia="Times New Roman"/>
          <w:color w:val="000000"/>
          <w:sz w:val="20"/>
          <w:szCs w:val="20"/>
        </w:rPr>
        <w:t>ing activities on the Condensed Consolidated Statements of Cash Flows. Cash flows from the interest portion of our cross-currency hedges, if any, are included in cash flows from operating activities while cash flows from the currency portion of such hedges</w:t>
      </w:r>
      <w:r>
        <w:rPr>
          <w:rFonts w:eastAsia="Times New Roman"/>
          <w:color w:val="000000"/>
          <w:sz w:val="20"/>
          <w:szCs w:val="20"/>
        </w:rPr>
        <w:t>, if any, are included in cash flows from financing activities. Cash flows from net investment hedges, if any, are included in cash flows from investing activities on the Condensed Consolidated Statements of Cash Flows.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For a more detailed description of</w:t>
      </w:r>
      <w:r>
        <w:rPr>
          <w:rFonts w:eastAsia="Times New Roman"/>
          <w:color w:val="000000"/>
          <w:sz w:val="20"/>
          <w:szCs w:val="20"/>
        </w:rPr>
        <w:t xml:space="preserve"> the derivative instruments we use, our accounting for derivatives, our objectives for using them and other information, see Note 12.</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Impairment of long-lived assets held for sale.</w:t>
      </w:r>
      <w:r>
        <w:rPr>
          <w:rFonts w:eastAsia="Times New Roman"/>
          <w:color w:val="000000"/>
          <w:sz w:val="20"/>
          <w:szCs w:val="20"/>
        </w:rPr>
        <w:t xml:space="preserve"> In July 2020, Energy Services, through a wholly owned subsidiary, entered</w:t>
      </w:r>
      <w:r>
        <w:rPr>
          <w:rFonts w:eastAsia="Times New Roman"/>
          <w:color w:val="000000"/>
          <w:sz w:val="20"/>
          <w:szCs w:val="20"/>
        </w:rPr>
        <w:t xml:space="preserve"> into an agreement to sell its approximate 5.97% ownership interest in Conemaugh. As a result, the Company reduced the carrying amount of these assets to their fair value and classified these assets as held-for-sale within the Midstream &amp; Marketing segment</w:t>
      </w:r>
      <w:r>
        <w:rPr>
          <w:rFonts w:eastAsia="Times New Roman"/>
          <w:color w:val="000000"/>
          <w:sz w:val="20"/>
          <w:szCs w:val="20"/>
        </w:rPr>
        <w:t xml:space="preserve"> as of June 30, 2020. The Company determined the fair value of such assets fell within Level 2 of the fair value hierarchy and was based upon the agreed upon sales price. During the three and nine months ended June 30, 2020, we recognized a non-cash, pre-t</w:t>
      </w:r>
      <w:r>
        <w:rPr>
          <w:rFonts w:eastAsia="Times New Roman"/>
          <w:color w:val="000000"/>
          <w:sz w:val="20"/>
          <w:szCs w:val="20"/>
        </w:rPr>
        <w:t>ax impairment charge of $52 which amount is reflected in “Impairment of assets held-for-sale” on the Condensed Consolidated Statements of Income.</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Use of Estimates.</w:t>
      </w:r>
      <w:r>
        <w:rPr>
          <w:rFonts w:eastAsia="Times New Roman"/>
          <w:i/>
          <w:iCs/>
          <w:color w:val="000000"/>
          <w:sz w:val="20"/>
          <w:szCs w:val="20"/>
        </w:rPr>
        <w:t xml:space="preserve"> </w:t>
      </w:r>
      <w:r>
        <w:rPr>
          <w:rFonts w:eastAsia="Times New Roman"/>
          <w:color w:val="000000"/>
          <w:sz w:val="20"/>
          <w:szCs w:val="20"/>
        </w:rPr>
        <w:t>The preparation of financial statements in accordance with GAAP requires management to mak</w:t>
      </w:r>
      <w:r>
        <w:rPr>
          <w:rFonts w:eastAsia="Times New Roman"/>
          <w:color w:val="000000"/>
          <w:sz w:val="20"/>
          <w:szCs w:val="20"/>
        </w:rPr>
        <w:t xml:space="preserve">e estimates and assumptions that affect the reported amounts of assets, liabilities, revenues, expenses and costs. These estimates are based on management’s knowledge of current events, historical experience and various other assumptions that are believed </w:t>
      </w:r>
      <w:r>
        <w:rPr>
          <w:rFonts w:eastAsia="Times New Roman"/>
          <w:color w:val="000000"/>
          <w:sz w:val="20"/>
          <w:szCs w:val="20"/>
        </w:rPr>
        <w:t>to be reasonable under the circumstances. Accordingly, actual results may be different from these estimates and assumptions.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Reclassifications.</w:t>
      </w:r>
      <w:r>
        <w:rPr>
          <w:rFonts w:eastAsia="Times New Roman"/>
          <w:i/>
          <w:iCs/>
          <w:color w:val="000000"/>
          <w:sz w:val="20"/>
          <w:szCs w:val="20"/>
        </w:rPr>
        <w:t xml:space="preserve"> </w:t>
      </w:r>
      <w:r>
        <w:rPr>
          <w:rFonts w:eastAsia="Times New Roman"/>
          <w:color w:val="000000"/>
          <w:sz w:val="20"/>
          <w:szCs w:val="20"/>
        </w:rPr>
        <w:t>Certain prior-period amounts have been reclassified to conform to the current-period presentation.</w:t>
      </w:r>
    </w:p>
    <w:p w:rsidR="00000000" w:rsidRDefault="005D625B">
      <w:pPr>
        <w:jc w:val="both"/>
        <w:rPr>
          <w:rFonts w:eastAsia="Times New Roman"/>
        </w:rPr>
      </w:pPr>
    </w:p>
    <w:p w:rsidR="00000000" w:rsidRDefault="005D625B">
      <w:pPr>
        <w:ind w:hanging="540"/>
        <w:jc w:val="both"/>
        <w:rPr>
          <w:rFonts w:eastAsia="Times New Roman"/>
        </w:rPr>
      </w:pPr>
      <w:r>
        <w:rPr>
          <w:rFonts w:eastAsia="Times New Roman"/>
          <w:b/>
          <w:bCs/>
          <w:color w:val="000000"/>
          <w:sz w:val="20"/>
          <w:szCs w:val="20"/>
          <w:u w:val="single"/>
        </w:rPr>
        <w:t xml:space="preserve">Note 3 — </w:t>
      </w:r>
      <w:r>
        <w:rPr>
          <w:rFonts w:eastAsia="Times New Roman"/>
          <w:b/>
          <w:bCs/>
          <w:color w:val="000000"/>
          <w:sz w:val="20"/>
          <w:szCs w:val="20"/>
          <w:u w:val="single"/>
        </w:rPr>
        <w:t>Accounting Changes</w:t>
      </w:r>
      <w:r>
        <w:rPr>
          <w:rFonts w:eastAsia="Times New Roman"/>
          <w:b/>
          <w:bCs/>
          <w:color w:val="000000"/>
          <w:sz w:val="20"/>
          <w:szCs w:val="20"/>
        </w:rPr>
        <w:t xml:space="preserve"> </w:t>
      </w:r>
    </w:p>
    <w:p w:rsidR="00000000" w:rsidRDefault="005D625B">
      <w:pPr>
        <w:ind w:hanging="540"/>
        <w:jc w:val="both"/>
        <w:rPr>
          <w:rFonts w:eastAsia="Times New Roman"/>
        </w:rPr>
      </w:pPr>
    </w:p>
    <w:p w:rsidR="00000000" w:rsidRDefault="005D625B">
      <w:pPr>
        <w:jc w:val="both"/>
        <w:rPr>
          <w:rFonts w:eastAsia="Times New Roman"/>
        </w:rPr>
      </w:pPr>
      <w:r>
        <w:rPr>
          <w:rFonts w:eastAsia="Times New Roman"/>
          <w:b/>
          <w:bCs/>
          <w:color w:val="000000"/>
          <w:sz w:val="20"/>
          <w:szCs w:val="20"/>
        </w:rPr>
        <w:t>New Accounting Standard Adopted in Fiscal 2021</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 xml:space="preserve">Credit Losses. </w:t>
      </w:r>
      <w:r>
        <w:rPr>
          <w:rFonts w:eastAsia="Times New Roman"/>
          <w:color w:val="000000"/>
          <w:sz w:val="20"/>
          <w:szCs w:val="20"/>
        </w:rPr>
        <w:t>Effective October 1, 2020, the Company adopted ASU 2016-13, “Measurement of Credit Losses on Financial Instruments,” including subsequent amendments, using a modified ret</w:t>
      </w:r>
      <w:r>
        <w:rPr>
          <w:rFonts w:eastAsia="Times New Roman"/>
          <w:color w:val="000000"/>
          <w:sz w:val="20"/>
          <w:szCs w:val="20"/>
        </w:rPr>
        <w:t>rospective transition approach. This ASU, as subsequently amended, requires entities to estimate lifetime expected credit losses for financial instruments not measured at fair value through net income, including trade and other receivables, net investments</w:t>
      </w:r>
      <w:r>
        <w:rPr>
          <w:rFonts w:eastAsia="Times New Roman"/>
          <w:color w:val="000000"/>
          <w:sz w:val="20"/>
          <w:szCs w:val="20"/>
        </w:rPr>
        <w:t xml:space="preserve"> in leases, financial receivables, debt securities, and other financial instruments, which may result in earlier recognition of credit losses. Further, the new current expected credit loss model may affect how entities estimate their allowance for losses r</w:t>
      </w:r>
      <w:r>
        <w:rPr>
          <w:rFonts w:eastAsia="Times New Roman"/>
          <w:color w:val="000000"/>
          <w:sz w:val="20"/>
          <w:szCs w:val="20"/>
        </w:rPr>
        <w:t xml:space="preserve">elated to receivables that are current with respect to their payment terms. The adoption of the new guidance did not have a material impact on our consolidated financial statements. </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Accounting Standard Not Yet Adopted</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 xml:space="preserve">Income Taxes. </w:t>
      </w:r>
      <w:r>
        <w:rPr>
          <w:rFonts w:eastAsia="Times New Roman"/>
          <w:color w:val="000000"/>
          <w:sz w:val="20"/>
          <w:szCs w:val="20"/>
        </w:rPr>
        <w:t>In December 2019, the FASB issued ASU 2019-12, “Income Taxes (Topic 740): Simplifying the Accounting for Income Taxes.” This ASU simplifies the accounting for income taxes by eliminating certain exceptions within the existing guidance for recognizing defer</w:t>
      </w:r>
      <w:r>
        <w:rPr>
          <w:rFonts w:eastAsia="Times New Roman"/>
          <w:color w:val="000000"/>
          <w:sz w:val="20"/>
          <w:szCs w:val="20"/>
        </w:rPr>
        <w:t>red taxes for equity method investments, performing intraperiod allocations and calculating income taxes in interim periods. Further, this ASU clarifies existing guidance related to, among other things, recognizing deferred taxes for goodwill and allocated</w:t>
      </w:r>
      <w:r>
        <w:rPr>
          <w:rFonts w:eastAsia="Times New Roman"/>
          <w:color w:val="000000"/>
          <w:sz w:val="20"/>
          <w:szCs w:val="20"/>
        </w:rPr>
        <w:t xml:space="preserve"> taxes to members of a consolidated group. This new guidance is effective for the Company for interim and annual periods beginning October 1, 2021 (Fiscal 2022). Early adoption is permitted; however, the Company will adopt the new guidance effective Octobe</w:t>
      </w:r>
      <w:r>
        <w:rPr>
          <w:rFonts w:eastAsia="Times New Roman"/>
          <w:color w:val="000000"/>
          <w:sz w:val="20"/>
          <w:szCs w:val="20"/>
        </w:rPr>
        <w:t>r 1, 2021. The Company is in the process of assessing the impact on its financial statements from the adoption of the new guidance.</w:t>
      </w:r>
    </w:p>
    <w:p w:rsidR="00000000" w:rsidRDefault="005D625B">
      <w:pPr>
        <w:jc w:val="center"/>
        <w:divId w:val="196966803"/>
        <w:rPr>
          <w:rFonts w:eastAsia="Times New Roman"/>
        </w:rPr>
      </w:pPr>
      <w:r>
        <w:rPr>
          <w:rFonts w:eastAsia="Times New Roman"/>
          <w:color w:val="000000"/>
          <w:sz w:val="20"/>
          <w:szCs w:val="20"/>
        </w:rPr>
        <w:t>12</w:t>
      </w:r>
    </w:p>
    <w:p w:rsidR="00000000" w:rsidRDefault="005D625B">
      <w:pPr>
        <w:rPr>
          <w:rFonts w:eastAsia="Times New Roman"/>
        </w:rPr>
      </w:pPr>
      <w:r>
        <w:rPr>
          <w:rFonts w:eastAsia="Times New Roman"/>
        </w:rPr>
        <w:pict>
          <v:rect id="_x0000_i1038" style="width:0;height:1.5pt" o:hralign="center" o:hrstd="t" o:hr="t" fillcolor="#a0a0a0" stroked="f"/>
        </w:pict>
      </w:r>
    </w:p>
    <w:p w:rsidR="00000000" w:rsidRDefault="005D625B">
      <w:pPr>
        <w:divId w:val="2014183427"/>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911232059"/>
        <w:rPr>
          <w:rFonts w:eastAsia="Times New Roman"/>
        </w:rPr>
      </w:pPr>
      <w:r>
        <w:rPr>
          <w:rFonts w:eastAsia="Times New Roman"/>
          <w:b/>
          <w:bCs/>
          <w:color w:val="000000"/>
          <w:sz w:val="20"/>
          <w:szCs w:val="20"/>
        </w:rPr>
        <w:t>UGI CORP</w:t>
      </w:r>
      <w:r>
        <w:rPr>
          <w:rFonts w:eastAsia="Times New Roman"/>
          <w:b/>
          <w:bCs/>
          <w:color w:val="000000"/>
          <w:sz w:val="20"/>
          <w:szCs w:val="20"/>
        </w:rPr>
        <w:t>ORATION AND SUBSIDIARIES</w:t>
      </w:r>
    </w:p>
    <w:p w:rsidR="00000000" w:rsidRDefault="005D625B">
      <w:pPr>
        <w:jc w:val="center"/>
        <w:divId w:val="1810441560"/>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911232059"/>
        <w:rPr>
          <w:rFonts w:eastAsia="Times New Roman"/>
        </w:rPr>
      </w:pPr>
      <w:r>
        <w:rPr>
          <w:rFonts w:eastAsia="Times New Roman"/>
          <w:color w:val="000000"/>
          <w:sz w:val="20"/>
          <w:szCs w:val="20"/>
        </w:rPr>
        <w:t>(unaudited)</w:t>
      </w:r>
    </w:p>
    <w:p w:rsidR="00000000" w:rsidRDefault="005D625B">
      <w:pPr>
        <w:jc w:val="center"/>
        <w:divId w:val="911232059"/>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 xml:space="preserve">Debt and Derivatives and Hedging. </w:t>
      </w:r>
      <w:r>
        <w:rPr>
          <w:rFonts w:eastAsia="Times New Roman"/>
          <w:color w:val="000000"/>
          <w:sz w:val="20"/>
          <w:szCs w:val="20"/>
        </w:rPr>
        <w:t>In August 2020, the FASB issued ASU 2020-06, “Debt - Debt with Conversion and Other Options (Subtopic 470-20) and Derivatives and Hedging – Contracts in Entity’s Own Equity (Subtopic 815-40).” The amendments in this ASU affect entities that issue convertib</w:t>
      </w:r>
      <w:r>
        <w:rPr>
          <w:rFonts w:eastAsia="Times New Roman"/>
          <w:color w:val="000000"/>
          <w:sz w:val="20"/>
          <w:szCs w:val="20"/>
        </w:rPr>
        <w:t>le instruments and/or contracts indexed to and potentially settled in an entity’s own equity. This ASU reduces the number of accounting models for convertible debt instruments and convertible preferred stock, expands disclosure requirements for convertible</w:t>
      </w:r>
      <w:r>
        <w:rPr>
          <w:rFonts w:eastAsia="Times New Roman"/>
          <w:color w:val="000000"/>
          <w:sz w:val="20"/>
          <w:szCs w:val="20"/>
        </w:rPr>
        <w:t xml:space="preserve"> instruments, and simplifies the related earnings per share guidance. This new guidance is effective for the Company for interim and annual periods beginning October 1, 2022 (Fiscal 2023). Early adoption is permitted. The amendments in this ASU may be adop</w:t>
      </w:r>
      <w:r>
        <w:rPr>
          <w:rFonts w:eastAsia="Times New Roman"/>
          <w:color w:val="000000"/>
          <w:sz w:val="20"/>
          <w:szCs w:val="20"/>
        </w:rPr>
        <w:t>ted using the modified or full retrospective transition methods. The Company is in the process of assessing the impact on its financial statements from the adoption of the new guidance and determining the transition method and the period in which the new g</w:t>
      </w:r>
      <w:r>
        <w:rPr>
          <w:rFonts w:eastAsia="Times New Roman"/>
          <w:color w:val="000000"/>
          <w:sz w:val="20"/>
          <w:szCs w:val="20"/>
        </w:rPr>
        <w:t>uidance will be adopted.</w:t>
      </w:r>
    </w:p>
    <w:p w:rsidR="00000000" w:rsidRDefault="005D625B">
      <w:pPr>
        <w:jc w:val="both"/>
        <w:rPr>
          <w:rFonts w:eastAsia="Times New Roman"/>
        </w:rPr>
      </w:pPr>
    </w:p>
    <w:p w:rsidR="00000000" w:rsidRDefault="005D625B">
      <w:pPr>
        <w:divId w:val="273246182"/>
        <w:rPr>
          <w:rFonts w:eastAsia="Times New Roman"/>
        </w:rPr>
      </w:pPr>
      <w:r>
        <w:rPr>
          <w:rFonts w:eastAsia="Times New Roman"/>
          <w:b/>
          <w:bCs/>
          <w:color w:val="000000"/>
          <w:sz w:val="20"/>
          <w:szCs w:val="20"/>
          <w:u w:val="single"/>
        </w:rPr>
        <w:t>Note 4 — Revenue from Contracts with Customers</w:t>
      </w:r>
      <w:r>
        <w:rPr>
          <w:rFonts w:eastAsia="Times New Roman"/>
          <w:color w:val="000000"/>
          <w:sz w:val="20"/>
          <w:szCs w:val="20"/>
        </w:rPr>
        <w:t xml:space="preserve"> </w:t>
      </w:r>
    </w:p>
    <w:p w:rsidR="00000000" w:rsidRDefault="005D625B">
      <w:pPr>
        <w:divId w:val="2026401136"/>
        <w:rPr>
          <w:rFonts w:eastAsia="Times New Roman"/>
        </w:rPr>
      </w:pPr>
    </w:p>
    <w:p w:rsidR="00000000" w:rsidRDefault="005D625B">
      <w:pPr>
        <w:jc w:val="both"/>
        <w:rPr>
          <w:rFonts w:eastAsia="Times New Roman"/>
        </w:rPr>
      </w:pPr>
      <w:r>
        <w:rPr>
          <w:rFonts w:eastAsia="Times New Roman"/>
          <w:color w:val="000000"/>
          <w:sz w:val="20"/>
          <w:szCs w:val="20"/>
        </w:rPr>
        <w:t>The Company recognizes revenue when control of promised goods or services is transferred to customers in an amount that reflects the consideration to which we expect to be entitle</w:t>
      </w:r>
      <w:r>
        <w:rPr>
          <w:rFonts w:eastAsia="Times New Roman"/>
          <w:color w:val="000000"/>
          <w:sz w:val="20"/>
          <w:szCs w:val="20"/>
        </w:rPr>
        <w:t>d in exchange for those goods or services. See Note 4 in the Company’s 2020 Annual Report for additional information on our revenues from contracts with customers.</w:t>
      </w:r>
    </w:p>
    <w:p w:rsidR="00000000" w:rsidRDefault="005D625B">
      <w:pPr>
        <w:jc w:val="both"/>
        <w:rPr>
          <w:rFonts w:eastAsia="Times New Roman"/>
        </w:rPr>
      </w:pPr>
    </w:p>
    <w:p w:rsidR="00000000" w:rsidRDefault="005D625B">
      <w:pPr>
        <w:divId w:val="273363770"/>
        <w:rPr>
          <w:rFonts w:eastAsia="Times New Roman"/>
        </w:rPr>
      </w:pPr>
      <w:r>
        <w:rPr>
          <w:rFonts w:eastAsia="Times New Roman"/>
          <w:b/>
          <w:bCs/>
          <w:color w:val="000000"/>
          <w:sz w:val="20"/>
          <w:szCs w:val="20"/>
        </w:rPr>
        <w:t>Revenue Disaggregation</w:t>
      </w:r>
    </w:p>
    <w:p w:rsidR="00000000" w:rsidRDefault="005D625B">
      <w:pPr>
        <w:divId w:val="1258636720"/>
        <w:rPr>
          <w:rFonts w:eastAsia="Times New Roman"/>
        </w:rPr>
      </w:pPr>
    </w:p>
    <w:p w:rsidR="00000000" w:rsidRDefault="005D625B">
      <w:pPr>
        <w:divId w:val="510414762"/>
        <w:rPr>
          <w:rFonts w:eastAsia="Times New Roman"/>
        </w:rPr>
      </w:pPr>
      <w:r>
        <w:rPr>
          <w:rFonts w:eastAsia="Times New Roman"/>
          <w:color w:val="000000"/>
          <w:sz w:val="20"/>
          <w:szCs w:val="20"/>
        </w:rPr>
        <w:t>The following tables present our disaggregated revenues by report</w:t>
      </w:r>
      <w:r>
        <w:rPr>
          <w:rFonts w:eastAsia="Times New Roman"/>
          <w:color w:val="000000"/>
          <w:sz w:val="20"/>
          <w:szCs w:val="20"/>
        </w:rPr>
        <w:t>able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84"/>
        <w:gridCol w:w="39"/>
        <w:gridCol w:w="36"/>
        <w:gridCol w:w="36"/>
        <w:gridCol w:w="36"/>
        <w:gridCol w:w="100"/>
        <w:gridCol w:w="425"/>
        <w:gridCol w:w="36"/>
        <w:gridCol w:w="36"/>
        <w:gridCol w:w="36"/>
        <w:gridCol w:w="36"/>
        <w:gridCol w:w="101"/>
        <w:gridCol w:w="800"/>
        <w:gridCol w:w="36"/>
        <w:gridCol w:w="36"/>
        <w:gridCol w:w="36"/>
        <w:gridCol w:w="36"/>
        <w:gridCol w:w="101"/>
        <w:gridCol w:w="647"/>
        <w:gridCol w:w="36"/>
        <w:gridCol w:w="36"/>
        <w:gridCol w:w="36"/>
        <w:gridCol w:w="36"/>
        <w:gridCol w:w="101"/>
        <w:gridCol w:w="762"/>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trPr>
          <w:divId w:val="170067223"/>
          <w:jc w:val="center"/>
        </w:trPr>
        <w:tc>
          <w:tcPr>
            <w:tcW w:w="50" w:type="pct"/>
            <w:vAlign w:val="center"/>
            <w:hideMark/>
          </w:tcPr>
          <w:p w:rsidR="00000000" w:rsidRDefault="005D625B">
            <w:pPr>
              <w:rPr>
                <w:rFonts w:eastAsia="Times New Roman"/>
              </w:rPr>
            </w:pPr>
          </w:p>
        </w:tc>
        <w:tc>
          <w:tcPr>
            <w:tcW w:w="13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9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4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9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6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7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70067223"/>
          <w:trHeight w:val="6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0067223"/>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Three Months Ended June 30, 2021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xml:space="preserve"> Total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xml:space="preserve"> UGI International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xml:space="preserve"> Midstream &amp; </w:t>
            </w:r>
            <w:r>
              <w:rPr>
                <w:rFonts w:eastAsia="Times New Roman"/>
                <w:color w:val="000000"/>
                <w:sz w:val="16"/>
                <w:szCs w:val="16"/>
              </w:rPr>
              <w:t>Marketing</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xml:space="preserve"> Corporate &amp; Other </w:t>
            </w:r>
          </w:p>
        </w:tc>
      </w:tr>
      <w:tr w:rsidR="00000000">
        <w:trPr>
          <w:divId w:val="170067223"/>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0067223"/>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u w:val="single"/>
              </w:rPr>
              <w:t>Utility: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0067223"/>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Core Market: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5D625B">
        <w:trPr>
          <w:divId w:val="170067223"/>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Residential</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Commercial &amp; Industrial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Large delivery service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Total Utility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u w:val="single"/>
              </w:rPr>
              <w:t>Non-Utility: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0067223"/>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LPG:</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0067223"/>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Retail</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424 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376 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Wholesale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Energy Marketing</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311 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Midstream:</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0067223"/>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Pipeline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Peaking</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Electricity Generation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Total Non-Utility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067223"/>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 revenues (b)</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divId w:val="170067223"/>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 xml:space="preserve">Total revenues </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1,496 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center"/>
        <w:divId w:val="1011034353"/>
        <w:rPr>
          <w:rFonts w:eastAsia="Times New Roman"/>
        </w:rPr>
      </w:pPr>
      <w:r>
        <w:rPr>
          <w:rFonts w:eastAsia="Times New Roman"/>
          <w:color w:val="000000"/>
          <w:sz w:val="20"/>
          <w:szCs w:val="20"/>
        </w:rPr>
        <w:t>13</w:t>
      </w:r>
    </w:p>
    <w:p w:rsidR="00000000" w:rsidRDefault="005D625B">
      <w:pPr>
        <w:rPr>
          <w:rFonts w:eastAsia="Times New Roman"/>
        </w:rPr>
      </w:pPr>
      <w:r>
        <w:rPr>
          <w:rFonts w:eastAsia="Times New Roman"/>
        </w:rPr>
        <w:pict>
          <v:rect id="_x0000_i1039" style="width:0;height:1.5pt" o:hralign="center" o:hrstd="t" o:hr="t" fillcolor="#a0a0a0" stroked="f"/>
        </w:pict>
      </w:r>
    </w:p>
    <w:p w:rsidR="00000000" w:rsidRDefault="005D625B">
      <w:pPr>
        <w:divId w:val="4811139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796529370"/>
        <w:rPr>
          <w:rFonts w:eastAsia="Times New Roman"/>
        </w:rPr>
      </w:pPr>
      <w:r>
        <w:rPr>
          <w:rFonts w:eastAsia="Times New Roman"/>
          <w:b/>
          <w:bCs/>
          <w:color w:val="000000"/>
          <w:sz w:val="20"/>
          <w:szCs w:val="20"/>
        </w:rPr>
        <w:t>UGI CORPORATION AND SUBSIDIARIES</w:t>
      </w:r>
    </w:p>
    <w:p w:rsidR="00000000" w:rsidRDefault="005D625B">
      <w:pPr>
        <w:jc w:val="center"/>
        <w:divId w:val="177233574"/>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796529370"/>
        <w:rPr>
          <w:rFonts w:eastAsia="Times New Roman"/>
        </w:rPr>
      </w:pPr>
      <w:r>
        <w:rPr>
          <w:rFonts w:eastAsia="Times New Roman"/>
          <w:color w:val="000000"/>
          <w:sz w:val="20"/>
          <w:szCs w:val="20"/>
        </w:rPr>
        <w:t>(unaudited)</w:t>
      </w:r>
    </w:p>
    <w:p w:rsidR="00000000" w:rsidRDefault="005D625B">
      <w:pPr>
        <w:jc w:val="center"/>
        <w:divId w:val="796529370"/>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84"/>
        <w:gridCol w:w="39"/>
        <w:gridCol w:w="36"/>
        <w:gridCol w:w="36"/>
        <w:gridCol w:w="36"/>
        <w:gridCol w:w="100"/>
        <w:gridCol w:w="425"/>
        <w:gridCol w:w="36"/>
        <w:gridCol w:w="36"/>
        <w:gridCol w:w="36"/>
        <w:gridCol w:w="36"/>
        <w:gridCol w:w="101"/>
        <w:gridCol w:w="800"/>
        <w:gridCol w:w="36"/>
        <w:gridCol w:w="36"/>
        <w:gridCol w:w="36"/>
        <w:gridCol w:w="36"/>
        <w:gridCol w:w="101"/>
        <w:gridCol w:w="647"/>
        <w:gridCol w:w="36"/>
        <w:gridCol w:w="36"/>
        <w:gridCol w:w="36"/>
        <w:gridCol w:w="36"/>
        <w:gridCol w:w="101"/>
        <w:gridCol w:w="762"/>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trPr>
          <w:jc w:val="center"/>
        </w:trPr>
        <w:tc>
          <w:tcPr>
            <w:tcW w:w="50" w:type="pct"/>
            <w:vAlign w:val="center"/>
            <w:hideMark/>
          </w:tcPr>
          <w:p w:rsidR="00000000" w:rsidRDefault="005D625B">
            <w:pPr>
              <w:jc w:val="center"/>
              <w:rPr>
                <w:rFonts w:eastAsia="Times New Roman"/>
              </w:rPr>
            </w:pPr>
          </w:p>
        </w:tc>
        <w:tc>
          <w:tcPr>
            <w:tcW w:w="13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9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4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9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6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7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Three Months Ended June 30, 2020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xml:space="preserve"> UGI International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Corporate &amp; Other</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u w:val="single"/>
              </w:rPr>
              <w:t>Utility: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Core Market: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5D625B">
        <w:trPr>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Residential</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Commercial &amp; Industrial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Large delivery service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xml:space="preserve">Other </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Total Utility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u w:val="single"/>
              </w:rPr>
              <w:t>Non-Utility: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LPG:</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Retail</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372 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250 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Wholesale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Energy Marketing</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158 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Midstream:</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Pipeline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Peaking</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Electricity Generation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Total Non-Utility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 revenues (b)</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Total 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center"/>
        <w:divId w:val="1523006459"/>
        <w:rPr>
          <w:rFonts w:eastAsia="Times New Roman"/>
        </w:rPr>
      </w:pPr>
      <w:r>
        <w:rPr>
          <w:rFonts w:eastAsia="Times New Roman"/>
          <w:color w:val="000000"/>
          <w:sz w:val="20"/>
          <w:szCs w:val="20"/>
        </w:rPr>
        <w:t>14</w:t>
      </w:r>
    </w:p>
    <w:p w:rsidR="00000000" w:rsidRDefault="005D625B">
      <w:pPr>
        <w:rPr>
          <w:rFonts w:eastAsia="Times New Roman"/>
        </w:rPr>
      </w:pPr>
      <w:r>
        <w:rPr>
          <w:rFonts w:eastAsia="Times New Roman"/>
        </w:rPr>
        <w:pict>
          <v:rect id="_x0000_i1040" style="width:0;height:1.5pt" o:hralign="center" o:hrstd="t" o:hr="t" fillcolor="#a0a0a0" stroked="f"/>
        </w:pict>
      </w:r>
    </w:p>
    <w:p w:rsidR="00000000" w:rsidRDefault="005D625B">
      <w:pPr>
        <w:divId w:val="1421951838"/>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766970403"/>
        <w:rPr>
          <w:rFonts w:eastAsia="Times New Roman"/>
        </w:rPr>
      </w:pPr>
      <w:r>
        <w:rPr>
          <w:rFonts w:eastAsia="Times New Roman"/>
          <w:b/>
          <w:bCs/>
          <w:color w:val="000000"/>
          <w:sz w:val="20"/>
          <w:szCs w:val="20"/>
        </w:rPr>
        <w:t>UGI CORPORATION AND SUBSIDIARIES</w:t>
      </w:r>
    </w:p>
    <w:p w:rsidR="00000000" w:rsidRDefault="005D625B">
      <w:pPr>
        <w:jc w:val="center"/>
        <w:divId w:val="442850498"/>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766970403"/>
        <w:rPr>
          <w:rFonts w:eastAsia="Times New Roman"/>
        </w:rPr>
      </w:pPr>
      <w:r>
        <w:rPr>
          <w:rFonts w:eastAsia="Times New Roman"/>
          <w:color w:val="000000"/>
          <w:sz w:val="20"/>
          <w:szCs w:val="20"/>
        </w:rPr>
        <w:t>(unaudited)</w:t>
      </w:r>
    </w:p>
    <w:p w:rsidR="00000000" w:rsidRDefault="005D625B">
      <w:pPr>
        <w:jc w:val="center"/>
        <w:divId w:val="766970403"/>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84"/>
        <w:gridCol w:w="39"/>
        <w:gridCol w:w="36"/>
        <w:gridCol w:w="36"/>
        <w:gridCol w:w="36"/>
        <w:gridCol w:w="100"/>
        <w:gridCol w:w="425"/>
        <w:gridCol w:w="36"/>
        <w:gridCol w:w="36"/>
        <w:gridCol w:w="36"/>
        <w:gridCol w:w="36"/>
        <w:gridCol w:w="101"/>
        <w:gridCol w:w="800"/>
        <w:gridCol w:w="36"/>
        <w:gridCol w:w="36"/>
        <w:gridCol w:w="36"/>
        <w:gridCol w:w="36"/>
        <w:gridCol w:w="101"/>
        <w:gridCol w:w="645"/>
        <w:gridCol w:w="36"/>
        <w:gridCol w:w="36"/>
        <w:gridCol w:w="36"/>
        <w:gridCol w:w="36"/>
        <w:gridCol w:w="101"/>
        <w:gridCol w:w="762"/>
        <w:gridCol w:w="36"/>
        <w:gridCol w:w="36"/>
        <w:gridCol w:w="36"/>
        <w:gridCol w:w="36"/>
        <w:gridCol w:w="101"/>
        <w:gridCol w:w="684"/>
        <w:gridCol w:w="36"/>
        <w:gridCol w:w="36"/>
        <w:gridCol w:w="36"/>
        <w:gridCol w:w="36"/>
        <w:gridCol w:w="101"/>
        <w:gridCol w:w="485"/>
        <w:gridCol w:w="36"/>
        <w:gridCol w:w="36"/>
        <w:gridCol w:w="36"/>
        <w:gridCol w:w="36"/>
        <w:gridCol w:w="101"/>
        <w:gridCol w:w="628"/>
        <w:gridCol w:w="36"/>
      </w:tblGrid>
      <w:tr w:rsidR="00000000">
        <w:trPr>
          <w:jc w:val="center"/>
        </w:trPr>
        <w:tc>
          <w:tcPr>
            <w:tcW w:w="50" w:type="pct"/>
            <w:vAlign w:val="center"/>
            <w:hideMark/>
          </w:tcPr>
          <w:p w:rsidR="00000000" w:rsidRDefault="005D625B">
            <w:pPr>
              <w:jc w:val="center"/>
              <w:rPr>
                <w:rFonts w:eastAsia="Times New Roman"/>
              </w:rPr>
            </w:pPr>
          </w:p>
        </w:tc>
        <w:tc>
          <w:tcPr>
            <w:tcW w:w="13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8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4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7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7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Nine Months Ended June 30, 2021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xml:space="preserve"> UGI International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Corporate &amp; Other</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5D625B">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498 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498 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3,250 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1,829 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1,421 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143 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1,205 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(89)</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470 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824 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5,929 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6,009 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center"/>
        <w:divId w:val="116333885"/>
        <w:rPr>
          <w:rFonts w:eastAsia="Times New Roman"/>
        </w:rPr>
      </w:pPr>
      <w:r>
        <w:rPr>
          <w:rFonts w:eastAsia="Times New Roman"/>
          <w:color w:val="000000"/>
          <w:sz w:val="20"/>
          <w:szCs w:val="20"/>
        </w:rPr>
        <w:t>15</w:t>
      </w:r>
    </w:p>
    <w:p w:rsidR="00000000" w:rsidRDefault="005D625B">
      <w:pPr>
        <w:rPr>
          <w:rFonts w:eastAsia="Times New Roman"/>
        </w:rPr>
      </w:pPr>
      <w:r>
        <w:rPr>
          <w:rFonts w:eastAsia="Times New Roman"/>
        </w:rPr>
        <w:pict>
          <v:rect id="_x0000_i1041" style="width:0;height:1.5pt" o:hralign="center" o:hrstd="t" o:hr="t" fillcolor="#a0a0a0" stroked="f"/>
        </w:pict>
      </w:r>
    </w:p>
    <w:p w:rsidR="00000000" w:rsidRDefault="005D625B">
      <w:pPr>
        <w:divId w:val="98646241"/>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692683215"/>
        <w:rPr>
          <w:rFonts w:eastAsia="Times New Roman"/>
        </w:rPr>
      </w:pPr>
      <w:r>
        <w:rPr>
          <w:rFonts w:eastAsia="Times New Roman"/>
          <w:b/>
          <w:bCs/>
          <w:color w:val="000000"/>
          <w:sz w:val="20"/>
          <w:szCs w:val="20"/>
        </w:rPr>
        <w:t>UGI CORPORATION AND SUBSIDIARIES</w:t>
      </w:r>
    </w:p>
    <w:p w:rsidR="00000000" w:rsidRDefault="005D625B">
      <w:pPr>
        <w:jc w:val="center"/>
        <w:divId w:val="909341610"/>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1692683215"/>
        <w:rPr>
          <w:rFonts w:eastAsia="Times New Roman"/>
        </w:rPr>
      </w:pPr>
      <w:r>
        <w:rPr>
          <w:rFonts w:eastAsia="Times New Roman"/>
          <w:color w:val="000000"/>
          <w:sz w:val="20"/>
          <w:szCs w:val="20"/>
        </w:rPr>
        <w:t>(unaudited)</w:t>
      </w:r>
    </w:p>
    <w:p w:rsidR="00000000" w:rsidRDefault="005D625B">
      <w:pPr>
        <w:jc w:val="center"/>
        <w:divId w:val="1692683215"/>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85"/>
        <w:gridCol w:w="39"/>
        <w:gridCol w:w="36"/>
        <w:gridCol w:w="36"/>
        <w:gridCol w:w="36"/>
        <w:gridCol w:w="100"/>
        <w:gridCol w:w="425"/>
        <w:gridCol w:w="36"/>
        <w:gridCol w:w="36"/>
        <w:gridCol w:w="36"/>
        <w:gridCol w:w="36"/>
        <w:gridCol w:w="101"/>
        <w:gridCol w:w="800"/>
        <w:gridCol w:w="36"/>
        <w:gridCol w:w="36"/>
        <w:gridCol w:w="36"/>
        <w:gridCol w:w="36"/>
        <w:gridCol w:w="101"/>
        <w:gridCol w:w="645"/>
        <w:gridCol w:w="36"/>
        <w:gridCol w:w="36"/>
        <w:gridCol w:w="36"/>
        <w:gridCol w:w="36"/>
        <w:gridCol w:w="101"/>
        <w:gridCol w:w="762"/>
        <w:gridCol w:w="36"/>
        <w:gridCol w:w="36"/>
        <w:gridCol w:w="36"/>
        <w:gridCol w:w="36"/>
        <w:gridCol w:w="101"/>
        <w:gridCol w:w="684"/>
        <w:gridCol w:w="36"/>
        <w:gridCol w:w="36"/>
        <w:gridCol w:w="36"/>
        <w:gridCol w:w="36"/>
        <w:gridCol w:w="101"/>
        <w:gridCol w:w="483"/>
        <w:gridCol w:w="36"/>
        <w:gridCol w:w="36"/>
        <w:gridCol w:w="36"/>
        <w:gridCol w:w="36"/>
        <w:gridCol w:w="101"/>
        <w:gridCol w:w="629"/>
        <w:gridCol w:w="36"/>
      </w:tblGrid>
      <w:tr w:rsidR="00000000">
        <w:trPr>
          <w:jc w:val="center"/>
        </w:trPr>
        <w:tc>
          <w:tcPr>
            <w:tcW w:w="50" w:type="pct"/>
            <w:vAlign w:val="center"/>
            <w:hideMark/>
          </w:tcPr>
          <w:p w:rsidR="00000000" w:rsidRDefault="005D625B">
            <w:pPr>
              <w:jc w:val="center"/>
              <w:rPr>
                <w:rFonts w:eastAsia="Times New Roman"/>
              </w:rPr>
            </w:pPr>
          </w:p>
        </w:tc>
        <w:tc>
          <w:tcPr>
            <w:tcW w:w="13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9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4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6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4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8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Nine Months Ended June 30, 2020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w:t>
            </w:r>
            <w:r>
              <w:rPr>
                <w:rFonts w:eastAsia="Times New Roman"/>
                <w:color w:val="000000"/>
                <w:sz w:val="16"/>
                <w:szCs w:val="16"/>
              </w:rPr>
              <w:t xml:space="preserve">AmeriGas Propane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xml:space="preserve"> UGI International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 Corporate &amp; Other</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5D625B">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499 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499 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2,911 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1,715 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1,196 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1,005 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349 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720 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(96)</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5,435 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divId w:val="70587194"/>
        <w:rPr>
          <w:rFonts w:eastAsia="Times New Roman"/>
        </w:rPr>
      </w:pPr>
    </w:p>
    <w:p w:rsidR="00000000" w:rsidRDefault="005D625B">
      <w:pPr>
        <w:ind w:hanging="360"/>
        <w:divId w:val="951009390"/>
        <w:rPr>
          <w:rFonts w:eastAsia="Times New Roman"/>
        </w:rPr>
      </w:pPr>
      <w:r>
        <w:rPr>
          <w:rFonts w:eastAsia="Times New Roman"/>
          <w:color w:val="000000"/>
          <w:sz w:val="20"/>
          <w:szCs w:val="20"/>
        </w:rPr>
        <w:t>(a)</w:t>
      </w:r>
      <w:r>
        <w:rPr>
          <w:rFonts w:eastAsia="Times New Roman"/>
          <w:color w:val="000000"/>
          <w:sz w:val="20"/>
          <w:szCs w:val="20"/>
        </w:rPr>
        <w:t>Includes intersegment revenues principally among Midstream &amp; Marketing, UGI Utilities and AmeriGas Propane.</w:t>
      </w:r>
    </w:p>
    <w:p w:rsidR="00000000" w:rsidRDefault="005D625B">
      <w:pPr>
        <w:ind w:hanging="360"/>
        <w:jc w:val="both"/>
        <w:rPr>
          <w:rFonts w:eastAsia="Times New Roman"/>
        </w:rPr>
      </w:pPr>
      <w:r>
        <w:rPr>
          <w:rFonts w:eastAsia="Times New Roman"/>
          <w:color w:val="000000"/>
          <w:sz w:val="20"/>
          <w:szCs w:val="20"/>
        </w:rPr>
        <w:t xml:space="preserve">(b)Primarily represents revenues from tank rentals at AmeriGas Propane and UGI International, revenues from certain gathering assets at Midstream &amp; </w:t>
      </w:r>
      <w:r>
        <w:rPr>
          <w:rFonts w:eastAsia="Times New Roman"/>
          <w:color w:val="000000"/>
          <w:sz w:val="20"/>
          <w:szCs w:val="20"/>
        </w:rPr>
        <w:t>Marketing, revenues from alternative revenue programs at UGI Utilities, and gains and losses on commodity derivative instruments not associated with current-period transactions reflected in Corporate &amp; Other, none of which are within the scope of ASC 606 a</w:t>
      </w:r>
      <w:r>
        <w:rPr>
          <w:rFonts w:eastAsia="Times New Roman"/>
          <w:color w:val="000000"/>
          <w:sz w:val="20"/>
          <w:szCs w:val="20"/>
        </w:rPr>
        <w:t>nd are accounted for in accordance with other GAAP.</w:t>
      </w:r>
    </w:p>
    <w:p w:rsidR="00000000" w:rsidRDefault="005D625B">
      <w:pPr>
        <w:jc w:val="both"/>
        <w:rPr>
          <w:rFonts w:eastAsia="Times New Roman"/>
        </w:rPr>
      </w:pPr>
    </w:p>
    <w:p w:rsidR="00000000" w:rsidRDefault="005D625B">
      <w:pPr>
        <w:jc w:val="both"/>
        <w:divId w:val="1398288293"/>
        <w:rPr>
          <w:rFonts w:eastAsia="Times New Roman"/>
        </w:rPr>
      </w:pPr>
      <w:r>
        <w:rPr>
          <w:rFonts w:eastAsia="Times New Roman"/>
          <w:b/>
          <w:bCs/>
          <w:color w:val="000000"/>
          <w:sz w:val="20"/>
          <w:szCs w:val="20"/>
        </w:rPr>
        <w:t>Contract Balances</w:t>
      </w:r>
    </w:p>
    <w:p w:rsidR="00000000" w:rsidRDefault="005D625B">
      <w:pPr>
        <w:jc w:val="both"/>
        <w:divId w:val="1937666211"/>
        <w:rPr>
          <w:rFonts w:eastAsia="Times New Roman"/>
        </w:rPr>
      </w:pPr>
      <w:r>
        <w:rPr>
          <w:rFonts w:eastAsia="Times New Roman"/>
          <w:color w:val="000000"/>
          <w:sz w:val="20"/>
          <w:szCs w:val="20"/>
        </w:rPr>
        <w:t>The timing of revenue recognition may differ from the timing of invoicing to customers or cash receipts. Contract assets represent our right to consideration after the performance obli</w:t>
      </w:r>
      <w:r>
        <w:rPr>
          <w:rFonts w:eastAsia="Times New Roman"/>
          <w:color w:val="000000"/>
          <w:sz w:val="20"/>
          <w:szCs w:val="20"/>
        </w:rPr>
        <w:t>gations have been satisfied when such right is conditioned on something other than the passage of time. Contract assets were not material for all periods presented. Substantially all of our receivables are unconditional rights to consideration and are incl</w:t>
      </w:r>
      <w:r>
        <w:rPr>
          <w:rFonts w:eastAsia="Times New Roman"/>
          <w:color w:val="000000"/>
          <w:sz w:val="20"/>
          <w:szCs w:val="20"/>
        </w:rPr>
        <w:t xml:space="preserve">uded in “Accounts receivable” and, in the case of UGI Utilities, “Accrued utility revenues” on the Condensed Consolidated Balance Sheets. Amounts billed are generally due within the following month. </w:t>
      </w:r>
    </w:p>
    <w:p w:rsidR="00000000" w:rsidRDefault="005D625B">
      <w:pPr>
        <w:jc w:val="both"/>
        <w:rPr>
          <w:rFonts w:eastAsia="Times New Roman"/>
        </w:rPr>
      </w:pPr>
      <w:r>
        <w:rPr>
          <w:rFonts w:eastAsia="Times New Roman"/>
          <w:color w:val="000000"/>
          <w:sz w:val="20"/>
          <w:szCs w:val="20"/>
        </w:rPr>
        <w:t xml:space="preserve">Contract liabilities arise when payment from a customer </w:t>
      </w:r>
      <w:r>
        <w:rPr>
          <w:rFonts w:eastAsia="Times New Roman"/>
          <w:color w:val="000000"/>
          <w:sz w:val="20"/>
          <w:szCs w:val="20"/>
        </w:rPr>
        <w:t>is received before the performance obligations have been satisfied and represent the Company’s obligations to transfer goods or services to a customer for which we have received consideration. The balances of contract liabilities were $109, $161 and $104 a</w:t>
      </w:r>
      <w:r>
        <w:rPr>
          <w:rFonts w:eastAsia="Times New Roman"/>
          <w:color w:val="000000"/>
          <w:sz w:val="20"/>
          <w:szCs w:val="20"/>
        </w:rPr>
        <w:t>t June 30, 2021, September 30, 2020 and June 30, 2020, respectively, and are included in “Other current liabilities” and “Other noncurrent liabilities” on the Condensed Consolidated Balance Sheets. Revenues recognized for the nine months ended June 30, 202</w:t>
      </w:r>
      <w:r>
        <w:rPr>
          <w:rFonts w:eastAsia="Times New Roman"/>
          <w:color w:val="000000"/>
          <w:sz w:val="20"/>
          <w:szCs w:val="20"/>
        </w:rPr>
        <w:t xml:space="preserve">1 and 2020, from the amounts included in contract liabilities at September 30, 2020 and 2019, were $137 and $122, respectively. </w:t>
      </w:r>
    </w:p>
    <w:p w:rsidR="00000000" w:rsidRDefault="005D625B">
      <w:pPr>
        <w:jc w:val="both"/>
        <w:rPr>
          <w:rFonts w:eastAsia="Times New Roman"/>
        </w:rPr>
      </w:pPr>
    </w:p>
    <w:p w:rsidR="00000000" w:rsidRDefault="005D625B">
      <w:pPr>
        <w:jc w:val="center"/>
        <w:divId w:val="1437209703"/>
        <w:rPr>
          <w:rFonts w:eastAsia="Times New Roman"/>
        </w:rPr>
      </w:pPr>
      <w:r>
        <w:rPr>
          <w:rFonts w:eastAsia="Times New Roman"/>
          <w:color w:val="000000"/>
          <w:sz w:val="20"/>
          <w:szCs w:val="20"/>
        </w:rPr>
        <w:t>16</w:t>
      </w:r>
    </w:p>
    <w:p w:rsidR="00000000" w:rsidRDefault="005D625B">
      <w:pPr>
        <w:rPr>
          <w:rFonts w:eastAsia="Times New Roman"/>
        </w:rPr>
      </w:pPr>
      <w:r>
        <w:rPr>
          <w:rFonts w:eastAsia="Times New Roman"/>
        </w:rPr>
        <w:pict>
          <v:rect id="_x0000_i1042" style="width:0;height:1.5pt" o:hralign="center" o:hrstd="t" o:hr="t" fillcolor="#a0a0a0" stroked="f"/>
        </w:pict>
      </w:r>
    </w:p>
    <w:p w:rsidR="00000000" w:rsidRDefault="005D625B">
      <w:pPr>
        <w:divId w:val="1956671822"/>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801076278"/>
        <w:rPr>
          <w:rFonts w:eastAsia="Times New Roman"/>
        </w:rPr>
      </w:pPr>
      <w:r>
        <w:rPr>
          <w:rFonts w:eastAsia="Times New Roman"/>
          <w:b/>
          <w:bCs/>
          <w:color w:val="000000"/>
          <w:sz w:val="20"/>
          <w:szCs w:val="20"/>
        </w:rPr>
        <w:t>UGI CORPOR</w:t>
      </w:r>
      <w:r>
        <w:rPr>
          <w:rFonts w:eastAsia="Times New Roman"/>
          <w:b/>
          <w:bCs/>
          <w:color w:val="000000"/>
          <w:sz w:val="20"/>
          <w:szCs w:val="20"/>
        </w:rPr>
        <w:t>ATION AND SUBSIDIARIES</w:t>
      </w:r>
    </w:p>
    <w:p w:rsidR="00000000" w:rsidRDefault="005D625B">
      <w:pPr>
        <w:jc w:val="center"/>
        <w:divId w:val="2038965028"/>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801076278"/>
        <w:rPr>
          <w:rFonts w:eastAsia="Times New Roman"/>
        </w:rPr>
      </w:pPr>
      <w:r>
        <w:rPr>
          <w:rFonts w:eastAsia="Times New Roman"/>
          <w:color w:val="000000"/>
          <w:sz w:val="20"/>
          <w:szCs w:val="20"/>
        </w:rPr>
        <w:t>(unaudited)</w:t>
      </w:r>
    </w:p>
    <w:p w:rsidR="00000000" w:rsidRDefault="005D625B">
      <w:pPr>
        <w:jc w:val="center"/>
        <w:divId w:val="801076278"/>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divId w:val="1775443420"/>
        <w:rPr>
          <w:rFonts w:eastAsia="Times New Roman"/>
        </w:rPr>
      </w:pPr>
      <w:r>
        <w:rPr>
          <w:rFonts w:eastAsia="Times New Roman"/>
          <w:b/>
          <w:bCs/>
          <w:color w:val="000000"/>
          <w:sz w:val="20"/>
          <w:szCs w:val="20"/>
        </w:rPr>
        <w:t>Remaining Performance Obligations</w:t>
      </w:r>
    </w:p>
    <w:p w:rsidR="00000000" w:rsidRDefault="005D625B">
      <w:pPr>
        <w:jc w:val="both"/>
        <w:rPr>
          <w:rFonts w:eastAsia="Times New Roman"/>
        </w:rPr>
      </w:pPr>
      <w:r>
        <w:rPr>
          <w:rFonts w:eastAsia="Times New Roman"/>
          <w:color w:val="000000"/>
          <w:sz w:val="20"/>
          <w:szCs w:val="20"/>
        </w:rPr>
        <w:t>The Company excludes disclosures related to the aggregate amount of the transaction price allocated to certain performance obligations that are unsatisfied as of the end of the reporting period because these contracts have an initial expected term of one y</w:t>
      </w:r>
      <w:r>
        <w:rPr>
          <w:rFonts w:eastAsia="Times New Roman"/>
          <w:color w:val="000000"/>
          <w:sz w:val="20"/>
          <w:szCs w:val="20"/>
        </w:rPr>
        <w:t>ear or less, or we have a right to bill the customer in an amount that corresponds directly with the value of services provided to the customer to date. Certain contracts with customers at Midstream &amp; Marketing and UGI Utilities contain minimum future perf</w:t>
      </w:r>
      <w:r>
        <w:rPr>
          <w:rFonts w:eastAsia="Times New Roman"/>
          <w:color w:val="000000"/>
          <w:sz w:val="20"/>
          <w:szCs w:val="20"/>
        </w:rPr>
        <w:t>ormance obligations through 2047 and 2053, respectively. At June 30, 2021, Midstream &amp; Marketing and UGI Utilities expect to record approximately $2.0 billion and $0.2 billion of revenues, respectively, related to the minimum future performance obligations</w:t>
      </w:r>
      <w:r>
        <w:rPr>
          <w:rFonts w:eastAsia="Times New Roman"/>
          <w:color w:val="000000"/>
          <w:sz w:val="20"/>
          <w:szCs w:val="20"/>
        </w:rPr>
        <w:t xml:space="preserve"> over the remaining terms of the related contracts.</w:t>
      </w:r>
    </w:p>
    <w:p w:rsidR="00000000" w:rsidRDefault="005D625B">
      <w:pPr>
        <w:jc w:val="both"/>
        <w:rPr>
          <w:rFonts w:eastAsia="Times New Roman"/>
        </w:rPr>
      </w:pPr>
    </w:p>
    <w:p w:rsidR="00000000" w:rsidRDefault="005D625B">
      <w:pPr>
        <w:ind w:hanging="540"/>
        <w:jc w:val="both"/>
        <w:rPr>
          <w:rFonts w:eastAsia="Times New Roman"/>
        </w:rPr>
      </w:pPr>
      <w:r>
        <w:rPr>
          <w:rFonts w:eastAsia="Times New Roman"/>
          <w:b/>
          <w:bCs/>
          <w:color w:val="000000"/>
          <w:sz w:val="20"/>
          <w:szCs w:val="20"/>
          <w:u w:val="single"/>
        </w:rPr>
        <w:t>Note 5 — Inventories</w:t>
      </w:r>
      <w:r>
        <w:rPr>
          <w:rFonts w:eastAsia="Times New Roman"/>
          <w:b/>
          <w:bCs/>
          <w:color w:val="000000"/>
          <w:sz w:val="20"/>
          <w:szCs w:val="20"/>
        </w:rPr>
        <w:t xml:space="preserve">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Inventories comprise the following:</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4812"/>
        <w:gridCol w:w="38"/>
        <w:gridCol w:w="36"/>
        <w:gridCol w:w="36"/>
        <w:gridCol w:w="36"/>
        <w:gridCol w:w="120"/>
        <w:gridCol w:w="874"/>
        <w:gridCol w:w="36"/>
        <w:gridCol w:w="36"/>
        <w:gridCol w:w="36"/>
        <w:gridCol w:w="36"/>
        <w:gridCol w:w="121"/>
        <w:gridCol w:w="874"/>
        <w:gridCol w:w="36"/>
        <w:gridCol w:w="36"/>
        <w:gridCol w:w="36"/>
        <w:gridCol w:w="36"/>
        <w:gridCol w:w="120"/>
        <w:gridCol w:w="876"/>
        <w:gridCol w:w="36"/>
      </w:tblGrid>
      <w:tr w:rsidR="00000000">
        <w:trPr>
          <w:divId w:val="1816872838"/>
        </w:trPr>
        <w:tc>
          <w:tcPr>
            <w:tcW w:w="50" w:type="pct"/>
            <w:vAlign w:val="center"/>
            <w:hideMark/>
          </w:tcPr>
          <w:p w:rsidR="00000000" w:rsidRDefault="005D625B">
            <w:pPr>
              <w:jc w:val="both"/>
              <w:rPr>
                <w:rFonts w:eastAsia="Times New Roman"/>
              </w:rPr>
            </w:pPr>
          </w:p>
        </w:tc>
        <w:tc>
          <w:tcPr>
            <w:tcW w:w="29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816872838"/>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September 30,</w:t>
            </w:r>
            <w:r>
              <w:rPr>
                <w:rFonts w:eastAsia="Times New Roman"/>
                <w:color w:val="000000"/>
                <w:sz w:val="18"/>
                <w:szCs w:val="18"/>
              </w:rPr>
              <w:b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2020</w:t>
            </w:r>
          </w:p>
        </w:tc>
      </w:tr>
      <w:tr w:rsidR="00000000">
        <w:trPr>
          <w:divId w:val="1816872838"/>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Non-utility LPG and natural gas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816872838"/>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Gas Utility natural gas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816872838"/>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Materials, supplies and other</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816872838"/>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inventories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p>
    <w:p w:rsidR="00000000" w:rsidRDefault="005D625B">
      <w:pPr>
        <w:ind w:hanging="540"/>
        <w:jc w:val="both"/>
        <w:rPr>
          <w:rFonts w:eastAsia="Times New Roman"/>
        </w:rPr>
      </w:pPr>
      <w:r>
        <w:rPr>
          <w:rFonts w:eastAsia="Times New Roman"/>
          <w:b/>
          <w:bCs/>
          <w:color w:val="000000"/>
          <w:sz w:val="20"/>
          <w:szCs w:val="20"/>
          <w:u w:val="single"/>
        </w:rPr>
        <w:t>Note 6 — Utility Regulatory Assets and Liabilities and Regulatory Matters</w:t>
      </w:r>
      <w:r>
        <w:rPr>
          <w:rFonts w:eastAsia="Times New Roman"/>
          <w:b/>
          <w:bCs/>
          <w:color w:val="000000"/>
          <w:sz w:val="20"/>
          <w:szCs w:val="20"/>
        </w:rPr>
        <w:t xml:space="preserve">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For a description of the Company’</w:t>
      </w:r>
      <w:r>
        <w:rPr>
          <w:rFonts w:eastAsia="Times New Roman"/>
          <w:color w:val="000000"/>
          <w:sz w:val="20"/>
          <w:szCs w:val="20"/>
        </w:rPr>
        <w:t>s regulatory assets and liabilities other than those described below, see Note 9 in the Company’s 2020 Annual Report. Other than removal costs, UGI Utilities currently does not recover a rate of return on its regulatory assets listed below. The following r</w:t>
      </w:r>
      <w:r>
        <w:rPr>
          <w:rFonts w:eastAsia="Times New Roman"/>
          <w:color w:val="000000"/>
          <w:sz w:val="20"/>
          <w:szCs w:val="20"/>
        </w:rPr>
        <w:t>egulatory assets and liabilities associated with UGI Utilities are included on the Condensed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0"/>
        <w:gridCol w:w="4811"/>
        <w:gridCol w:w="39"/>
        <w:gridCol w:w="36"/>
        <w:gridCol w:w="36"/>
        <w:gridCol w:w="36"/>
        <w:gridCol w:w="120"/>
        <w:gridCol w:w="873"/>
        <w:gridCol w:w="36"/>
        <w:gridCol w:w="36"/>
        <w:gridCol w:w="36"/>
        <w:gridCol w:w="36"/>
        <w:gridCol w:w="121"/>
        <w:gridCol w:w="874"/>
        <w:gridCol w:w="36"/>
        <w:gridCol w:w="36"/>
        <w:gridCol w:w="36"/>
        <w:gridCol w:w="36"/>
        <w:gridCol w:w="120"/>
        <w:gridCol w:w="876"/>
        <w:gridCol w:w="36"/>
      </w:tblGrid>
      <w:tr w:rsidR="00000000">
        <w:trPr>
          <w:divId w:val="1163620822"/>
        </w:trPr>
        <w:tc>
          <w:tcPr>
            <w:tcW w:w="50" w:type="pct"/>
            <w:vAlign w:val="center"/>
            <w:hideMark/>
          </w:tcPr>
          <w:p w:rsidR="00000000" w:rsidRDefault="005D625B">
            <w:pPr>
              <w:jc w:val="both"/>
              <w:rPr>
                <w:rFonts w:eastAsia="Times New Roman"/>
              </w:rPr>
            </w:pPr>
          </w:p>
        </w:tc>
        <w:tc>
          <w:tcPr>
            <w:tcW w:w="29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163620822"/>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September 30,</w:t>
            </w:r>
            <w:r>
              <w:rPr>
                <w:rFonts w:eastAsia="Times New Roman"/>
                <w:color w:val="000000"/>
                <w:sz w:val="18"/>
                <w:szCs w:val="18"/>
              </w:rPr>
              <w:b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June 30,</w:t>
            </w:r>
            <w:r>
              <w:rPr>
                <w:rFonts w:eastAsia="Times New Roman"/>
                <w:color w:val="000000"/>
                <w:sz w:val="18"/>
                <w:szCs w:val="18"/>
              </w:rPr>
              <w:br/>
              <w:t>2020</w:t>
            </w:r>
          </w:p>
        </w:tc>
      </w:tr>
      <w:tr w:rsidR="00000000">
        <w:trPr>
          <w:divId w:val="1163620822"/>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b/>
                <w:bCs/>
                <w:color w:val="000000"/>
                <w:sz w:val="20"/>
                <w:szCs w:val="20"/>
              </w:rPr>
              <w:t>Regulatory assets (a):</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163620822"/>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Income taxes recoverable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Underfunded pension and postretirement plans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Environmental costs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163620822"/>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Removal costs, net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regulatory 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b/>
                <w:bCs/>
                <w:color w:val="000000"/>
                <w:sz w:val="20"/>
                <w:szCs w:val="20"/>
              </w:rPr>
              <w:t>Regulatory liabilities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163620822"/>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Postretirement benefit overcollections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163620822"/>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Deferred fuel and power refunds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State tax benefits — distribution system repairs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PAPUC Temporary Rates Order</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shd w:val="clear" w:color="auto" w:fill="CCEE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Excess federal deferred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163620822"/>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regulatory liabilities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ind w:hanging="360"/>
        <w:jc w:val="both"/>
        <w:rPr>
          <w:rFonts w:eastAsia="Times New Roman"/>
        </w:rPr>
      </w:pPr>
      <w:r>
        <w:rPr>
          <w:rFonts w:eastAsia="Times New Roman"/>
          <w:color w:val="000000"/>
          <w:sz w:val="20"/>
          <w:szCs w:val="20"/>
        </w:rPr>
        <w:t>(a)Current regulatory assets are included in “Prepaid expenses and other current assets” and regulatory liabilities are included in “Other current liabiliti</w:t>
      </w:r>
      <w:r>
        <w:rPr>
          <w:rFonts w:eastAsia="Times New Roman"/>
          <w:color w:val="000000"/>
          <w:sz w:val="20"/>
          <w:szCs w:val="20"/>
        </w:rPr>
        <w:t>es” and “Other noncurrent liabilities” on the Condensed Consolidated Balance Sheets.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Deferred Fuel and Power Refunds.</w:t>
      </w:r>
      <w:r>
        <w:rPr>
          <w:rFonts w:eastAsia="Times New Roman"/>
          <w:color w:val="000000"/>
          <w:sz w:val="20"/>
          <w:szCs w:val="20"/>
        </w:rPr>
        <w:t xml:space="preserve"> Gas Utility’s and Electric Utility’</w:t>
      </w:r>
      <w:r>
        <w:rPr>
          <w:rFonts w:eastAsia="Times New Roman"/>
          <w:color w:val="000000"/>
          <w:sz w:val="20"/>
          <w:szCs w:val="20"/>
        </w:rPr>
        <w:t>s tariffs contain clauses that permit recovery of all prudently incurred purchased gas and power costs through the application of PGC rates in the case of Gas Utility and DS tariffs in the case of Electric Utility. These clauses provide for periodic adjust</w:t>
      </w:r>
      <w:r>
        <w:rPr>
          <w:rFonts w:eastAsia="Times New Roman"/>
          <w:color w:val="000000"/>
          <w:sz w:val="20"/>
          <w:szCs w:val="20"/>
        </w:rPr>
        <w:t xml:space="preserve">ments to PGC and DS rates for differences between the </w:t>
      </w:r>
    </w:p>
    <w:p w:rsidR="00000000" w:rsidRDefault="005D625B">
      <w:pPr>
        <w:jc w:val="center"/>
        <w:divId w:val="1432317495"/>
        <w:rPr>
          <w:rFonts w:eastAsia="Times New Roman"/>
        </w:rPr>
      </w:pPr>
      <w:r>
        <w:rPr>
          <w:rFonts w:eastAsia="Times New Roman"/>
          <w:color w:val="000000"/>
          <w:sz w:val="20"/>
          <w:szCs w:val="20"/>
        </w:rPr>
        <w:t>17</w:t>
      </w:r>
    </w:p>
    <w:p w:rsidR="00000000" w:rsidRDefault="005D625B">
      <w:pPr>
        <w:rPr>
          <w:rFonts w:eastAsia="Times New Roman"/>
        </w:rPr>
      </w:pPr>
      <w:r>
        <w:rPr>
          <w:rFonts w:eastAsia="Times New Roman"/>
        </w:rPr>
        <w:pict>
          <v:rect id="_x0000_i1043" style="width:0;height:1.5pt" o:hralign="center" o:hrstd="t" o:hr="t" fillcolor="#a0a0a0" stroked="f"/>
        </w:pict>
      </w:r>
    </w:p>
    <w:p w:rsidR="00000000" w:rsidRDefault="005D625B">
      <w:pPr>
        <w:divId w:val="10330410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2082437364"/>
        <w:rPr>
          <w:rFonts w:eastAsia="Times New Roman"/>
        </w:rPr>
      </w:pPr>
      <w:r>
        <w:rPr>
          <w:rFonts w:eastAsia="Times New Roman"/>
          <w:b/>
          <w:bCs/>
          <w:color w:val="000000"/>
          <w:sz w:val="20"/>
          <w:szCs w:val="20"/>
        </w:rPr>
        <w:t>UGI CORPORATION AND SUBSIDIARIES</w:t>
      </w:r>
    </w:p>
    <w:p w:rsidR="00000000" w:rsidRDefault="005D625B">
      <w:pPr>
        <w:jc w:val="center"/>
        <w:divId w:val="576668096"/>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2082437364"/>
        <w:rPr>
          <w:rFonts w:eastAsia="Times New Roman"/>
        </w:rPr>
      </w:pPr>
      <w:r>
        <w:rPr>
          <w:rFonts w:eastAsia="Times New Roman"/>
          <w:color w:val="000000"/>
          <w:sz w:val="20"/>
          <w:szCs w:val="20"/>
        </w:rPr>
        <w:t>(unaudited)</w:t>
      </w:r>
    </w:p>
    <w:p w:rsidR="00000000" w:rsidRDefault="005D625B">
      <w:pPr>
        <w:jc w:val="center"/>
        <w:divId w:val="2082437364"/>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color w:val="000000"/>
          <w:sz w:val="20"/>
          <w:szCs w:val="20"/>
        </w:rPr>
        <w:t>total amount of purchased gas and electric generation supply costs billed to customers and recoverable costs incurred. Net undercollected costs are classified as a r</w:t>
      </w:r>
      <w:r>
        <w:rPr>
          <w:rFonts w:eastAsia="Times New Roman"/>
          <w:color w:val="000000"/>
          <w:sz w:val="20"/>
          <w:szCs w:val="20"/>
        </w:rPr>
        <w:t>egulatory asset and net overcollections are classified as a regulatory liability.</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Gas Utility uses derivative instruments to reduce volatility in the cost of gas it purchases for retail core-market customers. Realized and unrealized gains or losses on na</w:t>
      </w:r>
      <w:r>
        <w:rPr>
          <w:rFonts w:eastAsia="Times New Roman"/>
          <w:color w:val="000000"/>
          <w:sz w:val="20"/>
          <w:szCs w:val="20"/>
        </w:rPr>
        <w:t>tural gas derivative instruments are included in deferred fuel and power costs or refunds. Net unrealized gains on such contracts at June 30, 2021, September 30, 2020 and June 30, 2020 were $9, $8 and $1, respectively.</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Other Regulatory Matters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Base Rat</w:t>
      </w:r>
      <w:r>
        <w:rPr>
          <w:rFonts w:eastAsia="Times New Roman"/>
          <w:b/>
          <w:bCs/>
          <w:i/>
          <w:iCs/>
          <w:color w:val="000000"/>
          <w:sz w:val="20"/>
          <w:szCs w:val="20"/>
        </w:rPr>
        <w:t>e Filings.</w:t>
      </w:r>
      <w:r>
        <w:rPr>
          <w:rFonts w:eastAsia="Times New Roman"/>
          <w:color w:val="000000"/>
          <w:sz w:val="20"/>
          <w:szCs w:val="20"/>
        </w:rPr>
        <w:t> On February 8, 2021, Electric Utility filed a rate request with the PAPUC to increase its annual base distribution revenues by $9. The increased revenues would fund ongoing system improvements and operations necessary to maintain safe and reliab</w:t>
      </w:r>
      <w:r>
        <w:rPr>
          <w:rFonts w:eastAsia="Times New Roman"/>
          <w:color w:val="000000"/>
          <w:sz w:val="20"/>
          <w:szCs w:val="20"/>
        </w:rPr>
        <w:t>le electric service. Electric Utility requested that the new electric rates become effective April 9, 2021. The PAPUC entered an Order on March 11, 2021, suspending the effective date for the rate increase to allow for investigation and public hearings. On</w:t>
      </w:r>
      <w:r>
        <w:rPr>
          <w:rFonts w:eastAsia="Times New Roman"/>
          <w:color w:val="000000"/>
          <w:sz w:val="20"/>
          <w:szCs w:val="20"/>
        </w:rPr>
        <w:t xml:space="preserve"> July 19, 2021, a Joint Petition for Approval of Settlement of all issues supported by all active parties was filed with the PAPUC providing for a $6 annual base distribution rate increase for Electric Utility. The Joint Petition is subject to receipt of a</w:t>
      </w:r>
      <w:r>
        <w:rPr>
          <w:rFonts w:eastAsia="Times New Roman"/>
          <w:color w:val="000000"/>
          <w:sz w:val="20"/>
          <w:szCs w:val="20"/>
        </w:rPr>
        <w:t xml:space="preserve"> recommended decision by a PAPUC administrative law judge and an order of the PAPUC approving the settlement. Unless the PAPUC issues a final order prior to the end of the statutory suspension period, the initial proposed rate increase will become effectiv</w:t>
      </w:r>
      <w:r>
        <w:rPr>
          <w:rFonts w:eastAsia="Times New Roman"/>
          <w:color w:val="000000"/>
          <w:sz w:val="20"/>
          <w:szCs w:val="20"/>
        </w:rPr>
        <w:t>e on or before November 9, 2021, subject to refund and a subsequent PAPUC order. The Company cannot predict the timing or the ultimate outcome of the rate case review process.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On January 28, 2020, Gas Utility filed a request with the PAPUC to increase it</w:t>
      </w:r>
      <w:r>
        <w:rPr>
          <w:rFonts w:eastAsia="Times New Roman"/>
          <w:color w:val="000000"/>
          <w:sz w:val="20"/>
          <w:szCs w:val="20"/>
        </w:rPr>
        <w:t>s annual base distribution operating revenues by $75 annually. On October 8, 2020, the PAPUC issued a final Order approving a settlement that permits Gas Utility to increase its annual base distribution rates by $20, through a phased approach, with $10 beg</w:t>
      </w:r>
      <w:r>
        <w:rPr>
          <w:rFonts w:eastAsia="Times New Roman"/>
          <w:color w:val="000000"/>
          <w:sz w:val="20"/>
          <w:szCs w:val="20"/>
        </w:rPr>
        <w:t>inning January 1, 2021 and an additional $10 beginning July 1, 2021. Additionally, Gas Utility was authorized to implement a DSIC once Gas Utility total property, plant and equipment less accumulated depreciation reached $2,875. This threshold was achieved</w:t>
      </w:r>
      <w:r>
        <w:rPr>
          <w:rFonts w:eastAsia="Times New Roman"/>
          <w:color w:val="000000"/>
          <w:sz w:val="20"/>
          <w:szCs w:val="20"/>
        </w:rPr>
        <w:t xml:space="preserve"> in December 2020, and Gas Utility implemented a DSIC effective April 1, 2021. The PAPUC’s final Order also includes enhanced COVID-19 customer assistance measures, including the establishment of an Emergency Relief Program for a defined set of payment tro</w:t>
      </w:r>
      <w:r>
        <w:rPr>
          <w:rFonts w:eastAsia="Times New Roman"/>
          <w:color w:val="000000"/>
          <w:sz w:val="20"/>
          <w:szCs w:val="20"/>
        </w:rPr>
        <w:t>ubled customers (“ERP”). Additionally, the PAPUC’s final Order permits Gas Utility to establish a regulatory asset for certain incremental expenses attributable to the ongoing COVID-19 pandemic, most notably expenses related to the ERP and uncollectible ac</w:t>
      </w:r>
      <w:r>
        <w:rPr>
          <w:rFonts w:eastAsia="Times New Roman"/>
          <w:color w:val="000000"/>
          <w:sz w:val="20"/>
          <w:szCs w:val="20"/>
        </w:rPr>
        <w:t>counts expense, through the effective date of rates in the next Gas Utility base rate case, to be recovered and amortized over a 10-year period. In accordance with the terms of the PAPUC’s final Order, Gas Utility is not permitted to file a rate case prior</w:t>
      </w:r>
      <w:r>
        <w:rPr>
          <w:rFonts w:eastAsia="Times New Roman"/>
          <w:color w:val="000000"/>
          <w:sz w:val="20"/>
          <w:szCs w:val="20"/>
        </w:rPr>
        <w:t xml:space="preserve"> to January 1, 2022.</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On January 28, 2019, Gas Utility filed a rate request with the PAPUC to increase the base operating revenues for residential, commercial, and industrial customers throughout its Pennsylvania service territory by an aggregate $71. On October 4, 2019, the PA</w:t>
      </w:r>
      <w:r>
        <w:rPr>
          <w:rFonts w:eastAsia="Times New Roman"/>
          <w:color w:val="000000"/>
          <w:sz w:val="20"/>
          <w:szCs w:val="20"/>
        </w:rPr>
        <w:t>PUC issued a final Order approving a settlement that permitted Gas Utility, effective October 11, 2019, to increase its base distribution revenues by $30 under a single consolidated tariff, approved a plan for uniform class rates, and permitted Gas Utility</w:t>
      </w:r>
      <w:r>
        <w:rPr>
          <w:rFonts w:eastAsia="Times New Roman"/>
          <w:color w:val="000000"/>
          <w:sz w:val="20"/>
          <w:szCs w:val="20"/>
        </w:rPr>
        <w:t xml:space="preserve"> to extend its Energy Efficiency and Conservation and Growth Extension Tariff programs by an additional term of five years. The PAPUC’s final Order approved a negative surcharge, to return to customers $24 of tax benefits experienced by Gas Utility over th</w:t>
      </w:r>
      <w:r>
        <w:rPr>
          <w:rFonts w:eastAsia="Times New Roman"/>
          <w:color w:val="000000"/>
          <w:sz w:val="20"/>
          <w:szCs w:val="20"/>
        </w:rPr>
        <w:t xml:space="preserve">e period January 1, 2018 to June 30, 2018, plus applicable interest, in accordance with the May 17, 2018 PAPUC Order, which became effective for a twelve-month period beginning on October 11, 2019, the effective date of Gas Utility’s new base rates. </w:t>
      </w:r>
    </w:p>
    <w:p w:rsidR="00000000" w:rsidRDefault="005D625B">
      <w:pPr>
        <w:jc w:val="both"/>
        <w:rPr>
          <w:rFonts w:eastAsia="Times New Roman"/>
        </w:rPr>
      </w:pPr>
    </w:p>
    <w:p w:rsidR="00000000" w:rsidRDefault="005D625B">
      <w:pPr>
        <w:divId w:val="1397820234"/>
        <w:rPr>
          <w:rFonts w:eastAsia="Times New Roman"/>
        </w:rPr>
      </w:pPr>
      <w:r>
        <w:rPr>
          <w:rFonts w:eastAsia="Times New Roman"/>
          <w:b/>
          <w:bCs/>
          <w:color w:val="000000"/>
          <w:sz w:val="20"/>
          <w:szCs w:val="20"/>
          <w:u w:val="single"/>
        </w:rPr>
        <w:t>Not</w:t>
      </w:r>
      <w:r>
        <w:rPr>
          <w:rFonts w:eastAsia="Times New Roman"/>
          <w:b/>
          <w:bCs/>
          <w:color w:val="000000"/>
          <w:sz w:val="20"/>
          <w:szCs w:val="20"/>
          <w:u w:val="single"/>
        </w:rPr>
        <w:t>e 7 — Debt</w:t>
      </w:r>
    </w:p>
    <w:p w:rsidR="00000000" w:rsidRDefault="005D625B">
      <w:pPr>
        <w:divId w:val="293750970"/>
        <w:rPr>
          <w:rFonts w:eastAsia="Times New Roman"/>
        </w:rPr>
      </w:pPr>
    </w:p>
    <w:p w:rsidR="00000000" w:rsidRDefault="005D625B">
      <w:pPr>
        <w:jc w:val="both"/>
        <w:rPr>
          <w:rFonts w:eastAsia="Times New Roman"/>
        </w:rPr>
      </w:pPr>
      <w:r>
        <w:rPr>
          <w:rFonts w:eastAsia="Times New Roman"/>
          <w:b/>
          <w:bCs/>
          <w:i/>
          <w:iCs/>
          <w:color w:val="000000"/>
          <w:sz w:val="20"/>
          <w:szCs w:val="20"/>
        </w:rPr>
        <w:t xml:space="preserve">2021 UGI Corporation Senior Credit Facility. </w:t>
      </w:r>
      <w:r>
        <w:rPr>
          <w:rFonts w:eastAsia="Times New Roman"/>
          <w:color w:val="000000"/>
          <w:sz w:val="20"/>
          <w:szCs w:val="20"/>
        </w:rPr>
        <w:t>On May 4, 2021, UGI amended the existing UGI Corporation Senior Credit Facility. The 2021 UGI Corporation Senior Credit Facility (1) extends the maturity date of the previous three-year $300 term lo</w:t>
      </w:r>
      <w:r>
        <w:rPr>
          <w:rFonts w:eastAsia="Times New Roman"/>
          <w:color w:val="000000"/>
          <w:sz w:val="20"/>
          <w:szCs w:val="20"/>
        </w:rPr>
        <w:t>an included in the existing UGI Corporation Senior Credit Facility, which is now due in May 2025; and (2) includes a new four-year term loan commitment, which, effective June 9, 2021, was reduced from $300 to $215, pursuant to the terms of the 2021 UGI Cor</w:t>
      </w:r>
      <w:r>
        <w:rPr>
          <w:rFonts w:eastAsia="Times New Roman"/>
          <w:color w:val="000000"/>
          <w:sz w:val="20"/>
          <w:szCs w:val="20"/>
        </w:rPr>
        <w:t>poration Senior Facility. Proceeds from new borrowings under the 2021 UGI Corporation Senior Credit Facility may be used to finance a portion of the Mountaineer Acquisition and for general corporate purposes.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New borrowings under the 2021 UGI Corporation</w:t>
      </w:r>
      <w:r>
        <w:rPr>
          <w:rFonts w:eastAsia="Times New Roman"/>
          <w:color w:val="000000"/>
          <w:sz w:val="20"/>
          <w:szCs w:val="20"/>
        </w:rPr>
        <w:t xml:space="preserve"> Senior Credit Facility bear interest subject to our election, at either (1) the associated prime rate plus a margin or (2) an adjusted LIBOR or an alternate benchmark rate plus a margin and are due in their </w:t>
      </w:r>
    </w:p>
    <w:p w:rsidR="00000000" w:rsidRDefault="005D625B">
      <w:pPr>
        <w:jc w:val="center"/>
        <w:divId w:val="822159707"/>
        <w:rPr>
          <w:rFonts w:eastAsia="Times New Roman"/>
        </w:rPr>
      </w:pPr>
      <w:r>
        <w:rPr>
          <w:rFonts w:eastAsia="Times New Roman"/>
          <w:color w:val="000000"/>
          <w:sz w:val="20"/>
          <w:szCs w:val="20"/>
        </w:rPr>
        <w:t>18</w:t>
      </w:r>
    </w:p>
    <w:p w:rsidR="00000000" w:rsidRDefault="005D625B">
      <w:pPr>
        <w:rPr>
          <w:rFonts w:eastAsia="Times New Roman"/>
        </w:rPr>
      </w:pPr>
      <w:r>
        <w:rPr>
          <w:rFonts w:eastAsia="Times New Roman"/>
        </w:rPr>
        <w:pict>
          <v:rect id="_x0000_i1044" style="width:0;height:1.5pt" o:hralign="center" o:hrstd="t" o:hr="t" fillcolor="#a0a0a0" stroked="f"/>
        </w:pict>
      </w:r>
    </w:p>
    <w:p w:rsidR="00000000" w:rsidRDefault="005D625B">
      <w:pPr>
        <w:divId w:val="167673653"/>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608699967"/>
        <w:rPr>
          <w:rFonts w:eastAsia="Times New Roman"/>
        </w:rPr>
      </w:pPr>
      <w:r>
        <w:rPr>
          <w:rFonts w:eastAsia="Times New Roman"/>
          <w:b/>
          <w:bCs/>
          <w:color w:val="000000"/>
          <w:sz w:val="20"/>
          <w:szCs w:val="20"/>
        </w:rPr>
        <w:t>UGI CORPORATION AND SUBSIDIARIES</w:t>
      </w:r>
    </w:p>
    <w:p w:rsidR="00000000" w:rsidRDefault="005D625B">
      <w:pPr>
        <w:jc w:val="center"/>
        <w:divId w:val="1260257785"/>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608699967"/>
        <w:rPr>
          <w:rFonts w:eastAsia="Times New Roman"/>
        </w:rPr>
      </w:pPr>
      <w:r>
        <w:rPr>
          <w:rFonts w:eastAsia="Times New Roman"/>
          <w:color w:val="000000"/>
          <w:sz w:val="20"/>
          <w:szCs w:val="20"/>
        </w:rPr>
        <w:t>(unaudited)</w:t>
      </w:r>
    </w:p>
    <w:p w:rsidR="00000000" w:rsidRDefault="005D625B">
      <w:pPr>
        <w:jc w:val="center"/>
        <w:divId w:val="608699967"/>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color w:val="000000"/>
          <w:sz w:val="20"/>
          <w:szCs w:val="20"/>
        </w:rPr>
        <w:t xml:space="preserve">entirety at the maturity date. The applicable margin on the new borrowings, which is dependent upon a ratio of consolidated net indebtedness to consolidated EBITDA, as defined, </w:t>
      </w:r>
      <w:r>
        <w:rPr>
          <w:rFonts w:eastAsia="Times New Roman"/>
          <w:color w:val="000000"/>
          <w:sz w:val="20"/>
          <w:szCs w:val="20"/>
        </w:rPr>
        <w:t>or UGI’s credit ratings, ranges from 0.125% to 1.50% if the prime rate option is elected and 1.125% to 2.50% if the LIBOR option is elected.</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 2021 UGI Corporation Senior Credit Facility restricts the ability of UGI to, among other things, incur additi</w:t>
      </w:r>
      <w:r>
        <w:rPr>
          <w:rFonts w:eastAsia="Times New Roman"/>
          <w:color w:val="000000"/>
          <w:sz w:val="20"/>
          <w:szCs w:val="20"/>
        </w:rPr>
        <w:t xml:space="preserve">onal indebtedness, make investments, incur liens, and effect mergers, consolidations and sales of assets. The 2021 UGI Corporation Senior Credit Facility also requires UGI not to exceed a ratio of consolidated net indebtedness to consolidated EBITDA, each </w:t>
      </w:r>
      <w:r>
        <w:rPr>
          <w:rFonts w:eastAsia="Times New Roman"/>
          <w:color w:val="000000"/>
          <w:sz w:val="20"/>
          <w:szCs w:val="20"/>
        </w:rPr>
        <w:t>as defined and calculated on a rolling four-quarter basis as of the last day of each fiscal quarter of 4.50 to 1.00 and raised to 4.75 to 1.00 during an Acquisition Period, as defined by the agreement. UGI is also required to maintain a ratio of consolidat</w:t>
      </w:r>
      <w:r>
        <w:rPr>
          <w:rFonts w:eastAsia="Times New Roman"/>
          <w:color w:val="000000"/>
          <w:sz w:val="20"/>
          <w:szCs w:val="20"/>
        </w:rPr>
        <w:t xml:space="preserve">ed EBITDA to consolidated interest expense, each as defined, as of the last day of each fiscal quarter of not less than 3.50 to 1.00, except in certain circumstances related to UGI’s credit rating.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During the nine months ended June 30, 2021, the Company</w:t>
      </w:r>
      <w:r>
        <w:rPr>
          <w:rFonts w:eastAsia="Times New Roman"/>
          <w:color w:val="000000"/>
          <w:sz w:val="20"/>
          <w:szCs w:val="20"/>
        </w:rPr>
        <w:t xml:space="preserve"> repaid $285 of borrowings on its five-year $300 revolving credit facility under the 2021 UGI Corporation Senior Credit Facility. A portion of these repayments were funded by the proceeds from the issuance of Equity Units discussed in Note 8. In July 2021,</w:t>
      </w:r>
      <w:r>
        <w:rPr>
          <w:rFonts w:eastAsia="Times New Roman"/>
          <w:color w:val="000000"/>
          <w:sz w:val="20"/>
          <w:szCs w:val="20"/>
        </w:rPr>
        <w:t xml:space="preserve"> the Company repaid the remaining $15 of borrowings outstanding on this revolving credit facility. As a result of this repayment in July, the Company classified these repayments as “Current maturities of long-term debt” on the June 30, 2021 Condensed Conso</w:t>
      </w:r>
      <w:r>
        <w:rPr>
          <w:rFonts w:eastAsia="Times New Roman"/>
          <w:color w:val="000000"/>
          <w:sz w:val="20"/>
          <w:szCs w:val="20"/>
        </w:rPr>
        <w:t>lidated Balance Sheet. The Company intends to draw upon this revolving credit facility concurrent with the closing of the pending Mountaineer Acquisition.</w:t>
      </w:r>
    </w:p>
    <w:p w:rsidR="00000000" w:rsidRDefault="005D625B">
      <w:pPr>
        <w:jc w:val="both"/>
        <w:rPr>
          <w:rFonts w:eastAsia="Times New Roman"/>
        </w:rPr>
      </w:pPr>
      <w:r>
        <w:rPr>
          <w:rFonts w:eastAsia="Times New Roman"/>
          <w:b/>
          <w:bCs/>
          <w:i/>
          <w:iCs/>
          <w:color w:val="000000"/>
          <w:sz w:val="20"/>
          <w:szCs w:val="20"/>
        </w:rPr>
        <w:t>UGI Utilities Senior Notes</w:t>
      </w:r>
      <w:r>
        <w:rPr>
          <w:rFonts w:eastAsia="Times New Roman"/>
          <w:color w:val="000000"/>
          <w:sz w:val="20"/>
          <w:szCs w:val="20"/>
        </w:rPr>
        <w:t>. On May 7, 2021, UGI Utilities entered into a Note Purchase Agreement whic</w:t>
      </w:r>
      <w:r>
        <w:rPr>
          <w:rFonts w:eastAsia="Times New Roman"/>
          <w:color w:val="000000"/>
          <w:sz w:val="20"/>
          <w:szCs w:val="20"/>
        </w:rPr>
        <w:t>h provides for the private placement of (1) $100 aggregate principal amount of 1.59% Senior Notes due June 15, 2026 and (2) $75 aggregate principal amount of 1.64% Senior Notes due September 15, 2026. On June 15, 2021, UGI Utilities issued $100 aggregate p</w:t>
      </w:r>
      <w:r>
        <w:rPr>
          <w:rFonts w:eastAsia="Times New Roman"/>
          <w:color w:val="000000"/>
          <w:sz w:val="20"/>
          <w:szCs w:val="20"/>
        </w:rPr>
        <w:t xml:space="preserve">rincipal amount of 1.59% Senior Notes pursuant to the Note Purchase Agreement. The net proceeds from the issuance of the 1.59% Senior Notes were used to repay short-term borrowings. The 1.64% Senior Notes are expected to be issued in September 2021. These </w:t>
      </w:r>
      <w:r>
        <w:rPr>
          <w:rFonts w:eastAsia="Times New Roman"/>
          <w:color w:val="000000"/>
          <w:sz w:val="20"/>
          <w:szCs w:val="20"/>
        </w:rPr>
        <w:t>Senior Notes are unsecured and will rank equally with UGI Utilities’ existing outstanding senior debt. UGI Utilities expects to use the net proceeds from the issuance of the 1.64% Senior Notes to reduce short-term borrowings and for general corporate purpo</w:t>
      </w:r>
      <w:r>
        <w:rPr>
          <w:rFonts w:eastAsia="Times New Roman"/>
          <w:color w:val="000000"/>
          <w:sz w:val="20"/>
          <w:szCs w:val="20"/>
        </w:rPr>
        <w:t>ses. These Senior Notes include the usual and customary covenants for similar type notes including, among others, maintenance of existence, payment of taxes when due, compliance with laws and maintenance of insurance. These Senior Notes require UGI Utiliti</w:t>
      </w:r>
      <w:r>
        <w:rPr>
          <w:rFonts w:eastAsia="Times New Roman"/>
          <w:color w:val="000000"/>
          <w:sz w:val="20"/>
          <w:szCs w:val="20"/>
        </w:rPr>
        <w:t>es not to exceed a ratio of Consolidated Debt to Consolidated Total Capital, as defined, of 0.65 to 1.00.</w:t>
      </w:r>
    </w:p>
    <w:p w:rsidR="00000000" w:rsidRDefault="005D625B">
      <w:pPr>
        <w:jc w:val="both"/>
        <w:rPr>
          <w:rFonts w:eastAsia="Times New Roman"/>
        </w:rPr>
      </w:pPr>
    </w:p>
    <w:p w:rsidR="00000000" w:rsidRDefault="005D625B">
      <w:pPr>
        <w:divId w:val="992484542"/>
        <w:rPr>
          <w:rFonts w:eastAsia="Times New Roman"/>
        </w:rPr>
      </w:pPr>
      <w:r>
        <w:rPr>
          <w:rFonts w:eastAsia="Times New Roman"/>
          <w:b/>
          <w:bCs/>
          <w:color w:val="000000"/>
          <w:sz w:val="20"/>
          <w:szCs w:val="20"/>
          <w:u w:val="single"/>
        </w:rPr>
        <w:t>Note 8 — Issuance of Equity Units</w:t>
      </w:r>
    </w:p>
    <w:p w:rsidR="00000000" w:rsidRDefault="005D625B">
      <w:pPr>
        <w:divId w:val="878863470"/>
        <w:rPr>
          <w:rFonts w:eastAsia="Times New Roman"/>
        </w:rPr>
      </w:pPr>
    </w:p>
    <w:p w:rsidR="00000000" w:rsidRDefault="005D625B">
      <w:pPr>
        <w:jc w:val="both"/>
        <w:rPr>
          <w:rFonts w:eastAsia="Times New Roman"/>
        </w:rPr>
      </w:pPr>
      <w:r>
        <w:rPr>
          <w:rFonts w:eastAsia="Times New Roman"/>
          <w:color w:val="000000"/>
          <w:sz w:val="20"/>
          <w:szCs w:val="20"/>
        </w:rPr>
        <w:t>On May 25, 2021, the Company issued 2.2 million Equity Units with a total notional value of $220. Each Equity Un</w:t>
      </w:r>
      <w:r>
        <w:rPr>
          <w:rFonts w:eastAsia="Times New Roman"/>
          <w:color w:val="000000"/>
          <w:sz w:val="20"/>
          <w:szCs w:val="20"/>
        </w:rPr>
        <w:t>it has a stated amount of $100 and consists of 1) a 10% undivided beneficial ownership interest in one share of Convertible Preferred Stock with a liquidation preference of $1,000 per share and 2) a 2024 Purchase Contract. The Company received approximatel</w:t>
      </w:r>
      <w:r>
        <w:rPr>
          <w:rFonts w:eastAsia="Times New Roman"/>
          <w:color w:val="000000"/>
          <w:sz w:val="20"/>
          <w:szCs w:val="20"/>
        </w:rPr>
        <w:t>y $213 in proceeds from the issuance of the Equity Units, net of offering expenses and underwriting costs and commissions, and issued 220,000 shares of Convertible Preferred Stock, recording $213 in “Preferred stock” on the accompanying Condensed Consolida</w:t>
      </w:r>
      <w:r>
        <w:rPr>
          <w:rFonts w:eastAsia="Times New Roman"/>
          <w:color w:val="000000"/>
          <w:sz w:val="20"/>
          <w:szCs w:val="20"/>
        </w:rPr>
        <w:t>ted Balance Sheet. The proceeds were used to repay borrowings on the Company’s five-year $300 revolving credit facility under the 2021 UGI Corporation Senior Credit Facility. Concurrent with the closing of the pending Mountaineer Acquisition, the Company i</w:t>
      </w:r>
      <w:r>
        <w:rPr>
          <w:rFonts w:eastAsia="Times New Roman"/>
          <w:color w:val="000000"/>
          <w:sz w:val="20"/>
          <w:szCs w:val="20"/>
        </w:rPr>
        <w:t>ntends to draw upon this revolving credit facility to pay a portion of the purchase price and related fees and expenses, and for general corporate purposes.</w:t>
      </w:r>
    </w:p>
    <w:p w:rsidR="00000000" w:rsidRDefault="005D625B">
      <w:pPr>
        <w:divId w:val="2018843276"/>
        <w:rPr>
          <w:rFonts w:eastAsia="Times New Roman"/>
        </w:rPr>
      </w:pPr>
    </w:p>
    <w:p w:rsidR="00000000" w:rsidRDefault="005D625B">
      <w:pPr>
        <w:jc w:val="both"/>
        <w:rPr>
          <w:rFonts w:eastAsia="Times New Roman"/>
        </w:rPr>
      </w:pPr>
      <w:r>
        <w:rPr>
          <w:rFonts w:eastAsia="Times New Roman"/>
          <w:b/>
          <w:bCs/>
          <w:i/>
          <w:iCs/>
          <w:color w:val="000000"/>
          <w:sz w:val="20"/>
          <w:szCs w:val="20"/>
        </w:rPr>
        <w:t>Convertible Preferred Stock</w:t>
      </w:r>
      <w:r>
        <w:rPr>
          <w:rFonts w:eastAsia="Times New Roman"/>
          <w:b/>
          <w:bCs/>
          <w:color w:val="000000"/>
          <w:sz w:val="20"/>
          <w:szCs w:val="20"/>
        </w:rPr>
        <w:t>.</w:t>
      </w:r>
      <w:r>
        <w:rPr>
          <w:rFonts w:eastAsia="Times New Roman"/>
          <w:color w:val="000000"/>
          <w:sz w:val="20"/>
          <w:szCs w:val="20"/>
        </w:rPr>
        <w:t xml:space="preserve"> Holders of the Convertible Preferred Stock will generally have no vo</w:t>
      </w:r>
      <w:r>
        <w:rPr>
          <w:rFonts w:eastAsia="Times New Roman"/>
          <w:color w:val="000000"/>
          <w:sz w:val="20"/>
          <w:szCs w:val="20"/>
        </w:rPr>
        <w:t>ting rights, except under the limited circumstances as described in the Equity Unit Agreements, and will be entitled to receive cumulative dividends at an initial annual rate of 0.125% when, as, and if declared by the UGI Board of Directors, payable quarte</w:t>
      </w:r>
      <w:r>
        <w:rPr>
          <w:rFonts w:eastAsia="Times New Roman"/>
          <w:color w:val="000000"/>
          <w:sz w:val="20"/>
          <w:szCs w:val="20"/>
        </w:rPr>
        <w:t>rly in arrears on March 1, June 1, September 1 and December 1, commencing September 1, 2021. The Company may elect to pay such dividends in cash, shares of UGI’s common stock or a combination of cash and shares of UGI’s common stock. Unless all accumulated</w:t>
      </w:r>
      <w:r>
        <w:rPr>
          <w:rFonts w:eastAsia="Times New Roman"/>
          <w:color w:val="000000"/>
          <w:sz w:val="20"/>
          <w:szCs w:val="20"/>
        </w:rPr>
        <w:t xml:space="preserve"> and unpaid dividends on the Convertible Preferred Stock for prior completed dividend periods have been declared and paid, the Company may not make any distributions on, or repurchase, any of its capital stock ranking equal or junior to the Convertible Pre</w:t>
      </w:r>
      <w:r>
        <w:rPr>
          <w:rFonts w:eastAsia="Times New Roman"/>
          <w:color w:val="000000"/>
          <w:sz w:val="20"/>
          <w:szCs w:val="20"/>
        </w:rPr>
        <w:t>ferred Stock as to dividends or upon liquidation, subject to certain exceptions.</w:t>
      </w:r>
    </w:p>
    <w:p w:rsidR="00000000" w:rsidRDefault="005D625B">
      <w:pPr>
        <w:divId w:val="165827301"/>
        <w:rPr>
          <w:rFonts w:eastAsia="Times New Roman"/>
        </w:rPr>
      </w:pPr>
    </w:p>
    <w:p w:rsidR="00000000" w:rsidRDefault="005D625B">
      <w:pPr>
        <w:jc w:val="both"/>
        <w:rPr>
          <w:rFonts w:eastAsia="Times New Roman"/>
        </w:rPr>
      </w:pPr>
      <w:r>
        <w:rPr>
          <w:rFonts w:eastAsia="Times New Roman"/>
          <w:color w:val="000000"/>
          <w:sz w:val="20"/>
          <w:szCs w:val="20"/>
        </w:rPr>
        <w:t>The Convertible Preferred Stock has no maturity date and will remain outstanding unless converted by holders or redeemed by the Company. The Company has the option to redeem</w:t>
      </w:r>
      <w:r>
        <w:rPr>
          <w:rFonts w:eastAsia="Times New Roman"/>
          <w:color w:val="000000"/>
          <w:sz w:val="20"/>
          <w:szCs w:val="20"/>
        </w:rPr>
        <w:t xml:space="preserve"> all or a portion of the Convertible Preferred Stock at any time, and from </w:t>
      </w:r>
    </w:p>
    <w:p w:rsidR="00000000" w:rsidRDefault="005D625B">
      <w:pPr>
        <w:jc w:val="center"/>
        <w:divId w:val="1265260885"/>
        <w:rPr>
          <w:rFonts w:eastAsia="Times New Roman"/>
        </w:rPr>
      </w:pPr>
      <w:r>
        <w:rPr>
          <w:rFonts w:eastAsia="Times New Roman"/>
          <w:color w:val="000000"/>
          <w:sz w:val="20"/>
          <w:szCs w:val="20"/>
        </w:rPr>
        <w:t>19</w:t>
      </w:r>
    </w:p>
    <w:p w:rsidR="00000000" w:rsidRDefault="005D625B">
      <w:pPr>
        <w:rPr>
          <w:rFonts w:eastAsia="Times New Roman"/>
        </w:rPr>
      </w:pPr>
      <w:r>
        <w:rPr>
          <w:rFonts w:eastAsia="Times New Roman"/>
        </w:rPr>
        <w:pict>
          <v:rect id="_x0000_i1045" style="width:0;height:1.5pt" o:hralign="center" o:hrstd="t" o:hr="t" fillcolor="#a0a0a0" stroked="f"/>
        </w:pict>
      </w:r>
    </w:p>
    <w:p w:rsidR="00000000" w:rsidRDefault="005D625B">
      <w:pPr>
        <w:divId w:val="1153452887"/>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061440706"/>
        <w:rPr>
          <w:rFonts w:eastAsia="Times New Roman"/>
        </w:rPr>
      </w:pPr>
      <w:r>
        <w:rPr>
          <w:rFonts w:eastAsia="Times New Roman"/>
          <w:b/>
          <w:bCs/>
          <w:color w:val="000000"/>
          <w:sz w:val="20"/>
          <w:szCs w:val="20"/>
        </w:rPr>
        <w:t>UGI CORPORATION AND SUBSIDIARIES</w:t>
      </w:r>
    </w:p>
    <w:p w:rsidR="00000000" w:rsidRDefault="005D625B">
      <w:pPr>
        <w:jc w:val="center"/>
        <w:divId w:val="1489860314"/>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1061440706"/>
        <w:rPr>
          <w:rFonts w:eastAsia="Times New Roman"/>
        </w:rPr>
      </w:pPr>
      <w:r>
        <w:rPr>
          <w:rFonts w:eastAsia="Times New Roman"/>
          <w:color w:val="000000"/>
          <w:sz w:val="20"/>
          <w:szCs w:val="20"/>
        </w:rPr>
        <w:t>(unaudited)</w:t>
      </w:r>
    </w:p>
    <w:p w:rsidR="00000000" w:rsidRDefault="005D625B">
      <w:pPr>
        <w:jc w:val="center"/>
        <w:divId w:val="1061440706"/>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p w:rsidR="00000000" w:rsidRDefault="005D625B">
      <w:pPr>
        <w:jc w:val="both"/>
        <w:rPr>
          <w:rFonts w:eastAsia="Times New Roman"/>
        </w:rPr>
      </w:pPr>
      <w:r>
        <w:rPr>
          <w:rFonts w:eastAsia="Times New Roman"/>
          <w:color w:val="000000"/>
          <w:sz w:val="20"/>
          <w:szCs w:val="20"/>
        </w:rPr>
        <w:t>time to time, on or after September 3, 2024, for cash at a redemption price equal to the liquidation preference of the Convertible Preferred Stock being redeemed plus any accumulated and unpaid dividends. Each share of Conv</w:t>
      </w:r>
      <w:r>
        <w:rPr>
          <w:rFonts w:eastAsia="Times New Roman"/>
          <w:color w:val="000000"/>
          <w:sz w:val="20"/>
          <w:szCs w:val="20"/>
        </w:rPr>
        <w:t>ertible Preferred Stock may be converted at the option of the holders on and after June 1, 2024, only after it has been separated from the Equity Units and, prior to June 1, 2024, only under limited circumstances in connection with a fundamental change, as</w:t>
      </w:r>
      <w:r>
        <w:rPr>
          <w:rFonts w:eastAsia="Times New Roman"/>
          <w:color w:val="000000"/>
          <w:sz w:val="20"/>
          <w:szCs w:val="20"/>
        </w:rPr>
        <w:t xml:space="preserve"> defined in the Equity Unit Agreements. The Company will settle conversions by paying or delivering (i) one share of UGI’s 0.125% Series B preferred stock (or, for conversions in connection with a redemption of the Convertible Preferred Stock, up to $1,000</w:t>
      </w:r>
      <w:r>
        <w:rPr>
          <w:rFonts w:eastAsia="Times New Roman"/>
          <w:color w:val="000000"/>
          <w:sz w:val="20"/>
          <w:szCs w:val="20"/>
        </w:rPr>
        <w:t xml:space="preserve"> per share in cash plus all accumulated but unpaid dividends to, but excluding, the payment date immediately preceding the relevant conversion date) per share of Convertible Preferred Stock being converted; and (ii) to the extent the conversion value excee</w:t>
      </w:r>
      <w:r>
        <w:rPr>
          <w:rFonts w:eastAsia="Times New Roman"/>
          <w:color w:val="000000"/>
          <w:sz w:val="20"/>
          <w:szCs w:val="20"/>
        </w:rPr>
        <w:t>ds the liquidation preference of the Convertible Preferred Stock, shares of UGI’s common stock.</w:t>
      </w:r>
      <w:r>
        <w:rPr>
          <w:rFonts w:eastAsia="Times New Roman"/>
          <w:color w:val="000000"/>
        </w:rPr>
        <w:t xml:space="preserve"> </w:t>
      </w:r>
      <w:r>
        <w:rPr>
          <w:rFonts w:eastAsia="Times New Roman"/>
          <w:color w:val="000000"/>
          <w:sz w:val="20"/>
          <w:szCs w:val="20"/>
        </w:rPr>
        <w:t>The conversion rate is initially 19.0215 shares of UGI’s common stock per one share of Convertible Preferred Stock, which is equivalent to an initial conversion</w:t>
      </w:r>
      <w:r>
        <w:rPr>
          <w:rFonts w:eastAsia="Times New Roman"/>
          <w:color w:val="000000"/>
          <w:sz w:val="20"/>
          <w:szCs w:val="20"/>
        </w:rPr>
        <w:t xml:space="preserve"> price of approximately $52.57 per share of UGI’s common stock. </w:t>
      </w:r>
    </w:p>
    <w:p w:rsidR="00000000" w:rsidRDefault="005D625B">
      <w:pPr>
        <w:divId w:val="1107196777"/>
        <w:rPr>
          <w:rFonts w:eastAsia="Times New Roman"/>
        </w:rPr>
      </w:pPr>
    </w:p>
    <w:p w:rsidR="00000000" w:rsidRDefault="005D625B">
      <w:pPr>
        <w:jc w:val="both"/>
        <w:rPr>
          <w:rFonts w:eastAsia="Times New Roman"/>
        </w:rPr>
      </w:pPr>
      <w:r>
        <w:rPr>
          <w:rFonts w:eastAsia="Times New Roman"/>
          <w:color w:val="000000"/>
          <w:sz w:val="20"/>
          <w:szCs w:val="20"/>
        </w:rPr>
        <w:t>The Convertible Preferred Stock can be remarketed during either (i) an optional remarketing period beginning on, and including, March 1, 2024 and ending on, and including, May 13, 2024 or (</w:t>
      </w:r>
      <w:r>
        <w:rPr>
          <w:rFonts w:eastAsia="Times New Roman"/>
          <w:color w:val="000000"/>
          <w:sz w:val="20"/>
          <w:szCs w:val="20"/>
        </w:rPr>
        <w:t>ii) a final remarketing period beginning on, and including, May 23, 2024 and ending on, and including, May 30, 2024. In connection with a successful remarketing, the conversion rate and dividend rate of the Convertible Preferred Stock may be increased, and</w:t>
      </w:r>
      <w:r>
        <w:rPr>
          <w:rFonts w:eastAsia="Times New Roman"/>
          <w:color w:val="000000"/>
          <w:sz w:val="20"/>
          <w:szCs w:val="20"/>
        </w:rPr>
        <w:t xml:space="preserve"> the earliest redemption date for the Convertible Preferred Stock may be changed to a later date that is on or before August 29, 2025.</w:t>
      </w:r>
    </w:p>
    <w:p w:rsidR="00000000" w:rsidRDefault="005D625B">
      <w:pPr>
        <w:divId w:val="190456524"/>
        <w:rPr>
          <w:rFonts w:eastAsia="Times New Roman"/>
        </w:rPr>
      </w:pPr>
    </w:p>
    <w:p w:rsidR="00000000" w:rsidRDefault="005D625B">
      <w:pPr>
        <w:jc w:val="both"/>
        <w:rPr>
          <w:rFonts w:eastAsia="Times New Roman"/>
        </w:rPr>
      </w:pPr>
      <w:r>
        <w:rPr>
          <w:rFonts w:eastAsia="Times New Roman"/>
          <w:b/>
          <w:bCs/>
          <w:i/>
          <w:iCs/>
          <w:color w:val="000000"/>
          <w:sz w:val="20"/>
          <w:szCs w:val="20"/>
        </w:rPr>
        <w:t>2024 Purchase Contracts.</w:t>
      </w:r>
      <w:r>
        <w:rPr>
          <w:rFonts w:eastAsia="Times New Roman"/>
          <w:color w:val="000000"/>
          <w:sz w:val="20"/>
          <w:szCs w:val="20"/>
        </w:rPr>
        <w:t xml:space="preserve"> The 2024 Purchase Contracts obligate the holders to pay $100 to UGI to purchase a variable num</w:t>
      </w:r>
      <w:r>
        <w:rPr>
          <w:rFonts w:eastAsia="Times New Roman"/>
          <w:color w:val="000000"/>
          <w:sz w:val="20"/>
          <w:szCs w:val="20"/>
        </w:rPr>
        <w:t>ber of shares of UGI’s common stock on the purchase contract settlement date, which is scheduled to occur on June 1, 2024. The number of shares of UGI’s common stock to be issued upon settlement of each 2024 Purchase Contract on the purchase contract settl</w:t>
      </w:r>
      <w:r>
        <w:rPr>
          <w:rFonts w:eastAsia="Times New Roman"/>
          <w:color w:val="000000"/>
          <w:sz w:val="20"/>
          <w:szCs w:val="20"/>
        </w:rPr>
        <w:t>ement date will be equal to $100 divided by the market value per share of UGI’s common stock, which will be determined over a market value averaging period preceding the settlement date, subject to a maximum settlement rate of 2.2826 shares of UGI’s common</w:t>
      </w:r>
      <w:r>
        <w:rPr>
          <w:rFonts w:eastAsia="Times New Roman"/>
          <w:color w:val="000000"/>
          <w:sz w:val="20"/>
          <w:szCs w:val="20"/>
        </w:rPr>
        <w:t xml:space="preserve"> stock per 2024 Purchase Contract, subject to adjustment. The initial maximum settlement rate of the 2024 Purchase Contracts is approximately equal to $100 divided by the last reported sale price of $43.81 per share of UGI’s common stock on May 17, 2021. A</w:t>
      </w:r>
      <w:r>
        <w:rPr>
          <w:rFonts w:eastAsia="Times New Roman"/>
          <w:color w:val="000000"/>
          <w:sz w:val="20"/>
          <w:szCs w:val="20"/>
        </w:rPr>
        <w:t xml:space="preserve">bsent any fundamental changes, as defined in the Equity Unit Agreements, the holders can settle the 2024 Purchase Contracts early, subject to certain exceptions and conditions. Upon early settlement of any 2024 Purchase Contracts, other than in connection </w:t>
      </w:r>
      <w:r>
        <w:rPr>
          <w:rFonts w:eastAsia="Times New Roman"/>
          <w:color w:val="000000"/>
          <w:sz w:val="20"/>
          <w:szCs w:val="20"/>
        </w:rPr>
        <w:t>with a fundamental change, the Company will deliver the number of shares of UGI’s common stock equal to 85% of the number of shares of UGI’s common stock that would have otherwise been deliverable.</w:t>
      </w:r>
    </w:p>
    <w:p w:rsidR="00000000" w:rsidRDefault="005D625B">
      <w:pPr>
        <w:divId w:val="44523604"/>
        <w:rPr>
          <w:rFonts w:eastAsia="Times New Roman"/>
        </w:rPr>
      </w:pPr>
    </w:p>
    <w:p w:rsidR="00000000" w:rsidRDefault="005D625B">
      <w:pPr>
        <w:jc w:val="both"/>
        <w:rPr>
          <w:rFonts w:eastAsia="Times New Roman"/>
        </w:rPr>
      </w:pPr>
      <w:r>
        <w:rPr>
          <w:rFonts w:eastAsia="Times New Roman"/>
          <w:color w:val="000000"/>
          <w:sz w:val="20"/>
          <w:szCs w:val="20"/>
        </w:rPr>
        <w:t>The Company will pay holders of the 2024 Purchase Contra</w:t>
      </w:r>
      <w:r>
        <w:rPr>
          <w:rFonts w:eastAsia="Times New Roman"/>
          <w:color w:val="000000"/>
          <w:sz w:val="20"/>
          <w:szCs w:val="20"/>
        </w:rPr>
        <w:t>cts quarterly contract adjustment payments at an annual rate of 7.125%, payable quarterly in arrears on March 1, June 1, September 1 and December 1, commencing September 1, 2021.</w:t>
      </w:r>
      <w:r>
        <w:rPr>
          <w:rFonts w:eastAsia="Times New Roman"/>
          <w:color w:val="000000"/>
        </w:rPr>
        <w:t xml:space="preserve"> </w:t>
      </w:r>
      <w:r>
        <w:rPr>
          <w:rFonts w:eastAsia="Times New Roman"/>
          <w:color w:val="000000"/>
          <w:sz w:val="20"/>
          <w:szCs w:val="20"/>
        </w:rPr>
        <w:t>The Company may elect to pay such contract adjustment payments in cash, share</w:t>
      </w:r>
      <w:r>
        <w:rPr>
          <w:rFonts w:eastAsia="Times New Roman"/>
          <w:color w:val="000000"/>
          <w:sz w:val="20"/>
          <w:szCs w:val="20"/>
        </w:rPr>
        <w:t>s of UGI’s common stock or a combination of cash and shares of UGI’s common stock. The Company may defer the contract adjustment payments for one or more consecutive periods but generally not beyond the purchase contract settlement date.</w:t>
      </w:r>
      <w:r>
        <w:rPr>
          <w:rFonts w:eastAsia="Times New Roman"/>
          <w:color w:val="000000"/>
        </w:rPr>
        <w:t xml:space="preserve"> </w:t>
      </w:r>
      <w:r>
        <w:rPr>
          <w:rFonts w:eastAsia="Times New Roman"/>
          <w:color w:val="000000"/>
          <w:sz w:val="20"/>
          <w:szCs w:val="20"/>
        </w:rPr>
        <w:t>If contract adjust</w:t>
      </w:r>
      <w:r>
        <w:rPr>
          <w:rFonts w:eastAsia="Times New Roman"/>
          <w:color w:val="000000"/>
          <w:sz w:val="20"/>
          <w:szCs w:val="20"/>
        </w:rPr>
        <w:t>ment payments are deferred, the Company will be subject to certain dividend, distribution, and other restrictions related to its capital stock as defined in the Equity Unit Agreements.</w:t>
      </w:r>
    </w:p>
    <w:p w:rsidR="00000000" w:rsidRDefault="005D625B">
      <w:pPr>
        <w:divId w:val="184683649"/>
        <w:rPr>
          <w:rFonts w:eastAsia="Times New Roman"/>
        </w:rPr>
      </w:pPr>
    </w:p>
    <w:p w:rsidR="00000000" w:rsidRDefault="005D625B">
      <w:pPr>
        <w:jc w:val="both"/>
        <w:rPr>
          <w:rFonts w:eastAsia="Times New Roman"/>
        </w:rPr>
      </w:pPr>
      <w:r>
        <w:rPr>
          <w:rFonts w:eastAsia="Times New Roman"/>
          <w:color w:val="000000"/>
          <w:sz w:val="20"/>
          <w:szCs w:val="20"/>
        </w:rPr>
        <w:t>The present value of the quarterly contract adjustment payments liability was $45 upon issuance of the Equity Units and is recorded in “Other current liabilities” and “Other noncurrent liabilities” on the Condensed Consolidated Balance Sheet. Such liabilit</w:t>
      </w:r>
      <w:r>
        <w:rPr>
          <w:rFonts w:eastAsia="Times New Roman"/>
          <w:color w:val="000000"/>
          <w:sz w:val="20"/>
          <w:szCs w:val="20"/>
        </w:rPr>
        <w:t>y reduced “UGI Common Stock” on the Condensed Consolidated Balance Sheet at inception. As each quarterly contract adjustment payment is made, the related liability is reduced and the difference between the cash payment and the present value will accrete to</w:t>
      </w:r>
      <w:r>
        <w:rPr>
          <w:rFonts w:eastAsia="Times New Roman"/>
          <w:color w:val="000000"/>
          <w:sz w:val="20"/>
          <w:szCs w:val="20"/>
        </w:rPr>
        <w:t xml:space="preserve"> “Interest expense” on the Condensed Consolidated Statements of Income. This accretion was not material for the three and nine months ended June 30, 2021.</w:t>
      </w:r>
    </w:p>
    <w:p w:rsidR="00000000" w:rsidRDefault="005D625B">
      <w:pPr>
        <w:jc w:val="both"/>
        <w:rPr>
          <w:rFonts w:eastAsia="Times New Roman"/>
        </w:rPr>
      </w:pPr>
    </w:p>
    <w:p w:rsidR="00000000" w:rsidRDefault="005D625B">
      <w:pPr>
        <w:jc w:val="center"/>
        <w:divId w:val="840201160"/>
        <w:rPr>
          <w:rFonts w:eastAsia="Times New Roman"/>
        </w:rPr>
      </w:pPr>
      <w:r>
        <w:rPr>
          <w:rFonts w:eastAsia="Times New Roman"/>
          <w:color w:val="000000"/>
          <w:sz w:val="20"/>
          <w:szCs w:val="20"/>
        </w:rPr>
        <w:t>20</w:t>
      </w:r>
    </w:p>
    <w:p w:rsidR="00000000" w:rsidRDefault="005D625B">
      <w:pPr>
        <w:rPr>
          <w:rFonts w:eastAsia="Times New Roman"/>
        </w:rPr>
      </w:pPr>
      <w:r>
        <w:rPr>
          <w:rFonts w:eastAsia="Times New Roman"/>
        </w:rPr>
        <w:pict>
          <v:rect id="_x0000_i1046" style="width:0;height:1.5pt" o:hralign="center" o:hrstd="t" o:hr="t" fillcolor="#a0a0a0" stroked="f"/>
        </w:pict>
      </w:r>
    </w:p>
    <w:p w:rsidR="00000000" w:rsidRDefault="005D625B">
      <w:pPr>
        <w:divId w:val="846408443"/>
        <w:rPr>
          <w:rFonts w:eastAsia="Times New Roman"/>
        </w:rPr>
      </w:pPr>
      <w:hyperlink w:anchor="i8e9ae631f70f4c00b4ea140d922613cd_7" w:history="1">
        <w:r>
          <w:rPr>
            <w:rStyle w:val="a3"/>
            <w:rFonts w:eastAsia="Times New Roman"/>
            <w:sz w:val="20"/>
            <w:szCs w:val="20"/>
          </w:rPr>
          <w:t>Ta</w:t>
        </w:r>
        <w:r>
          <w:rPr>
            <w:rStyle w:val="a3"/>
            <w:rFonts w:eastAsia="Times New Roman"/>
            <w:sz w:val="20"/>
            <w:szCs w:val="20"/>
          </w:rPr>
          <w:t>ble of Contents</w:t>
        </w:r>
      </w:hyperlink>
    </w:p>
    <w:p w:rsidR="00000000" w:rsidRDefault="005D625B">
      <w:pPr>
        <w:jc w:val="center"/>
        <w:divId w:val="717970991"/>
        <w:rPr>
          <w:rFonts w:eastAsia="Times New Roman"/>
        </w:rPr>
      </w:pPr>
      <w:r>
        <w:rPr>
          <w:rFonts w:eastAsia="Times New Roman"/>
          <w:b/>
          <w:bCs/>
          <w:color w:val="000000"/>
          <w:sz w:val="20"/>
          <w:szCs w:val="20"/>
        </w:rPr>
        <w:t>UGI CORPORATION AND SUBSIDIARIES</w:t>
      </w:r>
    </w:p>
    <w:p w:rsidR="00000000" w:rsidRDefault="005D625B">
      <w:pPr>
        <w:jc w:val="center"/>
        <w:divId w:val="1692098961"/>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717970991"/>
        <w:rPr>
          <w:rFonts w:eastAsia="Times New Roman"/>
        </w:rPr>
      </w:pPr>
      <w:r>
        <w:rPr>
          <w:rFonts w:eastAsia="Times New Roman"/>
          <w:color w:val="000000"/>
          <w:sz w:val="20"/>
          <w:szCs w:val="20"/>
        </w:rPr>
        <w:t>(unaudited)</w:t>
      </w:r>
    </w:p>
    <w:p w:rsidR="00000000" w:rsidRDefault="005D625B">
      <w:pPr>
        <w:jc w:val="center"/>
        <w:divId w:val="717970991"/>
        <w:rPr>
          <w:rFonts w:eastAsia="Times New Roman"/>
        </w:rPr>
      </w:pPr>
      <w:r>
        <w:rPr>
          <w:rFonts w:eastAsia="Times New Roman"/>
          <w:color w:val="000000"/>
          <w:sz w:val="20"/>
          <w:szCs w:val="20"/>
        </w:rPr>
        <w:t>(Currency in millions, except per share amounts and where indicated otherwise)</w:t>
      </w:r>
    </w:p>
    <w:p w:rsidR="00000000" w:rsidRDefault="005D625B">
      <w:pPr>
        <w:ind w:hanging="540"/>
        <w:jc w:val="both"/>
        <w:rPr>
          <w:rFonts w:eastAsia="Times New Roman"/>
        </w:rPr>
      </w:pPr>
      <w:r>
        <w:rPr>
          <w:rFonts w:eastAsia="Times New Roman"/>
          <w:b/>
          <w:bCs/>
          <w:color w:val="000000"/>
          <w:sz w:val="20"/>
          <w:szCs w:val="20"/>
          <w:u w:val="single"/>
        </w:rPr>
        <w:t>Note 9 — Commitments and Contingencies</w:t>
      </w:r>
      <w:r>
        <w:rPr>
          <w:rFonts w:eastAsia="Times New Roman"/>
          <w:b/>
          <w:bCs/>
          <w:color w:val="000000"/>
          <w:sz w:val="20"/>
          <w:szCs w:val="20"/>
        </w:rPr>
        <w:t xml:space="preserve"> </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Environmental Matters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UGI Utilities</w:t>
      </w:r>
    </w:p>
    <w:p w:rsidR="00000000" w:rsidRDefault="005D625B">
      <w:pPr>
        <w:jc w:val="both"/>
        <w:rPr>
          <w:rFonts w:eastAsia="Times New Roman"/>
        </w:rPr>
      </w:pPr>
    </w:p>
    <w:p w:rsidR="00000000" w:rsidRDefault="005D625B">
      <w:pPr>
        <w:jc w:val="both"/>
        <w:divId w:val="1707295644"/>
        <w:rPr>
          <w:rFonts w:eastAsia="Times New Roman"/>
        </w:rPr>
      </w:pPr>
      <w:r>
        <w:rPr>
          <w:rFonts w:eastAsia="Times New Roman"/>
          <w:color w:val="000000"/>
          <w:sz w:val="20"/>
          <w:szCs w:val="20"/>
        </w:rPr>
        <w:t>From the late 1800s through the mid-1900s, UGI Utilities and its former subsidiaries owned and operated a number of MGPs prior to the general availability of natural gas. Some constituents of coal tars and other residues of the manufactured gas process are</w:t>
      </w:r>
      <w:r>
        <w:rPr>
          <w:rFonts w:eastAsia="Times New Roman"/>
          <w:color w:val="000000"/>
          <w:sz w:val="20"/>
          <w:szCs w:val="20"/>
        </w:rPr>
        <w:t xml:space="preserve"> today considered hazardous substances under the Superfund Law and may be present on the sites of former MGPs. Between 1882 and 1953, UGI Utilities owned the stock of subsidiary gas companies in Pennsylvania and elsewhere and also operated the businesses o</w:t>
      </w:r>
      <w:r>
        <w:rPr>
          <w:rFonts w:eastAsia="Times New Roman"/>
          <w:color w:val="000000"/>
          <w:sz w:val="20"/>
          <w:szCs w:val="20"/>
        </w:rPr>
        <w:t>f some gas companies under agreement. By the early 1950s, UGI Utilities divested all of its utility operations other than certain gas and electric operations. Beginning in 2006 and 2008, UGI Utilities also owned and operated two acquired subsidiaries, with</w:t>
      </w:r>
      <w:r>
        <w:rPr>
          <w:rFonts w:eastAsia="Times New Roman"/>
          <w:color w:val="000000"/>
          <w:sz w:val="20"/>
          <w:szCs w:val="20"/>
        </w:rPr>
        <w:t xml:space="preserve"> similar histories of owning, and in some cases operating, MGPs in Pennsylvania. </w:t>
      </w:r>
    </w:p>
    <w:p w:rsidR="00000000" w:rsidRDefault="005D625B">
      <w:pPr>
        <w:jc w:val="both"/>
        <w:rPr>
          <w:rFonts w:eastAsia="Times New Roman"/>
        </w:rPr>
      </w:pPr>
      <w:r>
        <w:rPr>
          <w:rFonts w:eastAsia="Times New Roman"/>
          <w:color w:val="000000"/>
          <w:sz w:val="20"/>
          <w:szCs w:val="20"/>
        </w:rPr>
        <w:t xml:space="preserve">Prior to October 1, 2020, UGI Utilities was subject to three COAs with the PADEP to address the remediation of specified former MGP sites in Pennsylvania and, in the case of </w:t>
      </w:r>
      <w:r>
        <w:rPr>
          <w:rFonts w:eastAsia="Times New Roman"/>
          <w:color w:val="000000"/>
          <w:sz w:val="20"/>
          <w:szCs w:val="20"/>
        </w:rPr>
        <w:t>one COA, the plugging of specified natural gas wells. Effective October 1, 2020, the COAs were consolidated into one agreement that supersedes the existing agreements, and which is scheduled to terminate at the end of 2031. In accordance with the consolida</w:t>
      </w:r>
      <w:r>
        <w:rPr>
          <w:rFonts w:eastAsia="Times New Roman"/>
          <w:color w:val="000000"/>
          <w:sz w:val="20"/>
          <w:szCs w:val="20"/>
        </w:rPr>
        <w:t>ted COA, UGI Utilities is required to either obtain a certain number of points per calendar year based on defined eligible environmental investigatory and/or remedial activities at the MGPs, or make expenditures for such activities in an amount equal to an</w:t>
      </w:r>
      <w:r>
        <w:rPr>
          <w:rFonts w:eastAsia="Times New Roman"/>
          <w:color w:val="000000"/>
          <w:sz w:val="20"/>
          <w:szCs w:val="20"/>
        </w:rPr>
        <w:t xml:space="preserve"> annual environmental minimum expenditure threshold. The annual minimum expenditure required under the consolidated COA is $5. The consolidated COA permits the transfer of the specified wells, with related costs counted towards the annual minimum expenditu</w:t>
      </w:r>
      <w:r>
        <w:rPr>
          <w:rFonts w:eastAsia="Times New Roman"/>
          <w:color w:val="000000"/>
          <w:sz w:val="20"/>
          <w:szCs w:val="20"/>
        </w:rPr>
        <w:t>re. At June 30, 2021, September 30, 2020 and June 30, 2020, our aggregate estimated accrued liabilities for environmental investigation and remediation costs related to the current COA and the predecessor agreements totaled $49, $53 and $55, respectively.</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We do not expect the costs for investigation and remediation of hazardous substances at Pennsylvania MGP sites to be material to UGI Utilities’ results of operations because UGI Utilities receives ratemaking recovery of actual environmental investigation</w:t>
      </w:r>
      <w:r>
        <w:rPr>
          <w:rFonts w:eastAsia="Times New Roman"/>
          <w:color w:val="000000"/>
          <w:sz w:val="20"/>
          <w:szCs w:val="20"/>
        </w:rPr>
        <w:t xml:space="preserve"> and remediation costs associated with the sites covered by the COA. This ratemaking recognition reconciles the accumulated difference between historical costs and rate recoveries with an estimate of future costs associated with the sites. As such, UGI Uti</w:t>
      </w:r>
      <w:r>
        <w:rPr>
          <w:rFonts w:eastAsia="Times New Roman"/>
          <w:color w:val="000000"/>
          <w:sz w:val="20"/>
          <w:szCs w:val="20"/>
        </w:rPr>
        <w:t>lities has recorded an associated regulatory asset for these costs because recovery of these costs from customers is probable (see Note 6).</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From time to time, UGI Utilities is notified of sites outside Pennsylvania on which private parties allege MGPs we</w:t>
      </w:r>
      <w:r>
        <w:rPr>
          <w:rFonts w:eastAsia="Times New Roman"/>
          <w:color w:val="000000"/>
          <w:sz w:val="20"/>
          <w:szCs w:val="20"/>
        </w:rPr>
        <w:t>re formerly owned or operated by UGI Utilities or owned or operated by a former subsidiary. Such parties generally investigate the extent of environmental contamination or perform environmental remediation. Management believes that under applicable law UGI</w:t>
      </w:r>
      <w:r>
        <w:rPr>
          <w:rFonts w:eastAsia="Times New Roman"/>
          <w:color w:val="000000"/>
          <w:sz w:val="20"/>
          <w:szCs w:val="20"/>
        </w:rPr>
        <w:t xml:space="preserve"> Utilities should not be liable in those instances in which a former subsidiary owned or operated an MGP. There could be, however, significant future costs of an uncertain amount associated with environmental damage caused by MGPs outside Pennsylvania that</w:t>
      </w:r>
      <w:r>
        <w:rPr>
          <w:rFonts w:eastAsia="Times New Roman"/>
          <w:color w:val="000000"/>
          <w:sz w:val="20"/>
          <w:szCs w:val="20"/>
        </w:rPr>
        <w:t xml:space="preserve"> UGI Utilities directly operated, or that were owned or operated by a former subsidiary of UGI Utilities if a court were to conclude that (1) the subsidiary’s separate corporate form should be disregarded, or (2) UGI Utilities should be considered to have </w:t>
      </w:r>
      <w:r>
        <w:rPr>
          <w:rFonts w:eastAsia="Times New Roman"/>
          <w:color w:val="000000"/>
          <w:sz w:val="20"/>
          <w:szCs w:val="20"/>
        </w:rPr>
        <w:t>been an operator because of its conduct with respect to its subsidiary’s MGP. Neither the undiscounted nor the accrued liability for environmental investigation and cleanup costs for UGI Utilities’ MGP sites outside Pennsylvania was material for all period</w:t>
      </w:r>
      <w:r>
        <w:rPr>
          <w:rFonts w:eastAsia="Times New Roman"/>
          <w:color w:val="000000"/>
          <w:sz w:val="20"/>
          <w:szCs w:val="20"/>
        </w:rPr>
        <w:t>s presented.</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AmeriGas Propane</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 xml:space="preserve">AmeriGas OLP Saranac Lake. </w:t>
      </w:r>
      <w:r>
        <w:rPr>
          <w:rFonts w:eastAsia="Times New Roman"/>
          <w:color w:val="000000"/>
          <w:sz w:val="20"/>
          <w:szCs w:val="20"/>
        </w:rPr>
        <w:t xml:space="preserve">In 2008, the NYDEC notified AmeriGas OLP that the NYDEC had placed property purportedly owned by AmeriGas OLP in Saranac Lake, New York on the New York State Registry of Inactive Hazardous Waste </w:t>
      </w:r>
      <w:r>
        <w:rPr>
          <w:rFonts w:eastAsia="Times New Roman"/>
          <w:color w:val="000000"/>
          <w:sz w:val="20"/>
          <w:szCs w:val="20"/>
        </w:rPr>
        <w:t xml:space="preserve">Disposal Sites. A site characterization study performed by the NYDEC disclosed contamination related to a former MGP. AmeriGas OLP responded to the NYDEC in 2009 to dispute the contention it was a PRP as it did not operate the MGP and appeared to only own </w:t>
      </w:r>
      <w:r>
        <w:rPr>
          <w:rFonts w:eastAsia="Times New Roman"/>
          <w:color w:val="000000"/>
          <w:sz w:val="20"/>
          <w:szCs w:val="20"/>
        </w:rPr>
        <w:t>a portion of the site. In 2017, the NYDEC communicated to AmeriGas OLP that the NYDEC had previously issued three RODs related to remediation of the site totaling approximately $28 and requested additional information regarding AmeriGas OLP’s purported own</w:t>
      </w:r>
      <w:r>
        <w:rPr>
          <w:rFonts w:eastAsia="Times New Roman"/>
          <w:color w:val="000000"/>
          <w:sz w:val="20"/>
          <w:szCs w:val="20"/>
        </w:rPr>
        <w:t>ership. AmeriGas OLP renewed its challenge to designation as a PRP and identified potential defenses. The NYDEC subsequently identified a third party PRP with respect to the site.</w:t>
      </w:r>
    </w:p>
    <w:p w:rsidR="00000000" w:rsidRDefault="005D625B">
      <w:pPr>
        <w:jc w:val="both"/>
        <w:rPr>
          <w:rFonts w:eastAsia="Times New Roman"/>
        </w:rPr>
      </w:pPr>
    </w:p>
    <w:p w:rsidR="00000000" w:rsidRDefault="005D625B">
      <w:pPr>
        <w:jc w:val="center"/>
        <w:divId w:val="1200437389"/>
        <w:rPr>
          <w:rFonts w:eastAsia="Times New Roman"/>
        </w:rPr>
      </w:pPr>
      <w:r>
        <w:rPr>
          <w:rFonts w:eastAsia="Times New Roman"/>
          <w:color w:val="000000"/>
          <w:sz w:val="20"/>
          <w:szCs w:val="20"/>
        </w:rPr>
        <w:t>21</w:t>
      </w:r>
    </w:p>
    <w:p w:rsidR="00000000" w:rsidRDefault="005D625B">
      <w:pPr>
        <w:rPr>
          <w:rFonts w:eastAsia="Times New Roman"/>
        </w:rPr>
      </w:pPr>
      <w:r>
        <w:rPr>
          <w:rFonts w:eastAsia="Times New Roman"/>
        </w:rPr>
        <w:pict>
          <v:rect id="_x0000_i1047" style="width:0;height:1.5pt" o:hralign="center" o:hrstd="t" o:hr="t" fillcolor="#a0a0a0" stroked="f"/>
        </w:pict>
      </w:r>
    </w:p>
    <w:p w:rsidR="00000000" w:rsidRDefault="005D625B">
      <w:pPr>
        <w:divId w:val="365257592"/>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983512037"/>
        <w:rPr>
          <w:rFonts w:eastAsia="Times New Roman"/>
        </w:rPr>
      </w:pPr>
      <w:r>
        <w:rPr>
          <w:rFonts w:eastAsia="Times New Roman"/>
          <w:b/>
          <w:bCs/>
          <w:color w:val="000000"/>
          <w:sz w:val="20"/>
          <w:szCs w:val="20"/>
        </w:rPr>
        <w:t>UGI CORPORATION AND SUBSIDIARIES</w:t>
      </w:r>
    </w:p>
    <w:p w:rsidR="00000000" w:rsidRDefault="005D625B">
      <w:pPr>
        <w:jc w:val="center"/>
        <w:divId w:val="243927366"/>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983512037"/>
        <w:rPr>
          <w:rFonts w:eastAsia="Times New Roman"/>
        </w:rPr>
      </w:pPr>
      <w:r>
        <w:rPr>
          <w:rFonts w:eastAsia="Times New Roman"/>
          <w:color w:val="000000"/>
          <w:sz w:val="20"/>
          <w:szCs w:val="20"/>
        </w:rPr>
        <w:t>(unaudited)</w:t>
      </w:r>
    </w:p>
    <w:p w:rsidR="00000000" w:rsidRDefault="005D625B">
      <w:pPr>
        <w:jc w:val="center"/>
        <w:divId w:val="983512037"/>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color w:val="000000"/>
          <w:sz w:val="20"/>
          <w:szCs w:val="20"/>
        </w:rPr>
        <w:t>The NYDEC commenced implementation of the remediation plan in the spring of 2018. Based on our evaluation of the available information as of June 30, 2021, the Partnership has an undiscounted environmental remediation liability of $8 related to the site. O</w:t>
      </w:r>
      <w:r>
        <w:rPr>
          <w:rFonts w:eastAsia="Times New Roman"/>
          <w:color w:val="000000"/>
          <w:sz w:val="20"/>
          <w:szCs w:val="20"/>
        </w:rPr>
        <w:t>ur share of the actual remediation costs could be significantly more or less than the accrued amount.</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Other Matters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 xml:space="preserve">Purported Class Action Lawsuits. </w:t>
      </w:r>
      <w:r>
        <w:rPr>
          <w:rFonts w:eastAsia="Times New Roman"/>
          <w:color w:val="000000"/>
          <w:sz w:val="20"/>
          <w:szCs w:val="20"/>
        </w:rPr>
        <w:t>Between May and October of 2014, purported class action lawsuits were filed in multiple jurisdictions a</w:t>
      </w:r>
      <w:r>
        <w:rPr>
          <w:rFonts w:eastAsia="Times New Roman"/>
          <w:color w:val="000000"/>
          <w:sz w:val="20"/>
          <w:szCs w:val="20"/>
        </w:rPr>
        <w:t xml:space="preserve">gainst the Partnership/UGI and a competitor by certain of their direct and indirect customers.  The class action lawsuits allege, among other things, that the Partnership and its competitor colluded, beginning in 2008, to reduce the fill level of portable </w:t>
      </w:r>
      <w:r>
        <w:rPr>
          <w:rFonts w:eastAsia="Times New Roman"/>
          <w:color w:val="000000"/>
          <w:sz w:val="20"/>
          <w:szCs w:val="20"/>
        </w:rPr>
        <w:t>propane cylinders from 17 pounds to 15 pounds and combined to persuade their common customer, Walmart Stores, Inc., to accept that fill reduction, resulting in increased cylinder costs to retailers and end-user customers in violation of federal and certain</w:t>
      </w:r>
      <w:r>
        <w:rPr>
          <w:rFonts w:eastAsia="Times New Roman"/>
          <w:color w:val="000000"/>
          <w:sz w:val="20"/>
          <w:szCs w:val="20"/>
        </w:rPr>
        <w:t xml:space="preserve"> state antitrust laws.  The claims seek treble damages, injunctive relief, attorneys’ fees and costs on behalf of the putative classes.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On October 16, 2014, the United States Judicial Panel on Multidistrict Litigation transferred all of these purported</w:t>
      </w:r>
      <w:r>
        <w:rPr>
          <w:rFonts w:eastAsia="Times New Roman"/>
          <w:color w:val="000000"/>
          <w:sz w:val="20"/>
          <w:szCs w:val="20"/>
        </w:rPr>
        <w:t xml:space="preserve"> class action cases to the Western Missouri District Court.  As the result of rulings on a series of procedural filings, including petitions filed with the Eighth Circuit and the U.S. Supreme Court, both the federal and state law claims of the direct custo</w:t>
      </w:r>
      <w:r>
        <w:rPr>
          <w:rFonts w:eastAsia="Times New Roman"/>
          <w:color w:val="000000"/>
          <w:sz w:val="20"/>
          <w:szCs w:val="20"/>
        </w:rPr>
        <w:t>mer plaintiffs and the state law claims of the indirect customer plaintiffs were remanded to the Western Missouri District Court. The decision of the Western Missouri District Court to dismiss the federal antitrust claims of the indirect customer plaintiff</w:t>
      </w:r>
      <w:r>
        <w:rPr>
          <w:rFonts w:eastAsia="Times New Roman"/>
          <w:color w:val="000000"/>
          <w:sz w:val="20"/>
          <w:szCs w:val="20"/>
        </w:rPr>
        <w:t>s was upheld by the Eighth Circuit. On April 15, 2019, the Western Missouri District Court ruled that it has jurisdiction over the indirect purchasers’ state law claims and that the indirect customer plaintiffs have standing to pursue those claims. On Augu</w:t>
      </w:r>
      <w:r>
        <w:rPr>
          <w:rFonts w:eastAsia="Times New Roman"/>
          <w:color w:val="000000"/>
          <w:sz w:val="20"/>
          <w:szCs w:val="20"/>
        </w:rPr>
        <w:t>st 21, 2019, the District Court partially granted the Company’s motion for judgment on the pleadings and dismissed the claims of indirect customer plaintiffs from ten states and the District of Columbia.</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On October 2, 2019, the Partnership reached an agreement to resolve the claims of the direct purchaser class of plaintiffs; the agreement received final court approval on June 18, 2020. On September 18, 2020, the Partnership and counsel for the indirect pu</w:t>
      </w:r>
      <w:r>
        <w:rPr>
          <w:rFonts w:eastAsia="Times New Roman"/>
          <w:color w:val="000000"/>
          <w:sz w:val="20"/>
          <w:szCs w:val="20"/>
        </w:rPr>
        <w:t>rchaser plaintiffs filed a joint statement with the court that they had reached an agreement in principle to settle the claims of the remaining classes and plaintiffs; the settlement received final court approval on March 30, 2021.</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Although we cannot pre</w:t>
      </w:r>
      <w:r>
        <w:rPr>
          <w:rFonts w:eastAsia="Times New Roman"/>
          <w:color w:val="000000"/>
          <w:sz w:val="20"/>
          <w:szCs w:val="20"/>
        </w:rPr>
        <w:t>dict the final results of these pending claims and legal actions, we believe, after consultation with counsel, that the final outcome of these matters will not have a material effect on our financial statements.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In addition to the matters described above</w:t>
      </w:r>
      <w:r>
        <w:rPr>
          <w:rFonts w:eastAsia="Times New Roman"/>
          <w:color w:val="000000"/>
          <w:sz w:val="20"/>
          <w:szCs w:val="20"/>
        </w:rPr>
        <w:t>, there are other pending claims and legal actions arising in the normal course of our businesses. Although we cannot predict the final results of these pending claims and legal actions, we believe, after consultation with counsel, that the final outcome o</w:t>
      </w:r>
      <w:r>
        <w:rPr>
          <w:rFonts w:eastAsia="Times New Roman"/>
          <w:color w:val="000000"/>
          <w:sz w:val="20"/>
          <w:szCs w:val="20"/>
        </w:rPr>
        <w:t>f these matters will not have a material effect on our financial statements.</w:t>
      </w:r>
    </w:p>
    <w:p w:rsidR="00000000" w:rsidRDefault="005D625B">
      <w:pPr>
        <w:jc w:val="both"/>
        <w:rPr>
          <w:rFonts w:eastAsia="Times New Roman"/>
        </w:rPr>
      </w:pPr>
    </w:p>
    <w:p w:rsidR="00000000" w:rsidRDefault="005D625B">
      <w:pPr>
        <w:ind w:hanging="540"/>
        <w:jc w:val="both"/>
        <w:rPr>
          <w:rFonts w:eastAsia="Times New Roman"/>
        </w:rPr>
      </w:pPr>
      <w:r>
        <w:rPr>
          <w:rFonts w:eastAsia="Times New Roman"/>
          <w:b/>
          <w:bCs/>
          <w:color w:val="000000"/>
          <w:sz w:val="20"/>
          <w:szCs w:val="20"/>
          <w:u w:val="single"/>
        </w:rPr>
        <w:t>Note 10 — Defined Benefit Pension and Other Postretirement Plans</w:t>
      </w:r>
      <w:r>
        <w:rPr>
          <w:rFonts w:eastAsia="Times New Roman"/>
          <w:b/>
          <w:bCs/>
          <w:color w:val="000000"/>
          <w:sz w:val="20"/>
          <w:szCs w:val="20"/>
        </w:rPr>
        <w:t xml:space="preserve">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 Company maintains defined benefit plans and other postretirement plans for certain current and former emp</w:t>
      </w:r>
      <w:r>
        <w:rPr>
          <w:rFonts w:eastAsia="Times New Roman"/>
          <w:color w:val="000000"/>
          <w:sz w:val="20"/>
          <w:szCs w:val="20"/>
        </w:rPr>
        <w:t>loyees. The service cost component of our pension and other postretirement plans, net of amounts capitalized, is reflected in “Operating and administrative expenses” on the Condensed Consolidated Statements of Income. The non-service cost component, net of</w:t>
      </w:r>
      <w:r>
        <w:rPr>
          <w:rFonts w:eastAsia="Times New Roman"/>
          <w:color w:val="000000"/>
          <w:sz w:val="20"/>
          <w:szCs w:val="20"/>
        </w:rPr>
        <w:t xml:space="preserve"> amounts capitalized by UGI Utilities as a regulatory asset, is reflected in “Other non-operating income (expense), net” on the </w:t>
      </w:r>
    </w:p>
    <w:p w:rsidR="00000000" w:rsidRDefault="005D625B">
      <w:pPr>
        <w:jc w:val="center"/>
        <w:divId w:val="1593510820"/>
        <w:rPr>
          <w:rFonts w:eastAsia="Times New Roman"/>
        </w:rPr>
      </w:pPr>
      <w:r>
        <w:rPr>
          <w:rFonts w:eastAsia="Times New Roman"/>
          <w:color w:val="000000"/>
          <w:sz w:val="20"/>
          <w:szCs w:val="20"/>
        </w:rPr>
        <w:t>22</w:t>
      </w:r>
    </w:p>
    <w:p w:rsidR="00000000" w:rsidRDefault="005D625B">
      <w:pPr>
        <w:rPr>
          <w:rFonts w:eastAsia="Times New Roman"/>
        </w:rPr>
      </w:pPr>
      <w:r>
        <w:rPr>
          <w:rFonts w:eastAsia="Times New Roman"/>
        </w:rPr>
        <w:pict>
          <v:rect id="_x0000_i1048" style="width:0;height:1.5pt" o:hralign="center" o:hrstd="t" o:hr="t" fillcolor="#a0a0a0" stroked="f"/>
        </w:pict>
      </w:r>
    </w:p>
    <w:p w:rsidR="00000000" w:rsidRDefault="005D625B">
      <w:pPr>
        <w:divId w:val="1060517644"/>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301620569"/>
        <w:rPr>
          <w:rFonts w:eastAsia="Times New Roman"/>
        </w:rPr>
      </w:pPr>
      <w:r>
        <w:rPr>
          <w:rFonts w:eastAsia="Times New Roman"/>
          <w:b/>
          <w:bCs/>
          <w:color w:val="000000"/>
          <w:sz w:val="20"/>
          <w:szCs w:val="20"/>
        </w:rPr>
        <w:t>UGI CORPORAT</w:t>
      </w:r>
      <w:r>
        <w:rPr>
          <w:rFonts w:eastAsia="Times New Roman"/>
          <w:b/>
          <w:bCs/>
          <w:color w:val="000000"/>
          <w:sz w:val="20"/>
          <w:szCs w:val="20"/>
        </w:rPr>
        <w:t>ION AND SUBSIDIARIES</w:t>
      </w:r>
    </w:p>
    <w:p w:rsidR="00000000" w:rsidRDefault="005D625B">
      <w:pPr>
        <w:jc w:val="center"/>
        <w:divId w:val="1732849824"/>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301620569"/>
        <w:rPr>
          <w:rFonts w:eastAsia="Times New Roman"/>
        </w:rPr>
      </w:pPr>
      <w:r>
        <w:rPr>
          <w:rFonts w:eastAsia="Times New Roman"/>
          <w:color w:val="000000"/>
          <w:sz w:val="20"/>
          <w:szCs w:val="20"/>
        </w:rPr>
        <w:t>(unaudited)</w:t>
      </w:r>
    </w:p>
    <w:p w:rsidR="00000000" w:rsidRDefault="005D625B">
      <w:pPr>
        <w:jc w:val="center"/>
        <w:divId w:val="301620569"/>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color w:val="000000"/>
          <w:sz w:val="20"/>
          <w:szCs w:val="20"/>
        </w:rPr>
        <w:t>Condensed Consolidated Statements of Income. Other postretirement benefit cost was not mate</w:t>
      </w:r>
      <w:r>
        <w:rPr>
          <w:rFonts w:eastAsia="Times New Roman"/>
          <w:color w:val="000000"/>
          <w:sz w:val="20"/>
          <w:szCs w:val="20"/>
        </w:rPr>
        <w:t>rial for all periods presented. Net periodic pension cost includes the following components: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6079"/>
        <w:gridCol w:w="38"/>
        <w:gridCol w:w="36"/>
        <w:gridCol w:w="36"/>
        <w:gridCol w:w="36"/>
        <w:gridCol w:w="121"/>
        <w:gridCol w:w="809"/>
        <w:gridCol w:w="37"/>
        <w:gridCol w:w="36"/>
        <w:gridCol w:w="36"/>
        <w:gridCol w:w="36"/>
        <w:gridCol w:w="121"/>
        <w:gridCol w:w="809"/>
        <w:gridCol w:w="37"/>
      </w:tblGrid>
      <w:tr w:rsidR="00000000">
        <w:trPr>
          <w:divId w:val="695470055"/>
        </w:trPr>
        <w:tc>
          <w:tcPr>
            <w:tcW w:w="50" w:type="pct"/>
            <w:vAlign w:val="center"/>
            <w:hideMark/>
          </w:tcPr>
          <w:p w:rsidR="00000000" w:rsidRDefault="005D625B">
            <w:pPr>
              <w:jc w:val="both"/>
              <w:rPr>
                <w:rFonts w:eastAsia="Times New Roman"/>
              </w:rPr>
            </w:pPr>
          </w:p>
        </w:tc>
        <w:tc>
          <w:tcPr>
            <w:tcW w:w="368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695470055"/>
          <w:trHeight w:val="24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69547005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Pension Benefits</w:t>
            </w:r>
          </w:p>
        </w:tc>
      </w:tr>
      <w:tr w:rsidR="00000000">
        <w:trPr>
          <w:divId w:val="69547005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2020</w:t>
            </w:r>
          </w:p>
        </w:tc>
      </w:tr>
      <w:tr w:rsidR="00000000">
        <w:trPr>
          <w:divId w:val="695470055"/>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Service cost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695470055"/>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69547005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Expected return on 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695470055"/>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695470055"/>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69547005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695470055"/>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Actuarial loss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695470055"/>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Net cost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695470055"/>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69547005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69547005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r>
      <w:tr w:rsidR="00000000">
        <w:trPr>
          <w:divId w:val="69547005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Nine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2020</w:t>
            </w:r>
          </w:p>
        </w:tc>
      </w:tr>
      <w:tr w:rsidR="00000000">
        <w:trPr>
          <w:divId w:val="695470055"/>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Service cost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695470055"/>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69547005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Expected return on 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695470055"/>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Curtailment gain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69547005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69547005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695470055"/>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Actuarial loss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69547005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Net cost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p>
    <w:p w:rsidR="00000000" w:rsidRDefault="005D625B">
      <w:pPr>
        <w:jc w:val="center"/>
        <w:divId w:val="1059088692"/>
        <w:rPr>
          <w:rFonts w:eastAsia="Times New Roman"/>
        </w:rPr>
      </w:pPr>
      <w:r>
        <w:rPr>
          <w:rFonts w:eastAsia="Times New Roman"/>
          <w:color w:val="000000"/>
          <w:sz w:val="20"/>
          <w:szCs w:val="20"/>
        </w:rPr>
        <w:t>23</w:t>
      </w:r>
    </w:p>
    <w:p w:rsidR="00000000" w:rsidRDefault="005D625B">
      <w:pPr>
        <w:rPr>
          <w:rFonts w:eastAsia="Times New Roman"/>
        </w:rPr>
      </w:pPr>
      <w:r>
        <w:rPr>
          <w:rFonts w:eastAsia="Times New Roman"/>
        </w:rPr>
        <w:pict>
          <v:rect id="_x0000_i1049" style="width:0;height:1.5pt" o:hralign="center" o:hrstd="t" o:hr="t" fillcolor="#a0a0a0" stroked="f"/>
        </w:pict>
      </w:r>
    </w:p>
    <w:p w:rsidR="00000000" w:rsidRDefault="005D625B">
      <w:pPr>
        <w:divId w:val="206629038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63209893"/>
        <w:rPr>
          <w:rFonts w:eastAsia="Times New Roman"/>
        </w:rPr>
      </w:pPr>
      <w:r>
        <w:rPr>
          <w:rFonts w:eastAsia="Times New Roman"/>
          <w:b/>
          <w:bCs/>
          <w:color w:val="000000"/>
          <w:sz w:val="20"/>
          <w:szCs w:val="20"/>
        </w:rPr>
        <w:t>UGI CORPORATION AND SUBSIDIARIES</w:t>
      </w:r>
    </w:p>
    <w:p w:rsidR="00000000" w:rsidRDefault="005D625B">
      <w:pPr>
        <w:jc w:val="center"/>
        <w:divId w:val="1335576097"/>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163209893"/>
        <w:rPr>
          <w:rFonts w:eastAsia="Times New Roman"/>
        </w:rPr>
      </w:pPr>
      <w:r>
        <w:rPr>
          <w:rFonts w:eastAsia="Times New Roman"/>
          <w:color w:val="000000"/>
          <w:sz w:val="20"/>
          <w:szCs w:val="20"/>
        </w:rPr>
        <w:t>(unaudited)</w:t>
      </w:r>
    </w:p>
    <w:p w:rsidR="00000000" w:rsidRDefault="005D625B">
      <w:pPr>
        <w:jc w:val="center"/>
        <w:divId w:val="163209893"/>
        <w:rPr>
          <w:rFonts w:eastAsia="Times New Roman"/>
        </w:rPr>
      </w:pPr>
      <w:r>
        <w:rPr>
          <w:rFonts w:eastAsia="Times New Roman"/>
          <w:color w:val="000000"/>
          <w:sz w:val="20"/>
          <w:szCs w:val="20"/>
        </w:rPr>
        <w:t>(Currency in millions, except per share amounts and where indicated otherwise)</w:t>
      </w:r>
    </w:p>
    <w:p w:rsidR="00000000" w:rsidRDefault="005D625B">
      <w:pPr>
        <w:ind w:hanging="540"/>
        <w:jc w:val="both"/>
        <w:rPr>
          <w:rFonts w:eastAsia="Times New Roman"/>
        </w:rPr>
      </w:pPr>
      <w:r>
        <w:rPr>
          <w:rFonts w:eastAsia="Times New Roman"/>
          <w:b/>
          <w:bCs/>
          <w:color w:val="000000"/>
          <w:sz w:val="20"/>
          <w:szCs w:val="20"/>
          <w:u w:val="single"/>
        </w:rPr>
        <w:t>Note 11 — Fair Value Measurements</w:t>
      </w:r>
      <w:r>
        <w:rPr>
          <w:rFonts w:eastAsia="Times New Roman"/>
          <w:b/>
          <w:bCs/>
          <w:color w:val="000000"/>
          <w:sz w:val="20"/>
          <w:szCs w:val="20"/>
        </w:rPr>
        <w:t xml:space="preserve"> </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Recurring Fair Value Measurements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 following table presents, on a gross basis, our financial assets and liabilities, including both cur</w:t>
      </w:r>
      <w:r>
        <w:rPr>
          <w:rFonts w:eastAsia="Times New Roman"/>
          <w:color w:val="000000"/>
          <w:sz w:val="20"/>
          <w:szCs w:val="20"/>
        </w:rPr>
        <w:t>rent and noncurrent portions, that are measured at fair value on a recurring basis within the fair value hierarchy:</w:t>
      </w:r>
    </w:p>
    <w:tbl>
      <w:tblPr>
        <w:tblW w:w="4992" w:type="pct"/>
        <w:tblCellMar>
          <w:top w:w="15" w:type="dxa"/>
          <w:left w:w="15" w:type="dxa"/>
          <w:bottom w:w="15" w:type="dxa"/>
          <w:right w:w="15" w:type="dxa"/>
        </w:tblCellMar>
        <w:tblLook w:val="04A0" w:firstRow="1" w:lastRow="0" w:firstColumn="1" w:lastColumn="0" w:noHBand="0" w:noVBand="1"/>
      </w:tblPr>
      <w:tblGrid>
        <w:gridCol w:w="39"/>
        <w:gridCol w:w="4659"/>
        <w:gridCol w:w="38"/>
        <w:gridCol w:w="36"/>
        <w:gridCol w:w="36"/>
        <w:gridCol w:w="36"/>
        <w:gridCol w:w="110"/>
        <w:gridCol w:w="634"/>
        <w:gridCol w:w="36"/>
        <w:gridCol w:w="36"/>
        <w:gridCol w:w="36"/>
        <w:gridCol w:w="36"/>
        <w:gridCol w:w="110"/>
        <w:gridCol w:w="634"/>
        <w:gridCol w:w="36"/>
        <w:gridCol w:w="36"/>
        <w:gridCol w:w="36"/>
        <w:gridCol w:w="36"/>
        <w:gridCol w:w="111"/>
        <w:gridCol w:w="636"/>
        <w:gridCol w:w="36"/>
        <w:gridCol w:w="36"/>
        <w:gridCol w:w="36"/>
        <w:gridCol w:w="36"/>
        <w:gridCol w:w="110"/>
        <w:gridCol w:w="636"/>
        <w:gridCol w:w="36"/>
      </w:tblGrid>
      <w:tr w:rsidR="00000000">
        <w:trPr>
          <w:divId w:val="207449657"/>
        </w:trPr>
        <w:tc>
          <w:tcPr>
            <w:tcW w:w="50" w:type="pct"/>
            <w:vAlign w:val="center"/>
            <w:hideMark/>
          </w:tcPr>
          <w:p w:rsidR="00000000" w:rsidRDefault="005D625B">
            <w:pPr>
              <w:jc w:val="both"/>
              <w:rPr>
                <w:rFonts w:eastAsia="Times New Roman"/>
              </w:rPr>
            </w:pPr>
          </w:p>
        </w:tc>
        <w:tc>
          <w:tcPr>
            <w:tcW w:w="283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Asset (Liability)</w:t>
            </w:r>
          </w:p>
        </w:tc>
      </w:tr>
      <w:tr w:rsidR="00000000">
        <w:trPr>
          <w:divId w:val="207449657"/>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Total</w:t>
            </w:r>
          </w:p>
        </w:tc>
      </w:tr>
      <w:tr w:rsidR="00000000">
        <w:trPr>
          <w:divId w:val="207449657"/>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June 30, 2021:</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241 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396 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637 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(136)</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FFFF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September 30, 2020:</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(118)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FFFF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w:t>
            </w:r>
            <w:r>
              <w:rPr>
                <w:rFonts w:eastAsia="Times New Roman"/>
                <w:color w:val="000000"/>
                <w:sz w:val="18"/>
                <w:szCs w:val="18"/>
              </w:rPr>
              <w:t>55)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June 30, 2020:</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(114)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(172)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FFFF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207449657"/>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207449657"/>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ind w:hanging="360"/>
        <w:jc w:val="both"/>
        <w:rPr>
          <w:rFonts w:eastAsia="Times New Roman"/>
        </w:rPr>
      </w:pPr>
      <w:r>
        <w:rPr>
          <w:rFonts w:eastAsia="Times New Roman"/>
          <w:color w:val="000000"/>
          <w:sz w:val="20"/>
          <w:szCs w:val="20"/>
        </w:rPr>
        <w:t>(a)Consists primarily of mutual fund investments held in grantor trusts associated with non-qualified supplemental retire</w:t>
      </w:r>
      <w:r>
        <w:rPr>
          <w:rFonts w:eastAsia="Times New Roman"/>
          <w:color w:val="000000"/>
          <w:sz w:val="20"/>
          <w:szCs w:val="20"/>
        </w:rPr>
        <w:t xml:space="preserve">ment plans. </w:t>
      </w:r>
    </w:p>
    <w:p w:rsidR="00000000" w:rsidRDefault="005D625B">
      <w:pPr>
        <w:jc w:val="both"/>
        <w:rPr>
          <w:rFonts w:eastAsia="Times New Roman"/>
        </w:rPr>
      </w:pPr>
      <w:r>
        <w:rPr>
          <w:rFonts w:eastAsia="Times New Roman"/>
          <w:color w:val="000000"/>
          <w:sz w:val="16"/>
          <w:szCs w:val="16"/>
        </w:rPr>
        <w:t> </w:t>
      </w:r>
    </w:p>
    <w:p w:rsidR="00000000" w:rsidRDefault="005D625B">
      <w:pPr>
        <w:jc w:val="both"/>
        <w:rPr>
          <w:rFonts w:eastAsia="Times New Roman"/>
        </w:rPr>
      </w:pPr>
      <w:r>
        <w:rPr>
          <w:rFonts w:eastAsia="Times New Roman"/>
          <w:color w:val="000000"/>
          <w:sz w:val="20"/>
          <w:szCs w:val="20"/>
        </w:rPr>
        <w:t>The fair values of our Level 1 exchange-traded commodity futures and option contracts and non-exchange-traded commodity futures and forward contracts are based upon actively quoted market prices for identical assets and liabilities. The rema</w:t>
      </w:r>
      <w:r>
        <w:rPr>
          <w:rFonts w:eastAsia="Times New Roman"/>
          <w:color w:val="000000"/>
          <w:sz w:val="20"/>
          <w:szCs w:val="20"/>
        </w:rPr>
        <w:t>inder of our derivative instruments are designated as Level 2. The fair values of certain non-exchange-traded commodity derivatives designated as Level 2 are based upon indicative price quotations available through brokers, industry price publications or r</w:t>
      </w:r>
      <w:r>
        <w:rPr>
          <w:rFonts w:eastAsia="Times New Roman"/>
          <w:color w:val="000000"/>
          <w:sz w:val="20"/>
          <w:szCs w:val="20"/>
        </w:rPr>
        <w:t xml:space="preserve">ecent market transactions and related market indicators. The fair values of our Level 2 interest rate contracts and foreign currency contracts are based upon third-party quotes or indicative values based on recent market transactions. The fair values of </w:t>
      </w:r>
    </w:p>
    <w:p w:rsidR="00000000" w:rsidRDefault="005D625B">
      <w:pPr>
        <w:jc w:val="center"/>
        <w:divId w:val="424689648"/>
        <w:rPr>
          <w:rFonts w:eastAsia="Times New Roman"/>
        </w:rPr>
      </w:pPr>
      <w:r>
        <w:rPr>
          <w:rFonts w:eastAsia="Times New Roman"/>
          <w:color w:val="000000"/>
          <w:sz w:val="20"/>
          <w:szCs w:val="20"/>
        </w:rPr>
        <w:t>2</w:t>
      </w:r>
      <w:r>
        <w:rPr>
          <w:rFonts w:eastAsia="Times New Roman"/>
          <w:color w:val="000000"/>
          <w:sz w:val="20"/>
          <w:szCs w:val="20"/>
        </w:rPr>
        <w:t>4</w:t>
      </w:r>
    </w:p>
    <w:p w:rsidR="00000000" w:rsidRDefault="005D625B">
      <w:pPr>
        <w:rPr>
          <w:rFonts w:eastAsia="Times New Roman"/>
        </w:rPr>
      </w:pPr>
      <w:r>
        <w:rPr>
          <w:rFonts w:eastAsia="Times New Roman"/>
        </w:rPr>
        <w:pict>
          <v:rect id="_x0000_i1050" style="width:0;height:1.5pt" o:hralign="center" o:hrstd="t" o:hr="t" fillcolor="#a0a0a0" stroked="f"/>
        </w:pict>
      </w:r>
    </w:p>
    <w:p w:rsidR="00000000" w:rsidRDefault="005D625B">
      <w:pPr>
        <w:divId w:val="632372309"/>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310990436"/>
        <w:rPr>
          <w:rFonts w:eastAsia="Times New Roman"/>
        </w:rPr>
      </w:pPr>
      <w:r>
        <w:rPr>
          <w:rFonts w:eastAsia="Times New Roman"/>
          <w:b/>
          <w:bCs/>
          <w:color w:val="000000"/>
          <w:sz w:val="20"/>
          <w:szCs w:val="20"/>
        </w:rPr>
        <w:t>UGI CORPORATION AND SUBSIDIARIES</w:t>
      </w:r>
    </w:p>
    <w:p w:rsidR="00000000" w:rsidRDefault="005D625B">
      <w:pPr>
        <w:jc w:val="center"/>
        <w:divId w:val="757560459"/>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310990436"/>
        <w:rPr>
          <w:rFonts w:eastAsia="Times New Roman"/>
        </w:rPr>
      </w:pPr>
      <w:r>
        <w:rPr>
          <w:rFonts w:eastAsia="Times New Roman"/>
          <w:color w:val="000000"/>
          <w:sz w:val="20"/>
          <w:szCs w:val="20"/>
        </w:rPr>
        <w:t>(unaudited)</w:t>
      </w:r>
    </w:p>
    <w:p w:rsidR="00000000" w:rsidRDefault="005D625B">
      <w:pPr>
        <w:jc w:val="center"/>
        <w:divId w:val="310990436"/>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color w:val="000000"/>
          <w:sz w:val="20"/>
          <w:szCs w:val="20"/>
        </w:rPr>
        <w:t>investments held in grantor trusts are derived from quoted market prices as substantially all of the investments in these trusts have active markets.</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Other Financial Instrumen</w:t>
      </w:r>
      <w:r>
        <w:rPr>
          <w:rFonts w:eastAsia="Times New Roman"/>
          <w:b/>
          <w:bCs/>
          <w:color w:val="000000"/>
          <w:sz w:val="20"/>
          <w:szCs w:val="20"/>
        </w:rPr>
        <w:t>ts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 carrying amounts of other financial instruments included in current assets and current liabilities (except for current maturities of long-term debt) approximate their fair values because of their short-term nature. We estimate the fair value of lo</w:t>
      </w:r>
      <w:r>
        <w:rPr>
          <w:rFonts w:eastAsia="Times New Roman"/>
          <w:color w:val="000000"/>
          <w:sz w:val="20"/>
          <w:szCs w:val="20"/>
        </w:rPr>
        <w:t>ng-term debt by using current market rates and by discounting future cash flows using rates available for similar type debt (Level 2). The carrying amounts and estimated fair values of our long-term debt (including current maturities but excluding unamorti</w:t>
      </w:r>
      <w:r>
        <w:rPr>
          <w:rFonts w:eastAsia="Times New Roman"/>
          <w:color w:val="000000"/>
          <w:sz w:val="20"/>
          <w:szCs w:val="20"/>
        </w:rPr>
        <w:t>zed debt issuance costs)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160"/>
        <w:gridCol w:w="37"/>
        <w:gridCol w:w="120"/>
        <w:gridCol w:w="1477"/>
        <w:gridCol w:w="36"/>
        <w:gridCol w:w="36"/>
        <w:gridCol w:w="36"/>
        <w:gridCol w:w="36"/>
        <w:gridCol w:w="121"/>
        <w:gridCol w:w="1436"/>
        <w:gridCol w:w="36"/>
        <w:gridCol w:w="36"/>
        <w:gridCol w:w="36"/>
        <w:gridCol w:w="36"/>
        <w:gridCol w:w="120"/>
        <w:gridCol w:w="1436"/>
        <w:gridCol w:w="36"/>
      </w:tblGrid>
      <w:tr w:rsidR="00000000">
        <w:trPr>
          <w:divId w:val="851408804"/>
          <w:jc w:val="center"/>
        </w:trPr>
        <w:tc>
          <w:tcPr>
            <w:tcW w:w="50" w:type="pct"/>
            <w:vAlign w:val="center"/>
            <w:hideMark/>
          </w:tcPr>
          <w:p w:rsidR="00000000" w:rsidRDefault="005D625B">
            <w:pPr>
              <w:jc w:val="both"/>
              <w:rPr>
                <w:rFonts w:eastAsia="Times New Roman"/>
              </w:rPr>
            </w:pPr>
          </w:p>
        </w:tc>
        <w:tc>
          <w:tcPr>
            <w:tcW w:w="194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2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2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2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851408804"/>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September 30, 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June 30, 2020</w:t>
            </w:r>
          </w:p>
        </w:tc>
      </w:tr>
      <w:tr w:rsidR="00000000">
        <w:trPr>
          <w:divId w:val="851408804"/>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Carrying amount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5,890 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51408804"/>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Estimated fair value</w:t>
            </w: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6,314 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6,504 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6,208 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Financial instruments other than derivative instruments, such as short-term investments and trade accounts receivable, could expose us to concentrations of credit risk. We limit credit risk from short-term investments by investing only in investment-grade </w:t>
      </w:r>
      <w:r>
        <w:rPr>
          <w:rFonts w:eastAsia="Times New Roman"/>
          <w:color w:val="000000"/>
          <w:sz w:val="20"/>
          <w:szCs w:val="20"/>
        </w:rPr>
        <w:t>commercial paper, money market mutual funds, securities guaranteed by the U.S. Government or its agencies and FDIC insured bank deposits. The credit risk arising from concentrations of trade accounts receivable is limited because we have a large customer b</w:t>
      </w:r>
      <w:r>
        <w:rPr>
          <w:rFonts w:eastAsia="Times New Roman"/>
          <w:color w:val="000000"/>
          <w:sz w:val="20"/>
          <w:szCs w:val="20"/>
        </w:rPr>
        <w:t xml:space="preserve">ase that extends across many different U.S. markets and a number of foreign countries. For information regarding concentrations of credit risk associated with our derivative instruments, see Note 12. </w:t>
      </w:r>
    </w:p>
    <w:p w:rsidR="00000000" w:rsidRDefault="005D625B">
      <w:pPr>
        <w:jc w:val="both"/>
        <w:rPr>
          <w:rFonts w:eastAsia="Times New Roman"/>
        </w:rPr>
      </w:pPr>
    </w:p>
    <w:p w:rsidR="00000000" w:rsidRDefault="005D625B">
      <w:pPr>
        <w:ind w:hanging="540"/>
        <w:jc w:val="both"/>
        <w:rPr>
          <w:rFonts w:eastAsia="Times New Roman"/>
        </w:rPr>
      </w:pPr>
      <w:r>
        <w:rPr>
          <w:rFonts w:eastAsia="Times New Roman"/>
          <w:b/>
          <w:bCs/>
          <w:color w:val="000000"/>
          <w:sz w:val="20"/>
          <w:szCs w:val="20"/>
          <w:u w:val="single"/>
        </w:rPr>
        <w:t>Note 12 — Derivative Instruments and Hedging Activiti</w:t>
      </w:r>
      <w:r>
        <w:rPr>
          <w:rFonts w:eastAsia="Times New Roman"/>
          <w:b/>
          <w:bCs/>
          <w:color w:val="000000"/>
          <w:sz w:val="20"/>
          <w:szCs w:val="20"/>
          <w:u w:val="single"/>
        </w:rPr>
        <w:t>es</w:t>
      </w:r>
      <w:r>
        <w:rPr>
          <w:rFonts w:eastAsia="Times New Roman"/>
          <w:b/>
          <w:bCs/>
          <w:color w:val="000000"/>
          <w:sz w:val="20"/>
          <w:szCs w:val="20"/>
        </w:rPr>
        <w:t xml:space="preserve"> </w:t>
      </w:r>
    </w:p>
    <w:p w:rsidR="00000000" w:rsidRDefault="005D625B">
      <w:pPr>
        <w:ind w:hanging="540"/>
        <w:divId w:val="78719380"/>
        <w:rPr>
          <w:rFonts w:eastAsia="Times New Roman"/>
        </w:rPr>
      </w:pPr>
    </w:p>
    <w:p w:rsidR="00000000" w:rsidRDefault="005D625B">
      <w:pPr>
        <w:jc w:val="both"/>
        <w:rPr>
          <w:rFonts w:eastAsia="Times New Roman"/>
        </w:rPr>
      </w:pPr>
      <w:r>
        <w:rPr>
          <w:rFonts w:eastAsia="Times New Roman"/>
          <w:color w:val="000000"/>
          <w:sz w:val="20"/>
          <w:szCs w:val="20"/>
        </w:rPr>
        <w:t>We are exposed to certain market risks related to our ongoing business operations. Management uses derivative financial and commodity instruments, among other things, to manage: (1) commodity price risk; (2) interest rate risk; and (3) foreign curren</w:t>
      </w:r>
      <w:r>
        <w:rPr>
          <w:rFonts w:eastAsia="Times New Roman"/>
          <w:color w:val="000000"/>
          <w:sz w:val="20"/>
          <w:szCs w:val="20"/>
        </w:rPr>
        <w:t>cy exchange rate risk. Although we use derivative financial and commodity instruments to reduce market risk associated with forecasted transactions, we do not use derivative financial and commodity instruments for speculative or trading purposes. The use o</w:t>
      </w:r>
      <w:r>
        <w:rPr>
          <w:rFonts w:eastAsia="Times New Roman"/>
          <w:color w:val="000000"/>
          <w:sz w:val="20"/>
          <w:szCs w:val="20"/>
        </w:rPr>
        <w:t>f derivative instruments is controlled by our risk management and credit policies, which govern, among other things, the derivative instruments we can use, counterparty credit limits and contract authorization limits. Although our commodity derivative inst</w:t>
      </w:r>
      <w:r>
        <w:rPr>
          <w:rFonts w:eastAsia="Times New Roman"/>
          <w:color w:val="000000"/>
          <w:sz w:val="20"/>
          <w:szCs w:val="20"/>
        </w:rPr>
        <w:t>ruments extend over a number of years, a significant portion of our commodity derivative instruments economically hedge commodity price risk during the next twelve months. For information on the accounting for our derivative instruments, see Note 2.</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The </w:t>
      </w:r>
      <w:r>
        <w:rPr>
          <w:rFonts w:eastAsia="Times New Roman"/>
          <w:color w:val="000000"/>
          <w:sz w:val="20"/>
          <w:szCs w:val="20"/>
        </w:rPr>
        <w:t>following summarizes the types of derivative instruments used by the Company to manage certain market risks:</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Commodity Price Risk</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u w:val="single"/>
        </w:rPr>
        <w:t>Regulated Utility Operations</w:t>
      </w:r>
    </w:p>
    <w:p w:rsidR="00000000" w:rsidRDefault="005D625B">
      <w:pPr>
        <w:jc w:val="both"/>
        <w:rPr>
          <w:rFonts w:eastAsia="Times New Roman"/>
        </w:rPr>
      </w:pPr>
    </w:p>
    <w:p w:rsidR="00000000" w:rsidRDefault="005D625B">
      <w:pPr>
        <w:jc w:val="both"/>
        <w:rPr>
          <w:rFonts w:eastAsia="Times New Roman"/>
        </w:rPr>
      </w:pPr>
      <w:r>
        <w:rPr>
          <w:rFonts w:eastAsia="Times New Roman"/>
          <w:i/>
          <w:iCs/>
          <w:color w:val="000000"/>
          <w:sz w:val="20"/>
          <w:szCs w:val="20"/>
        </w:rPr>
        <w:t>Natural Gas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Gas Utility’s tariffs contain clauses that permit recovery of all prudently i</w:t>
      </w:r>
      <w:r>
        <w:rPr>
          <w:rFonts w:eastAsia="Times New Roman"/>
          <w:color w:val="000000"/>
          <w:sz w:val="20"/>
          <w:szCs w:val="20"/>
        </w:rPr>
        <w:t>ncurred costs of natural gas it sells to retail core-market customers, including the cost of financial instruments used to hedge purchased gas costs. As permitted and agreed to by the PAPUC pursuant to Gas Utility’s annual PGC filings, Gas Utility currentl</w:t>
      </w:r>
      <w:r>
        <w:rPr>
          <w:rFonts w:eastAsia="Times New Roman"/>
          <w:color w:val="000000"/>
          <w:sz w:val="20"/>
          <w:szCs w:val="20"/>
        </w:rPr>
        <w:t>y uses NYMEX natural gas futures and option contracts to reduce commodity price volatility associated with a portion of the natural gas it purchases for its retail core-market customers. See Note 6 for further information on the regulatory accounting treat</w:t>
      </w:r>
      <w:r>
        <w:rPr>
          <w:rFonts w:eastAsia="Times New Roman"/>
          <w:color w:val="000000"/>
          <w:sz w:val="20"/>
          <w:szCs w:val="20"/>
        </w:rPr>
        <w:t xml:space="preserve">ment for these derivative instruments.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u w:val="single"/>
        </w:rPr>
        <w:t>Non-utility Operations</w:t>
      </w:r>
    </w:p>
    <w:p w:rsidR="00000000" w:rsidRDefault="005D625B">
      <w:pPr>
        <w:jc w:val="both"/>
        <w:rPr>
          <w:rFonts w:eastAsia="Times New Roman"/>
        </w:rPr>
      </w:pPr>
    </w:p>
    <w:p w:rsidR="00000000" w:rsidRDefault="005D625B">
      <w:pPr>
        <w:jc w:val="both"/>
        <w:rPr>
          <w:rFonts w:eastAsia="Times New Roman"/>
        </w:rPr>
      </w:pPr>
      <w:r>
        <w:rPr>
          <w:rFonts w:eastAsia="Times New Roman"/>
          <w:i/>
          <w:iCs/>
          <w:color w:val="000000"/>
          <w:sz w:val="20"/>
          <w:szCs w:val="20"/>
        </w:rPr>
        <w:t>LPG</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In order to manage market price risk associated with the Partnership’s fixed-price programs and to reduce the effects of short-term commodity price volatility, the Partnership uses ov</w:t>
      </w:r>
      <w:r>
        <w:rPr>
          <w:rFonts w:eastAsia="Times New Roman"/>
          <w:color w:val="000000"/>
          <w:sz w:val="20"/>
          <w:szCs w:val="20"/>
        </w:rPr>
        <w:t xml:space="preserve">er-the-counter derivative commodity instruments, principally price </w:t>
      </w:r>
    </w:p>
    <w:p w:rsidR="00000000" w:rsidRDefault="005D625B">
      <w:pPr>
        <w:jc w:val="center"/>
        <w:divId w:val="934436384"/>
        <w:rPr>
          <w:rFonts w:eastAsia="Times New Roman"/>
        </w:rPr>
      </w:pPr>
      <w:r>
        <w:rPr>
          <w:rFonts w:eastAsia="Times New Roman"/>
          <w:color w:val="000000"/>
          <w:sz w:val="20"/>
          <w:szCs w:val="20"/>
        </w:rPr>
        <w:t>25</w:t>
      </w:r>
    </w:p>
    <w:p w:rsidR="00000000" w:rsidRDefault="005D625B">
      <w:pPr>
        <w:rPr>
          <w:rFonts w:eastAsia="Times New Roman"/>
        </w:rPr>
      </w:pPr>
      <w:r>
        <w:rPr>
          <w:rFonts w:eastAsia="Times New Roman"/>
        </w:rPr>
        <w:pict>
          <v:rect id="_x0000_i1051" style="width:0;height:1.5pt" o:hralign="center" o:hrstd="t" o:hr="t" fillcolor="#a0a0a0" stroked="f"/>
        </w:pict>
      </w:r>
    </w:p>
    <w:p w:rsidR="00000000" w:rsidRDefault="005D625B">
      <w:pPr>
        <w:divId w:val="16200391"/>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911542720"/>
        <w:rPr>
          <w:rFonts w:eastAsia="Times New Roman"/>
        </w:rPr>
      </w:pPr>
      <w:r>
        <w:rPr>
          <w:rFonts w:eastAsia="Times New Roman"/>
          <w:b/>
          <w:bCs/>
          <w:color w:val="000000"/>
          <w:sz w:val="20"/>
          <w:szCs w:val="20"/>
        </w:rPr>
        <w:t>UGI CORPORATION AND SUBSIDIARIES</w:t>
      </w:r>
    </w:p>
    <w:p w:rsidR="00000000" w:rsidRDefault="005D625B">
      <w:pPr>
        <w:jc w:val="center"/>
        <w:divId w:val="556165275"/>
        <w:rPr>
          <w:rFonts w:eastAsia="Times New Roman"/>
        </w:rPr>
      </w:pPr>
      <w:r>
        <w:rPr>
          <w:rFonts w:eastAsia="Times New Roman"/>
          <w:b/>
          <w:bCs/>
          <w:color w:val="000000"/>
          <w:sz w:val="20"/>
          <w:szCs w:val="20"/>
          <w:u w:val="single"/>
        </w:rPr>
        <w:t>Notes to Condensed Consolidated Financi</w:t>
      </w:r>
      <w:r>
        <w:rPr>
          <w:rFonts w:eastAsia="Times New Roman"/>
          <w:b/>
          <w:bCs/>
          <w:color w:val="000000"/>
          <w:sz w:val="20"/>
          <w:szCs w:val="20"/>
          <w:u w:val="single"/>
        </w:rPr>
        <w:t>al Statements</w:t>
      </w:r>
    </w:p>
    <w:p w:rsidR="00000000" w:rsidRDefault="005D625B">
      <w:pPr>
        <w:jc w:val="center"/>
        <w:divId w:val="911542720"/>
        <w:rPr>
          <w:rFonts w:eastAsia="Times New Roman"/>
        </w:rPr>
      </w:pPr>
      <w:r>
        <w:rPr>
          <w:rFonts w:eastAsia="Times New Roman"/>
          <w:color w:val="000000"/>
          <w:sz w:val="20"/>
          <w:szCs w:val="20"/>
        </w:rPr>
        <w:t>(unaudited)</w:t>
      </w:r>
    </w:p>
    <w:p w:rsidR="00000000" w:rsidRDefault="005D625B">
      <w:pPr>
        <w:jc w:val="center"/>
        <w:divId w:val="911542720"/>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color w:val="000000"/>
          <w:sz w:val="20"/>
          <w:szCs w:val="20"/>
        </w:rPr>
        <w:t xml:space="preserve">swap contracts. In addition, the Partnership and our UGI International operations also use over-the-counter price swap contracts to reduce commodity price volatility associated with a portion of their forecasted LPG purchases. </w:t>
      </w:r>
    </w:p>
    <w:p w:rsidR="00000000" w:rsidRDefault="005D625B">
      <w:pPr>
        <w:jc w:val="both"/>
        <w:rPr>
          <w:rFonts w:eastAsia="Times New Roman"/>
        </w:rPr>
      </w:pPr>
    </w:p>
    <w:p w:rsidR="00000000" w:rsidRDefault="005D625B">
      <w:pPr>
        <w:jc w:val="both"/>
        <w:rPr>
          <w:rFonts w:eastAsia="Times New Roman"/>
        </w:rPr>
      </w:pPr>
      <w:r>
        <w:rPr>
          <w:rFonts w:eastAsia="Times New Roman"/>
          <w:i/>
          <w:iCs/>
          <w:color w:val="000000"/>
          <w:sz w:val="20"/>
          <w:szCs w:val="20"/>
        </w:rPr>
        <w:t>Natural Gas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In order to </w:t>
      </w:r>
      <w:r>
        <w:rPr>
          <w:rFonts w:eastAsia="Times New Roman"/>
          <w:color w:val="000000"/>
          <w:sz w:val="20"/>
          <w:szCs w:val="20"/>
        </w:rPr>
        <w:t>manage market price risk relating to fixed-price sales contracts for physical natural gas, Midstream &amp; Marketing enters into NYMEX and over-the-counter natural gas futures and over-the-counter and ICE natural gas basis swap contracts. In addition, Midstrea</w:t>
      </w:r>
      <w:r>
        <w:rPr>
          <w:rFonts w:eastAsia="Times New Roman"/>
          <w:color w:val="000000"/>
          <w:sz w:val="20"/>
          <w:szCs w:val="20"/>
        </w:rPr>
        <w:t>m &amp; Marketing uses NYMEX and over-the-counter futures and options contracts to economically hedge price volatility associated with the gross margin derived from the purchase and anticipated later near-term sale of natural gas storage inventories. Outside o</w:t>
      </w:r>
      <w:r>
        <w:rPr>
          <w:rFonts w:eastAsia="Times New Roman"/>
          <w:color w:val="000000"/>
          <w:sz w:val="20"/>
          <w:szCs w:val="20"/>
        </w:rPr>
        <w:t>f the financial market, Midstream &amp; Marketing also uses ICE and over-the-counter forward physical contracts. UGI International also uses natural gas futures and forward contracts to economically hedge market price risk associated with fixed-price sales con</w:t>
      </w:r>
      <w:r>
        <w:rPr>
          <w:rFonts w:eastAsia="Times New Roman"/>
          <w:color w:val="000000"/>
          <w:sz w:val="20"/>
          <w:szCs w:val="20"/>
        </w:rPr>
        <w:t>tracts with its customers.</w:t>
      </w:r>
    </w:p>
    <w:p w:rsidR="00000000" w:rsidRDefault="005D625B">
      <w:pPr>
        <w:jc w:val="both"/>
        <w:rPr>
          <w:rFonts w:eastAsia="Times New Roman"/>
        </w:rPr>
      </w:pPr>
    </w:p>
    <w:p w:rsidR="00000000" w:rsidRDefault="005D625B">
      <w:pPr>
        <w:jc w:val="both"/>
        <w:rPr>
          <w:rFonts w:eastAsia="Times New Roman"/>
        </w:rPr>
      </w:pPr>
      <w:r>
        <w:rPr>
          <w:rFonts w:eastAsia="Times New Roman"/>
          <w:i/>
          <w:iCs/>
          <w:color w:val="000000"/>
          <w:sz w:val="20"/>
          <w:szCs w:val="20"/>
        </w:rPr>
        <w:t>Electricity</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In order to manage market price risk relating to fixed-price sales contracts for electricity, Midstream &amp; Marketing enters into electricity futures and forward contracts. Midstream &amp; Marketing also uses NYMEX and </w:t>
      </w:r>
      <w:r>
        <w:rPr>
          <w:rFonts w:eastAsia="Times New Roman"/>
          <w:color w:val="000000"/>
          <w:sz w:val="20"/>
          <w:szCs w:val="20"/>
        </w:rPr>
        <w:t>over-the-counter electricity futures contracts to economically hedge the price of a portion of its anticipated future sales of electricity from its electric generation facilities. UGI International also uses electricity futures and forward contracts to eco</w:t>
      </w:r>
      <w:r>
        <w:rPr>
          <w:rFonts w:eastAsia="Times New Roman"/>
          <w:color w:val="000000"/>
          <w:sz w:val="20"/>
          <w:szCs w:val="20"/>
        </w:rPr>
        <w:t>nomically hedge market price risk associated with fixed-price sales and purchase contracts for electricity.</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Interest Rate Risk</w:t>
      </w:r>
    </w:p>
    <w:p w:rsidR="00000000" w:rsidRDefault="005D625B">
      <w:pPr>
        <w:jc w:val="both"/>
        <w:rPr>
          <w:rFonts w:eastAsia="Times New Roman"/>
        </w:rPr>
      </w:pPr>
      <w:r>
        <w:rPr>
          <w:rFonts w:eastAsia="Times New Roman"/>
          <w:color w:val="000000"/>
          <w:sz w:val="20"/>
          <w:szCs w:val="20"/>
        </w:rPr>
        <w:t>Certain of our long-term debt agreements have interest rates that are generally indexed to short-term market interest rates. In</w:t>
      </w:r>
      <w:r>
        <w:rPr>
          <w:rFonts w:eastAsia="Times New Roman"/>
          <w:color w:val="000000"/>
          <w:sz w:val="20"/>
          <w:szCs w:val="20"/>
        </w:rPr>
        <w:t xml:space="preserve"> order to fix the underlying short-term market interest rates, we may enter into pay-fixed, receive-variable interest rate swap agreements and designate such swaps as cash flow hedges.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As previously mentioned in Note 7, on May 4, 2021, UGI entered into the 2021 UGI Corporation Senior Credit Facility, which as amended, includes a new term loan commitment of up to $215. Borrowings on this commitment will bear interest at a rate indexed to </w:t>
      </w:r>
      <w:r>
        <w:rPr>
          <w:rFonts w:eastAsia="Times New Roman"/>
          <w:color w:val="000000"/>
          <w:sz w:val="20"/>
          <w:szCs w:val="20"/>
        </w:rPr>
        <w:t>short-term market rates. In June 2021, UGI entered into two forward starting, pay-fixed, receive-variable interest rate swap agreements, commencing in January 2022. These swaps generally fix the underlying variable interest rate on $125 of future borrowing</w:t>
      </w:r>
      <w:r>
        <w:rPr>
          <w:rFonts w:eastAsia="Times New Roman"/>
          <w:color w:val="000000"/>
          <w:sz w:val="20"/>
          <w:szCs w:val="20"/>
        </w:rPr>
        <w:t>s at 0.69% through September 2024. We have designated these interest rate swaps as a cash flow hedges.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 remainder of our long-term debt is typically issued at fixed rates of interest. As this long-term debt matures, we typically refinance such debt wi</w:t>
      </w:r>
      <w:r>
        <w:rPr>
          <w:rFonts w:eastAsia="Times New Roman"/>
          <w:color w:val="000000"/>
          <w:sz w:val="20"/>
          <w:szCs w:val="20"/>
        </w:rPr>
        <w:t>th new debt having interest rates reflecting then-current market conditions. In order to reduce market rate risk on the underlying benchmark rate of interest associated with near- to medium-term forecasted issuances of fixed-rate debt, from time to time, w</w:t>
      </w:r>
      <w:r>
        <w:rPr>
          <w:rFonts w:eastAsia="Times New Roman"/>
          <w:color w:val="000000"/>
          <w:sz w:val="20"/>
          <w:szCs w:val="20"/>
        </w:rPr>
        <w:t xml:space="preserve">e enter into IRPAs. We account for IRPAs as cash flow hedges. There were no unsettled IRPAs during any of the periods presented. At June 30, 2021, the amount of pre-tax net losses associated with interest rate hedges (excluding pay-fixed, receive-variable </w:t>
      </w:r>
      <w:r>
        <w:rPr>
          <w:rFonts w:eastAsia="Times New Roman"/>
          <w:color w:val="000000"/>
          <w:sz w:val="20"/>
          <w:szCs w:val="20"/>
        </w:rPr>
        <w:t>interest rate swaps) expected to be reclassified into earnings during the next twelve months is $4.</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Foreign Currency Exchange Rate Risk</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u w:val="single"/>
        </w:rPr>
        <w:t>Forward Foreign Currency Exchange Contracts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In order to reduce the volatility in net income associated with our fo</w:t>
      </w:r>
      <w:r>
        <w:rPr>
          <w:rFonts w:eastAsia="Times New Roman"/>
          <w:color w:val="000000"/>
          <w:sz w:val="20"/>
          <w:szCs w:val="20"/>
        </w:rPr>
        <w:t>reign operations, principally as a result of changes in the U.S. dollar exchange rate to the euro and British pound sterling, we enter into forward foreign currency exchange contracts. We layer in these foreign currency exchange contracts over a multi-year</w:t>
      </w:r>
      <w:r>
        <w:rPr>
          <w:rFonts w:eastAsia="Times New Roman"/>
          <w:color w:val="000000"/>
          <w:sz w:val="20"/>
          <w:szCs w:val="20"/>
        </w:rPr>
        <w:t xml:space="preserve"> period to eventually equal approximately 90% of anticipated UGI International foreign currency earnings before income taxes. Because these contracts are not designated as hedging instruments, realized and unrealized gains and losses on these contracts are</w:t>
      </w:r>
      <w:r>
        <w:rPr>
          <w:rFonts w:eastAsia="Times New Roman"/>
          <w:color w:val="000000"/>
          <w:sz w:val="20"/>
          <w:szCs w:val="20"/>
        </w:rPr>
        <w:t xml:space="preserve"> recorded in “Other non-operating income (expense), net,” on the Condensed Consolidated Statements of Income.</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u w:val="single"/>
        </w:rPr>
        <w:t>Net Investment Hedges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From time to time, we also enter into certain forward foreign currency exchange contracts to reduce the volatility of th</w:t>
      </w:r>
      <w:r>
        <w:rPr>
          <w:rFonts w:eastAsia="Times New Roman"/>
          <w:color w:val="000000"/>
          <w:sz w:val="20"/>
          <w:szCs w:val="20"/>
        </w:rPr>
        <w:t xml:space="preserve">e U.S. dollar value of a portion of our UGI International euro-denominated net investments. We account for these foreign currency </w:t>
      </w:r>
    </w:p>
    <w:p w:rsidR="00000000" w:rsidRDefault="005D625B">
      <w:pPr>
        <w:jc w:val="center"/>
        <w:divId w:val="550774492"/>
        <w:rPr>
          <w:rFonts w:eastAsia="Times New Roman"/>
        </w:rPr>
      </w:pPr>
      <w:r>
        <w:rPr>
          <w:rFonts w:eastAsia="Times New Roman"/>
          <w:color w:val="000000"/>
          <w:sz w:val="20"/>
          <w:szCs w:val="20"/>
        </w:rPr>
        <w:t>26</w:t>
      </w:r>
    </w:p>
    <w:p w:rsidR="00000000" w:rsidRDefault="005D625B">
      <w:pPr>
        <w:rPr>
          <w:rFonts w:eastAsia="Times New Roman"/>
        </w:rPr>
      </w:pPr>
      <w:r>
        <w:rPr>
          <w:rFonts w:eastAsia="Times New Roman"/>
        </w:rPr>
        <w:pict>
          <v:rect id="_x0000_i1052" style="width:0;height:1.5pt" o:hralign="center" o:hrstd="t" o:hr="t" fillcolor="#a0a0a0" stroked="f"/>
        </w:pict>
      </w:r>
    </w:p>
    <w:p w:rsidR="00000000" w:rsidRDefault="005D625B">
      <w:pPr>
        <w:divId w:val="260718929"/>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440682006"/>
        <w:rPr>
          <w:rFonts w:eastAsia="Times New Roman"/>
        </w:rPr>
      </w:pPr>
      <w:r>
        <w:rPr>
          <w:rFonts w:eastAsia="Times New Roman"/>
          <w:b/>
          <w:bCs/>
          <w:color w:val="000000"/>
          <w:sz w:val="20"/>
          <w:szCs w:val="20"/>
        </w:rPr>
        <w:t>UGI CORPORATION AND SUBSIDIARIES</w:t>
      </w:r>
    </w:p>
    <w:p w:rsidR="00000000" w:rsidRDefault="005D625B">
      <w:pPr>
        <w:jc w:val="center"/>
        <w:divId w:val="1742021148"/>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440682006"/>
        <w:rPr>
          <w:rFonts w:eastAsia="Times New Roman"/>
        </w:rPr>
      </w:pPr>
      <w:r>
        <w:rPr>
          <w:rFonts w:eastAsia="Times New Roman"/>
          <w:color w:val="000000"/>
          <w:sz w:val="20"/>
          <w:szCs w:val="20"/>
        </w:rPr>
        <w:t>(unaudited)</w:t>
      </w:r>
    </w:p>
    <w:p w:rsidR="00000000" w:rsidRDefault="005D625B">
      <w:pPr>
        <w:jc w:val="center"/>
        <w:divId w:val="440682006"/>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p w:rsidR="00000000" w:rsidRDefault="005D625B">
      <w:pPr>
        <w:jc w:val="both"/>
        <w:rPr>
          <w:rFonts w:eastAsia="Times New Roman"/>
        </w:rPr>
      </w:pPr>
      <w:r>
        <w:rPr>
          <w:rFonts w:eastAsia="Times New Roman"/>
          <w:color w:val="000000"/>
          <w:sz w:val="20"/>
          <w:szCs w:val="20"/>
        </w:rPr>
        <w:t xml:space="preserve">exchange contracts as net investment hedges and all changes in the fair value of these contracts are reported in the cumulative translation adjustment component in AOCI.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Our euro-denominated long-term debt has also been </w:t>
      </w:r>
      <w:r>
        <w:rPr>
          <w:rFonts w:eastAsia="Times New Roman"/>
          <w:color w:val="000000"/>
          <w:sz w:val="20"/>
          <w:szCs w:val="20"/>
        </w:rPr>
        <w:t>designated as net investment hedges of a portion of our UGI International euro-denominated net investment. We recognized pre-tax losses associated with these net investment hedges in the cumulative translation adjustment component in AOCI of $8 and $13 dur</w:t>
      </w:r>
      <w:r>
        <w:rPr>
          <w:rFonts w:eastAsia="Times New Roman"/>
          <w:color w:val="000000"/>
          <w:sz w:val="20"/>
          <w:szCs w:val="20"/>
        </w:rPr>
        <w:t xml:space="preserve">ing the three months ended June 30, 2021 and 2020, respectively, $9 and $22 during the nine months ended June 30, 2021 and 2020, respectively. </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Quantitative Disclosures Related to Derivative Instruments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 following table summarizes by derivative type</w:t>
      </w:r>
      <w:r>
        <w:rPr>
          <w:rFonts w:eastAsia="Times New Roman"/>
          <w:color w:val="000000"/>
          <w:sz w:val="20"/>
          <w:szCs w:val="20"/>
        </w:rPr>
        <w:t xml:space="preserve"> the gross notional amounts related to open derivative contracts at June 30, 2021, September 30, 2020 and June 30, 2020, and the final settlement dates of the Company's open derivative contracts as of June 30, 2021, excluding those derivatives that qualifi</w:t>
      </w:r>
      <w:r>
        <w:rPr>
          <w:rFonts w:eastAsia="Times New Roman"/>
          <w:color w:val="000000"/>
          <w:sz w:val="20"/>
          <w:szCs w:val="20"/>
        </w:rPr>
        <w:t>ed for the NPNS exception: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670"/>
        <w:gridCol w:w="38"/>
        <w:gridCol w:w="36"/>
        <w:gridCol w:w="36"/>
        <w:gridCol w:w="36"/>
        <w:gridCol w:w="95"/>
        <w:gridCol w:w="903"/>
        <w:gridCol w:w="36"/>
        <w:gridCol w:w="36"/>
        <w:gridCol w:w="36"/>
        <w:gridCol w:w="36"/>
        <w:gridCol w:w="68"/>
        <w:gridCol w:w="914"/>
        <w:gridCol w:w="36"/>
        <w:gridCol w:w="36"/>
        <w:gridCol w:w="36"/>
        <w:gridCol w:w="36"/>
        <w:gridCol w:w="120"/>
        <w:gridCol w:w="837"/>
        <w:gridCol w:w="36"/>
        <w:gridCol w:w="36"/>
        <w:gridCol w:w="36"/>
        <w:gridCol w:w="36"/>
        <w:gridCol w:w="121"/>
        <w:gridCol w:w="860"/>
        <w:gridCol w:w="36"/>
        <w:gridCol w:w="36"/>
        <w:gridCol w:w="36"/>
        <w:gridCol w:w="36"/>
        <w:gridCol w:w="120"/>
        <w:gridCol w:w="800"/>
        <w:gridCol w:w="36"/>
      </w:tblGrid>
      <w:tr w:rsidR="00000000">
        <w:trPr>
          <w:divId w:val="996031404"/>
          <w:jc w:val="center"/>
        </w:trPr>
        <w:tc>
          <w:tcPr>
            <w:tcW w:w="50" w:type="pct"/>
            <w:vAlign w:val="center"/>
            <w:hideMark/>
          </w:tcPr>
          <w:p w:rsidR="00000000" w:rsidRDefault="005D625B">
            <w:pPr>
              <w:jc w:val="both"/>
              <w:rPr>
                <w:rFonts w:eastAsia="Times New Roman"/>
              </w:rPr>
            </w:pPr>
          </w:p>
        </w:tc>
        <w:tc>
          <w:tcPr>
            <w:tcW w:w="164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7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66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6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4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Notional Amounts</w:t>
            </w:r>
            <w:r>
              <w:rPr>
                <w:rFonts w:eastAsia="Times New Roman"/>
                <w:color w:val="000000"/>
                <w:sz w:val="20"/>
                <w:szCs w:val="20"/>
              </w:rPr>
              <w:br/>
              <w:t>(in millions)</w:t>
            </w:r>
          </w:p>
        </w:tc>
      </w:tr>
      <w:tr w:rsidR="00000000">
        <w:trPr>
          <w:divId w:val="996031404"/>
          <w:jc w:val="center"/>
        </w:trPr>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Type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Units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Settlements Extending Through</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June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June 30, 2020</w:t>
            </w:r>
          </w:p>
        </w:tc>
      </w:tr>
      <w:tr w:rsidR="00000000">
        <w:trPr>
          <w:divId w:val="996031404"/>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Commodity Price Risk:</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i/>
                <w:iCs/>
                <w:color w:val="000000"/>
                <w:sz w:val="20"/>
                <w:szCs w:val="20"/>
              </w:rPr>
              <w:t>Regulated Utility Operations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Gas Utility NYMEX natural gas futures and option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Dekatherms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February 2022</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996031404"/>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i/>
                <w:iCs/>
                <w:color w:val="000000"/>
                <w:sz w:val="20"/>
                <w:szCs w:val="20"/>
              </w:rPr>
              <w:t>Non-utility Operations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LPG swaps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Gallons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November 2023</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688 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846 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890 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996031404"/>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Natural gas futures, forward, basis swap, options and pipeline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Dekatherms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July 2026</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339 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996031404"/>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Electricity forward and futures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Kilowatt hours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January 2026</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4,730 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4,705 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4,144 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996031404"/>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Interest Rate Risk:</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Interest rate swaps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Euro</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October 2022</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996031404"/>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Interest rate swaps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September 2024</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1,424 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1,347 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996031404"/>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Foreign Currency Exchange Rate Risk:</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996031404"/>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Forward foreign currency exchange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October 2024</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504 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996031404"/>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Net investment hedge forward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Euro</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October 2024</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996031404"/>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bl>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Derivative Instrument Credit Risk</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We are exposed to risk of loss in the event of nonperformance by our derivative</w:t>
      </w:r>
      <w:r>
        <w:rPr>
          <w:rFonts w:eastAsia="Times New Roman"/>
          <w:color w:val="000000"/>
          <w:sz w:val="20"/>
          <w:szCs w:val="20"/>
        </w:rPr>
        <w:t xml:space="preserve"> instrument counterparties. Our derivative instrument counterparties principally comprise large energy companies and major U.S. and international financial institutions. We maintain credit policies with regard to our counterparties that we believe reduce o</w:t>
      </w:r>
      <w:r>
        <w:rPr>
          <w:rFonts w:eastAsia="Times New Roman"/>
          <w:color w:val="000000"/>
          <w:sz w:val="20"/>
          <w:szCs w:val="20"/>
        </w:rPr>
        <w:t>verall credit risk. These policies include evaluating and monitoring our counterparties’ financial condition, including their credit ratings, and entering into agreements with counterparties that govern credit limits or entering into netting agreements tha</w:t>
      </w:r>
      <w:r>
        <w:rPr>
          <w:rFonts w:eastAsia="Times New Roman"/>
          <w:color w:val="000000"/>
          <w:sz w:val="20"/>
          <w:szCs w:val="20"/>
        </w:rPr>
        <w:t>t allow for offsetting counterparty receivable and payable balances for certain financial transactions, as deemed appropriate. Certain of these agreements call for the posting of collateral by the counterparty or by the Company in the forms of letters of c</w:t>
      </w:r>
      <w:r>
        <w:rPr>
          <w:rFonts w:eastAsia="Times New Roman"/>
          <w:color w:val="000000"/>
          <w:sz w:val="20"/>
          <w:szCs w:val="20"/>
        </w:rPr>
        <w:t>redit, parental guarantees or cash. Additionally, our commodity exchange traded futures contracts generally require cash deposits in margin accounts. Restricted cash in brokerage accounts is reported in “Restricted cash” on the Condensed Consolidated Balan</w:t>
      </w:r>
      <w:r>
        <w:rPr>
          <w:rFonts w:eastAsia="Times New Roman"/>
          <w:color w:val="000000"/>
          <w:sz w:val="20"/>
          <w:szCs w:val="20"/>
        </w:rPr>
        <w:t>ce Sheets. Although we have concentrations of credit risk associated with derivative instruments, the maximum amount of loss we would incur if these counterparties failed to perform according to the terms of their contracts, based upon the gross fair value</w:t>
      </w:r>
      <w:r>
        <w:rPr>
          <w:rFonts w:eastAsia="Times New Roman"/>
          <w:color w:val="000000"/>
          <w:sz w:val="20"/>
          <w:szCs w:val="20"/>
        </w:rPr>
        <w:t xml:space="preserve">s of the derivative instruments, was not material at June 30, 2021. Certain of the Partnership’s derivative contracts have credit-risk-related </w:t>
      </w:r>
    </w:p>
    <w:p w:rsidR="00000000" w:rsidRDefault="005D625B">
      <w:pPr>
        <w:jc w:val="center"/>
        <w:divId w:val="1268659177"/>
        <w:rPr>
          <w:rFonts w:eastAsia="Times New Roman"/>
        </w:rPr>
      </w:pPr>
      <w:r>
        <w:rPr>
          <w:rFonts w:eastAsia="Times New Roman"/>
          <w:color w:val="000000"/>
          <w:sz w:val="20"/>
          <w:szCs w:val="20"/>
        </w:rPr>
        <w:t>27</w:t>
      </w:r>
    </w:p>
    <w:p w:rsidR="00000000" w:rsidRDefault="005D625B">
      <w:pPr>
        <w:rPr>
          <w:rFonts w:eastAsia="Times New Roman"/>
        </w:rPr>
      </w:pPr>
      <w:r>
        <w:rPr>
          <w:rFonts w:eastAsia="Times New Roman"/>
        </w:rPr>
        <w:pict>
          <v:rect id="_x0000_i1053" style="width:0;height:1.5pt" o:hralign="center" o:hrstd="t" o:hr="t" fillcolor="#a0a0a0" stroked="f"/>
        </w:pict>
      </w:r>
    </w:p>
    <w:p w:rsidR="00000000" w:rsidRDefault="005D625B">
      <w:pPr>
        <w:divId w:val="511645184"/>
        <w:rPr>
          <w:rFonts w:eastAsia="Times New Roman"/>
        </w:rPr>
      </w:pPr>
      <w:hyperlink w:anchor="i8e9ae631f70f4c00b4ea140d922613cd_7" w:history="1">
        <w:r>
          <w:rPr>
            <w:rStyle w:val="a3"/>
            <w:rFonts w:eastAsia="Times New Roman"/>
            <w:sz w:val="20"/>
            <w:szCs w:val="20"/>
          </w:rPr>
          <w:t>Table of Conte</w:t>
        </w:r>
        <w:r>
          <w:rPr>
            <w:rStyle w:val="a3"/>
            <w:rFonts w:eastAsia="Times New Roman"/>
            <w:sz w:val="20"/>
            <w:szCs w:val="20"/>
          </w:rPr>
          <w:t>nts</w:t>
        </w:r>
      </w:hyperlink>
    </w:p>
    <w:p w:rsidR="00000000" w:rsidRDefault="005D625B">
      <w:pPr>
        <w:jc w:val="center"/>
        <w:divId w:val="567038498"/>
        <w:rPr>
          <w:rFonts w:eastAsia="Times New Roman"/>
        </w:rPr>
      </w:pPr>
      <w:r>
        <w:rPr>
          <w:rFonts w:eastAsia="Times New Roman"/>
          <w:b/>
          <w:bCs/>
          <w:color w:val="000000"/>
          <w:sz w:val="20"/>
          <w:szCs w:val="20"/>
        </w:rPr>
        <w:t>UGI CORPORATION AND SUBSIDIARIES</w:t>
      </w:r>
    </w:p>
    <w:p w:rsidR="00000000" w:rsidRDefault="005D625B">
      <w:pPr>
        <w:jc w:val="center"/>
        <w:divId w:val="2072535595"/>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567038498"/>
        <w:rPr>
          <w:rFonts w:eastAsia="Times New Roman"/>
        </w:rPr>
      </w:pPr>
      <w:r>
        <w:rPr>
          <w:rFonts w:eastAsia="Times New Roman"/>
          <w:color w:val="000000"/>
          <w:sz w:val="20"/>
          <w:szCs w:val="20"/>
        </w:rPr>
        <w:t>(unaudited)</w:t>
      </w:r>
    </w:p>
    <w:p w:rsidR="00000000" w:rsidRDefault="005D625B">
      <w:pPr>
        <w:jc w:val="center"/>
        <w:divId w:val="567038498"/>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color w:val="000000"/>
          <w:sz w:val="20"/>
          <w:szCs w:val="20"/>
        </w:rPr>
        <w:t>contingent features that may require the posting of additional collateral i</w:t>
      </w:r>
      <w:r>
        <w:rPr>
          <w:rFonts w:eastAsia="Times New Roman"/>
          <w:color w:val="000000"/>
          <w:sz w:val="20"/>
          <w:szCs w:val="20"/>
        </w:rPr>
        <w:t>n the event of a downgrade of the Partnership’s debt rating. At June 30, 2021, if the credit-risk-related contingent features were triggered, the amount of collateral required to be posted would not be material.</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Offsetting Derivative Assets and Liabiliti</w:t>
      </w:r>
      <w:r>
        <w:rPr>
          <w:rFonts w:eastAsia="Times New Roman"/>
          <w:b/>
          <w:bCs/>
          <w:color w:val="000000"/>
          <w:sz w:val="20"/>
          <w:szCs w:val="20"/>
        </w:rPr>
        <w:t>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Derivative assets and liabilities are presented net by counterparty on the Condensed Consolidated Balance Sheets if the right of offset exists. We offset amounts recognized for the right to reclaim cash collateral or the obligation to return cash coll</w:t>
      </w:r>
      <w:r>
        <w:rPr>
          <w:rFonts w:eastAsia="Times New Roman"/>
          <w:color w:val="000000"/>
          <w:sz w:val="20"/>
          <w:szCs w:val="20"/>
        </w:rPr>
        <w:t>ateral against amounts recognized for derivative instruments executed with the same counterparty. Our derivative instruments include both those that are executed on an exchange through brokers and centrally cleared and over-the-counter transactions. Exchan</w:t>
      </w:r>
      <w:r>
        <w:rPr>
          <w:rFonts w:eastAsia="Times New Roman"/>
          <w:color w:val="000000"/>
          <w:sz w:val="20"/>
          <w:szCs w:val="20"/>
        </w:rPr>
        <w:t xml:space="preserve">ge contracts utilize a financial intermediary, exchange or clearinghouse to enter, execute or clear the transactions. Over-the-counter contracts are bilateral contracts that are transacted directly with a third party. Certain over-the-counter and exchange </w:t>
      </w:r>
      <w:r>
        <w:rPr>
          <w:rFonts w:eastAsia="Times New Roman"/>
          <w:color w:val="000000"/>
          <w:sz w:val="20"/>
          <w:szCs w:val="20"/>
        </w:rPr>
        <w:t xml:space="preserve">contracts contain contractual rights of offset through master netting arrangements, derivative clearing agreements and contract default provisions. In addition, the contracts are subject to conditional rights of offset through counterparty nonperformance, </w:t>
      </w:r>
      <w:r>
        <w:rPr>
          <w:rFonts w:eastAsia="Times New Roman"/>
          <w:color w:val="000000"/>
          <w:sz w:val="20"/>
          <w:szCs w:val="20"/>
        </w:rPr>
        <w:t>insolvency or other conditions.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In general, most of our over-the-counter transactions and all exchange contracts are subject to collateral requirements. Types of collateral generally include cash or letters of credit. Cash collateral paid by us to our over-the-counter derivative counterp</w:t>
      </w:r>
      <w:r>
        <w:rPr>
          <w:rFonts w:eastAsia="Times New Roman"/>
          <w:color w:val="000000"/>
          <w:sz w:val="20"/>
          <w:szCs w:val="20"/>
        </w:rPr>
        <w:t>arties, if any, is reflected in the table below to offset derivative liabilities. Cash collateral received by us from our over-the-counter derivative counterparties, if any, is reflected in the table below to offset derivative assets. Certain other account</w:t>
      </w:r>
      <w:r>
        <w:rPr>
          <w:rFonts w:eastAsia="Times New Roman"/>
          <w:color w:val="000000"/>
          <w:sz w:val="20"/>
          <w:szCs w:val="20"/>
        </w:rPr>
        <w:t>s receivable and accounts payable balances recognized on the Condensed Consolidated Balance Sheets with our derivative counterparties are not included in the table below but could reduce our net exposure to such counterparties because such balances are sub</w:t>
      </w:r>
      <w:r>
        <w:rPr>
          <w:rFonts w:eastAsia="Times New Roman"/>
          <w:color w:val="000000"/>
          <w:sz w:val="20"/>
          <w:szCs w:val="20"/>
        </w:rPr>
        <w:t>ject to master netting or similar arrangements.</w:t>
      </w:r>
    </w:p>
    <w:p w:rsidR="00000000" w:rsidRDefault="005D625B">
      <w:pPr>
        <w:jc w:val="both"/>
        <w:rPr>
          <w:rFonts w:eastAsia="Times New Roman"/>
        </w:rPr>
      </w:pPr>
    </w:p>
    <w:p w:rsidR="00000000" w:rsidRDefault="005D625B">
      <w:pPr>
        <w:jc w:val="center"/>
        <w:divId w:val="2011562589"/>
        <w:rPr>
          <w:rFonts w:eastAsia="Times New Roman"/>
        </w:rPr>
      </w:pPr>
      <w:r>
        <w:rPr>
          <w:rFonts w:eastAsia="Times New Roman"/>
          <w:color w:val="000000"/>
          <w:sz w:val="20"/>
          <w:szCs w:val="20"/>
        </w:rPr>
        <w:t>28</w:t>
      </w:r>
    </w:p>
    <w:p w:rsidR="00000000" w:rsidRDefault="005D625B">
      <w:pPr>
        <w:rPr>
          <w:rFonts w:eastAsia="Times New Roman"/>
        </w:rPr>
      </w:pPr>
      <w:r>
        <w:rPr>
          <w:rFonts w:eastAsia="Times New Roman"/>
        </w:rPr>
        <w:pict>
          <v:rect id="_x0000_i1054" style="width:0;height:1.5pt" o:hralign="center" o:hrstd="t" o:hr="t" fillcolor="#a0a0a0" stroked="f"/>
        </w:pict>
      </w:r>
    </w:p>
    <w:p w:rsidR="00000000" w:rsidRDefault="005D625B">
      <w:pPr>
        <w:divId w:val="190606021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874150591"/>
        <w:rPr>
          <w:rFonts w:eastAsia="Times New Roman"/>
        </w:rPr>
      </w:pPr>
      <w:r>
        <w:rPr>
          <w:rFonts w:eastAsia="Times New Roman"/>
          <w:b/>
          <w:bCs/>
          <w:color w:val="000000"/>
          <w:sz w:val="20"/>
          <w:szCs w:val="20"/>
        </w:rPr>
        <w:t>UGI CORPORATION AND SUBSIDIARIES</w:t>
      </w:r>
    </w:p>
    <w:p w:rsidR="00000000" w:rsidRDefault="005D625B">
      <w:pPr>
        <w:jc w:val="center"/>
        <w:divId w:val="660086942"/>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1874150591"/>
        <w:rPr>
          <w:rFonts w:eastAsia="Times New Roman"/>
        </w:rPr>
      </w:pPr>
      <w:r>
        <w:rPr>
          <w:rFonts w:eastAsia="Times New Roman"/>
          <w:color w:val="000000"/>
          <w:sz w:val="20"/>
          <w:szCs w:val="20"/>
        </w:rPr>
        <w:t>(unaudited)</w:t>
      </w:r>
    </w:p>
    <w:p w:rsidR="00000000" w:rsidRDefault="005D625B">
      <w:pPr>
        <w:jc w:val="center"/>
        <w:divId w:val="1874150591"/>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b/>
          <w:bCs/>
          <w:color w:val="000000"/>
          <w:sz w:val="20"/>
          <w:szCs w:val="20"/>
        </w:rPr>
        <w:t>Fair Value of Derivative Instruments</w:t>
      </w:r>
    </w:p>
    <w:p w:rsidR="00000000" w:rsidRDefault="005D625B">
      <w:pPr>
        <w:jc w:val="both"/>
        <w:rPr>
          <w:rFonts w:eastAsia="Times New Roman"/>
        </w:rPr>
      </w:pPr>
      <w:r>
        <w:rPr>
          <w:rFonts w:eastAsia="Times New Roman"/>
          <w:color w:val="000000"/>
          <w:sz w:val="20"/>
          <w:szCs w:val="20"/>
        </w:rPr>
        <w:t> </w:t>
      </w:r>
    </w:p>
    <w:p w:rsidR="00000000" w:rsidRDefault="005D625B">
      <w:pPr>
        <w:jc w:val="both"/>
        <w:rPr>
          <w:rFonts w:eastAsia="Times New Roman"/>
        </w:rPr>
      </w:pPr>
      <w:r>
        <w:rPr>
          <w:rFonts w:eastAsia="Times New Roman"/>
          <w:color w:val="000000"/>
          <w:sz w:val="20"/>
          <w:szCs w:val="20"/>
        </w:rPr>
        <w:t>The following table presents the Company’s derivative assets and liabilit</w:t>
      </w:r>
      <w:r>
        <w:rPr>
          <w:rFonts w:eastAsia="Times New Roman"/>
          <w:color w:val="000000"/>
          <w:sz w:val="20"/>
          <w:szCs w:val="20"/>
        </w:rPr>
        <w:t>ies by type, as well as the effects of offsetting:</w:t>
      </w:r>
    </w:p>
    <w:tbl>
      <w:tblPr>
        <w:tblW w:w="5000" w:type="pct"/>
        <w:tblCellMar>
          <w:top w:w="15" w:type="dxa"/>
          <w:left w:w="15" w:type="dxa"/>
          <w:bottom w:w="15" w:type="dxa"/>
          <w:right w:w="15" w:type="dxa"/>
        </w:tblCellMar>
        <w:tblLook w:val="04A0" w:firstRow="1" w:lastRow="0" w:firstColumn="1" w:lastColumn="0" w:noHBand="0" w:noVBand="1"/>
      </w:tblPr>
      <w:tblGrid>
        <w:gridCol w:w="38"/>
        <w:gridCol w:w="4814"/>
        <w:gridCol w:w="37"/>
        <w:gridCol w:w="36"/>
        <w:gridCol w:w="36"/>
        <w:gridCol w:w="36"/>
        <w:gridCol w:w="120"/>
        <w:gridCol w:w="874"/>
        <w:gridCol w:w="36"/>
        <w:gridCol w:w="36"/>
        <w:gridCol w:w="36"/>
        <w:gridCol w:w="36"/>
        <w:gridCol w:w="121"/>
        <w:gridCol w:w="874"/>
        <w:gridCol w:w="36"/>
        <w:gridCol w:w="36"/>
        <w:gridCol w:w="36"/>
        <w:gridCol w:w="36"/>
        <w:gridCol w:w="120"/>
        <w:gridCol w:w="876"/>
        <w:gridCol w:w="36"/>
      </w:tblGrid>
      <w:tr w:rsidR="00000000">
        <w:trPr>
          <w:divId w:val="1499610075"/>
        </w:trPr>
        <w:tc>
          <w:tcPr>
            <w:tcW w:w="50" w:type="pct"/>
            <w:vAlign w:val="center"/>
            <w:hideMark/>
          </w:tcPr>
          <w:p w:rsidR="00000000" w:rsidRDefault="005D625B">
            <w:pPr>
              <w:jc w:val="both"/>
              <w:rPr>
                <w:rFonts w:eastAsia="Times New Roman"/>
              </w:rPr>
            </w:pPr>
          </w:p>
        </w:tc>
        <w:tc>
          <w:tcPr>
            <w:tcW w:w="29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June 30,</w:t>
            </w:r>
            <w:r>
              <w:rPr>
                <w:rFonts w:eastAsia="Times New Roman"/>
                <w:color w:val="000000"/>
                <w:sz w:val="20"/>
                <w:szCs w:val="20"/>
              </w:rPr>
              <w:b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September 30,</w:t>
            </w:r>
            <w:r>
              <w:rPr>
                <w:rFonts w:eastAsia="Times New Roman"/>
                <w:color w:val="000000"/>
                <w:sz w:val="20"/>
                <w:szCs w:val="20"/>
              </w:rPr>
              <w:b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June 30,</w:t>
            </w:r>
            <w:r>
              <w:rPr>
                <w:rFonts w:eastAsia="Times New Roman"/>
                <w:color w:val="000000"/>
                <w:sz w:val="20"/>
                <w:szCs w:val="20"/>
              </w:rPr>
              <w:br/>
              <w:t>2020</w:t>
            </w:r>
          </w:p>
        </w:tc>
      </w:tr>
      <w:tr w:rsidR="00000000">
        <w:trPr>
          <w:divId w:val="1499610075"/>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Derivative 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1499610075"/>
        </w:trPr>
        <w:tc>
          <w:tcPr>
            <w:tcW w:w="0" w:type="auto"/>
            <w:gridSpan w:val="3"/>
            <w:vAlign w:val="center"/>
            <w:hideMark/>
          </w:tcPr>
          <w:p w:rsidR="00000000" w:rsidRDefault="005D625B">
            <w:pPr>
              <w:spacing w:after="100"/>
              <w:rPr>
                <w:rFonts w:eastAsia="Times New Roman"/>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1499610075"/>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FFFF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Total derivative assets — gross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Gross amounts offset in the balance sheet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Cash collateral received</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Total derivative assets — net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Derivative liabilities: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shd w:val="clear" w:color="auto" w:fill="FFFF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shd w:val="clear" w:color="auto" w:fill="FFFF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499610075"/>
        </w:trPr>
        <w:tc>
          <w:tcPr>
            <w:tcW w:w="0" w:type="auto"/>
            <w:gridSpan w:val="3"/>
            <w:shd w:val="clear" w:color="auto" w:fill="FFFF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CCEEFF"/>
            <w:tcMar>
              <w:top w:w="30" w:type="dxa"/>
              <w:left w:w="245" w:type="dxa"/>
              <w:bottom w:w="30" w:type="dxa"/>
              <w:right w:w="20" w:type="dxa"/>
            </w:tcMar>
            <w:hideMark/>
          </w:tcPr>
          <w:p w:rsidR="00000000" w:rsidRDefault="005D625B">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Total derivative liabilities — gross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Gross amounts offset in the balance sheet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Cash collateral pledged</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499610075"/>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Total derivative liabilities — net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w:t>
            </w:r>
            <w:r>
              <w:rPr>
                <w:rFonts w:eastAsia="Times New Roman"/>
                <w:color w:val="000000"/>
                <w:sz w:val="20"/>
                <w:szCs w:val="20"/>
              </w:rPr>
              <w:t>123)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p>
    <w:p w:rsidR="00000000" w:rsidRDefault="005D625B">
      <w:pPr>
        <w:jc w:val="center"/>
        <w:divId w:val="1804229476"/>
        <w:rPr>
          <w:rFonts w:eastAsia="Times New Roman"/>
        </w:rPr>
      </w:pPr>
      <w:r>
        <w:rPr>
          <w:rFonts w:eastAsia="Times New Roman"/>
          <w:color w:val="000000"/>
          <w:sz w:val="20"/>
          <w:szCs w:val="20"/>
        </w:rPr>
        <w:t>29</w:t>
      </w:r>
    </w:p>
    <w:p w:rsidR="00000000" w:rsidRDefault="005D625B">
      <w:pPr>
        <w:rPr>
          <w:rFonts w:eastAsia="Times New Roman"/>
        </w:rPr>
      </w:pPr>
      <w:r>
        <w:rPr>
          <w:rFonts w:eastAsia="Times New Roman"/>
        </w:rPr>
        <w:pict>
          <v:rect id="_x0000_i1055" style="width:0;height:1.5pt" o:hralign="center" o:hrstd="t" o:hr="t" fillcolor="#a0a0a0" stroked="f"/>
        </w:pict>
      </w:r>
    </w:p>
    <w:p w:rsidR="00000000" w:rsidRDefault="005D625B">
      <w:pPr>
        <w:divId w:val="708922754"/>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153064579"/>
        <w:rPr>
          <w:rFonts w:eastAsia="Times New Roman"/>
        </w:rPr>
      </w:pPr>
      <w:r>
        <w:rPr>
          <w:rFonts w:eastAsia="Times New Roman"/>
          <w:b/>
          <w:bCs/>
          <w:color w:val="000000"/>
          <w:sz w:val="20"/>
          <w:szCs w:val="20"/>
        </w:rPr>
        <w:t>UGI CORPORATION AND SUBSIDIARIES</w:t>
      </w:r>
    </w:p>
    <w:p w:rsidR="00000000" w:rsidRDefault="005D625B">
      <w:pPr>
        <w:jc w:val="center"/>
        <w:divId w:val="68163794"/>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1153064579"/>
        <w:rPr>
          <w:rFonts w:eastAsia="Times New Roman"/>
        </w:rPr>
      </w:pPr>
      <w:r>
        <w:rPr>
          <w:rFonts w:eastAsia="Times New Roman"/>
          <w:color w:val="000000"/>
          <w:sz w:val="20"/>
          <w:szCs w:val="20"/>
        </w:rPr>
        <w:t>(unaudited)</w:t>
      </w:r>
    </w:p>
    <w:p w:rsidR="00000000" w:rsidRDefault="005D625B">
      <w:pPr>
        <w:jc w:val="center"/>
        <w:divId w:val="1153064579"/>
        <w:rPr>
          <w:rFonts w:eastAsia="Times New Roman"/>
        </w:rPr>
      </w:pPr>
      <w:r>
        <w:rPr>
          <w:rFonts w:eastAsia="Times New Roman"/>
          <w:color w:val="000000"/>
          <w:sz w:val="20"/>
          <w:szCs w:val="20"/>
        </w:rPr>
        <w:t>(Currency in millions, except per share amounts and where indicated otherwise)</w:t>
      </w:r>
    </w:p>
    <w:p w:rsidR="00000000" w:rsidRDefault="005D625B">
      <w:pPr>
        <w:divId w:val="1537963091"/>
        <w:rPr>
          <w:rFonts w:eastAsia="Times New Roman"/>
        </w:rPr>
      </w:pPr>
      <w:r>
        <w:rPr>
          <w:rFonts w:eastAsia="Times New Roman"/>
          <w:b/>
          <w:bCs/>
          <w:color w:val="000000"/>
          <w:sz w:val="20"/>
          <w:szCs w:val="20"/>
        </w:rPr>
        <w:t>Effects of Derivative Instruments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 following tables provide information on the effects of derivative instruments on the Condensed Consolidated Statements of Income and chan</w:t>
      </w:r>
      <w:r>
        <w:rPr>
          <w:rFonts w:eastAsia="Times New Roman"/>
          <w:color w:val="000000"/>
          <w:sz w:val="20"/>
          <w:szCs w:val="20"/>
        </w:rPr>
        <w:t>ges in AOCI:</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2554"/>
        <w:gridCol w:w="39"/>
        <w:gridCol w:w="36"/>
        <w:gridCol w:w="36"/>
        <w:gridCol w:w="36"/>
        <w:gridCol w:w="121"/>
        <w:gridCol w:w="799"/>
        <w:gridCol w:w="37"/>
        <w:gridCol w:w="36"/>
        <w:gridCol w:w="43"/>
        <w:gridCol w:w="36"/>
        <w:gridCol w:w="120"/>
        <w:gridCol w:w="798"/>
        <w:gridCol w:w="36"/>
        <w:gridCol w:w="36"/>
        <w:gridCol w:w="36"/>
        <w:gridCol w:w="36"/>
        <w:gridCol w:w="121"/>
        <w:gridCol w:w="669"/>
        <w:gridCol w:w="37"/>
        <w:gridCol w:w="37"/>
        <w:gridCol w:w="37"/>
        <w:gridCol w:w="37"/>
        <w:gridCol w:w="120"/>
        <w:gridCol w:w="668"/>
        <w:gridCol w:w="36"/>
        <w:gridCol w:w="36"/>
        <w:gridCol w:w="36"/>
        <w:gridCol w:w="36"/>
        <w:gridCol w:w="50"/>
        <w:gridCol w:w="1438"/>
        <w:gridCol w:w="36"/>
      </w:tblGrid>
      <w:tr w:rsidR="00000000">
        <w:trPr>
          <w:divId w:val="1373070791"/>
          <w:jc w:val="center"/>
        </w:trPr>
        <w:tc>
          <w:tcPr>
            <w:tcW w:w="50" w:type="pct"/>
            <w:vAlign w:val="center"/>
            <w:hideMark/>
          </w:tcPr>
          <w:p w:rsidR="00000000" w:rsidRDefault="005D625B">
            <w:pPr>
              <w:jc w:val="both"/>
              <w:rPr>
                <w:rFonts w:eastAsia="Times New Roman"/>
              </w:rPr>
            </w:pPr>
          </w:p>
        </w:tc>
        <w:tc>
          <w:tcPr>
            <w:tcW w:w="158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7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373070791"/>
          <w:trHeight w:val="6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u w:val="single"/>
              </w:rPr>
              <w:t>Three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trHeight w:val="70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 xml:space="preserve">Gain (Loss) </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Location of Loss Reclassified from</w:t>
            </w:r>
            <w:r>
              <w:rPr>
                <w:rFonts w:eastAsia="Times New Roman"/>
                <w:color w:val="000000"/>
                <w:sz w:val="20"/>
                <w:szCs w:val="20"/>
              </w:rPr>
              <w:br/>
              <w:t>AOCI into Income</w:t>
            </w:r>
          </w:p>
        </w:tc>
      </w:tr>
      <w:tr w:rsidR="00000000">
        <w:trPr>
          <w:divId w:val="1373070791"/>
          <w:trHeight w:val="280"/>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vMerge/>
            <w:vAlign w:val="center"/>
            <w:hideMark/>
          </w:tcPr>
          <w:p w:rsidR="00000000" w:rsidRDefault="005D625B">
            <w:pPr>
              <w:spacing w:after="100"/>
              <w:rPr>
                <w:rFonts w:eastAsia="Times New Roman"/>
              </w:rPr>
            </w:pPr>
          </w:p>
        </w:tc>
      </w:tr>
      <w:tr w:rsidR="00000000">
        <w:trPr>
          <w:divId w:val="1373070791"/>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Interest expense</w:t>
            </w:r>
          </w:p>
        </w:tc>
      </w:tr>
      <w:tr w:rsidR="00000000">
        <w:trPr>
          <w:divId w:val="1373070791"/>
          <w:jc w:val="center"/>
        </w:trPr>
        <w:tc>
          <w:tcPr>
            <w:tcW w:w="0" w:type="auto"/>
            <w:gridSpan w:val="3"/>
            <w:vAlign w:val="center"/>
            <w:hideMark/>
          </w:tcPr>
          <w:p w:rsidR="00000000" w:rsidRDefault="005D625B">
            <w:pPr>
              <w:spacing w:after="100"/>
              <w:rPr>
                <w:rFonts w:eastAsia="Times New Roman"/>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73070791"/>
          <w:trHeight w:val="18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b/>
                <w:bCs/>
                <w:color w:val="000000"/>
                <w:sz w:val="20"/>
                <w:szCs w:val="20"/>
              </w:rPr>
              <w:t>Net Investment Hedges: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Borders>
              <w:top w:val="single" w:sz="8" w:space="0" w:color="000000"/>
            </w:tcBorders>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trHeight w:val="18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Derivatives Not Designated as Hedging Instruments: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Location of Gain (Loss) Recognized in Income</w:t>
            </w:r>
          </w:p>
        </w:tc>
      </w:tr>
      <w:tr w:rsidR="00000000">
        <w:trPr>
          <w:divId w:val="1373070791"/>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15"/>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Revenues</w:t>
            </w:r>
          </w:p>
        </w:tc>
      </w:tr>
      <w:tr w:rsidR="00000000">
        <w:trPr>
          <w:divId w:val="1373070791"/>
          <w:jc w:val="center"/>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347 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Cost of sales</w:t>
            </w:r>
          </w:p>
        </w:tc>
      </w:tr>
      <w:tr w:rsidR="00000000">
        <w:trPr>
          <w:divId w:val="1373070791"/>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Operating and administrative expenses</w:t>
            </w:r>
          </w:p>
        </w:tc>
      </w:tr>
      <w:tr w:rsidR="00000000">
        <w:trPr>
          <w:divId w:val="1373070791"/>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 non-operating income (expense), net</w:t>
            </w:r>
          </w:p>
        </w:tc>
      </w:tr>
      <w:tr w:rsidR="00000000">
        <w:trPr>
          <w:divId w:val="1373070791"/>
          <w:jc w:val="center"/>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trHeight w:val="28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u w:val="single"/>
              </w:rPr>
              <w:t>Nine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trHeight w:val="70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Location of Loss Reclassified from</w:t>
            </w:r>
            <w:r>
              <w:rPr>
                <w:rFonts w:eastAsia="Times New Roman"/>
                <w:color w:val="000000"/>
                <w:sz w:val="20"/>
                <w:szCs w:val="20"/>
              </w:rPr>
              <w:br/>
              <w:t>AOCI into Income</w:t>
            </w:r>
          </w:p>
        </w:tc>
      </w:tr>
      <w:tr w:rsidR="00000000">
        <w:trPr>
          <w:divId w:val="1373070791"/>
          <w:trHeight w:val="240"/>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vMerge/>
            <w:vAlign w:val="center"/>
            <w:hideMark/>
          </w:tcPr>
          <w:p w:rsidR="00000000" w:rsidRDefault="005D625B">
            <w:pPr>
              <w:spacing w:after="100"/>
              <w:rPr>
                <w:rFonts w:eastAsia="Times New Roman"/>
              </w:rPr>
            </w:pPr>
          </w:p>
        </w:tc>
      </w:tr>
      <w:tr w:rsidR="00000000">
        <w:trPr>
          <w:divId w:val="1373070791"/>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xml:space="preserve">Interest expense </w:t>
            </w:r>
          </w:p>
        </w:tc>
      </w:tr>
      <w:tr w:rsidR="00000000">
        <w:trPr>
          <w:divId w:val="1373070791"/>
          <w:jc w:val="center"/>
        </w:trPr>
        <w:tc>
          <w:tcPr>
            <w:tcW w:w="0" w:type="auto"/>
            <w:gridSpan w:val="3"/>
            <w:vAlign w:val="center"/>
            <w:hideMark/>
          </w:tcPr>
          <w:p w:rsidR="00000000" w:rsidRDefault="005D625B">
            <w:pPr>
              <w:spacing w:after="100"/>
              <w:rPr>
                <w:rFonts w:eastAsia="Times New Roman"/>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373070791"/>
          <w:trHeight w:val="18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Net Investment Hedges: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Borders>
              <w:top w:val="single" w:sz="8" w:space="0" w:color="000000"/>
            </w:tcBorders>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trHeight w:val="18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3070791"/>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Derivatives Not Designated as Hedging Instruments: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Location of Gain (Loss) Recognized in Income</w:t>
            </w:r>
          </w:p>
        </w:tc>
      </w:tr>
      <w:tr w:rsidR="00000000">
        <w:trPr>
          <w:divId w:val="1373070791"/>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15"/>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Revenues</w:t>
            </w:r>
          </w:p>
        </w:tc>
      </w:tr>
      <w:tr w:rsidR="00000000">
        <w:trPr>
          <w:divId w:val="1373070791"/>
          <w:jc w:val="center"/>
        </w:trPr>
        <w:tc>
          <w:tcPr>
            <w:tcW w:w="0" w:type="auto"/>
            <w:gridSpan w:val="3"/>
            <w:shd w:val="clear" w:color="auto" w:fill="FFFFFF"/>
            <w:tcMar>
              <w:top w:w="30" w:type="dxa"/>
              <w:left w:w="155" w:type="dxa"/>
              <w:bottom w:w="30" w:type="dxa"/>
              <w:right w:w="20" w:type="dxa"/>
            </w:tcMar>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585 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Cost of sales</w:t>
            </w:r>
          </w:p>
        </w:tc>
      </w:tr>
      <w:tr w:rsidR="00000000">
        <w:trPr>
          <w:divId w:val="1373070791"/>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Operating and administrative expenses</w:t>
            </w:r>
          </w:p>
        </w:tc>
      </w:tr>
      <w:tr w:rsidR="00000000">
        <w:trPr>
          <w:divId w:val="1373070791"/>
          <w:jc w:val="center"/>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 operating income, net</w:t>
            </w:r>
          </w:p>
        </w:tc>
      </w:tr>
      <w:tr w:rsidR="00000000">
        <w:trPr>
          <w:divId w:val="1373070791"/>
          <w:jc w:val="center"/>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 non-operating income (expense), net</w:t>
            </w:r>
          </w:p>
        </w:tc>
      </w:tr>
      <w:tr w:rsidR="00000000">
        <w:trPr>
          <w:divId w:val="1373070791"/>
          <w:jc w:val="center"/>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bl>
    <w:p w:rsidR="00000000" w:rsidRDefault="005D625B">
      <w:pPr>
        <w:jc w:val="center"/>
        <w:rPr>
          <w:rFonts w:eastAsia="Times New Roman"/>
        </w:rPr>
      </w:pPr>
    </w:p>
    <w:p w:rsidR="00000000" w:rsidRDefault="005D625B">
      <w:pPr>
        <w:jc w:val="both"/>
        <w:rPr>
          <w:rFonts w:eastAsia="Times New Roman"/>
        </w:rPr>
      </w:pPr>
      <w:r>
        <w:rPr>
          <w:rFonts w:eastAsia="Times New Roman"/>
          <w:color w:val="000000"/>
          <w:sz w:val="20"/>
          <w:szCs w:val="20"/>
        </w:rPr>
        <w:t>We are also a party to a number of other contracts that have elements of a derivative instrument. However, these contracts qualify for NPNS exception accounting because they provide for the delivery of products or services in quantities that are expected t</w:t>
      </w:r>
      <w:r>
        <w:rPr>
          <w:rFonts w:eastAsia="Times New Roman"/>
          <w:color w:val="000000"/>
          <w:sz w:val="20"/>
          <w:szCs w:val="20"/>
        </w:rPr>
        <w:t>o be used in the normal course of operating our business and the price in the contract is based on an underlying that is directly associated with the price of the product or service being purchased or sold. These contracts include, among others, binding pu</w:t>
      </w:r>
      <w:r>
        <w:rPr>
          <w:rFonts w:eastAsia="Times New Roman"/>
          <w:color w:val="000000"/>
          <w:sz w:val="20"/>
          <w:szCs w:val="20"/>
        </w:rPr>
        <w:t>rchase orders, contracts that provide for the purchase and delivery, or sale, of energy products, and service contracts that require the counterparty to provide commodity storage, transportation or capacity service to meet our normal sales commitments.</w:t>
      </w:r>
    </w:p>
    <w:p w:rsidR="00000000" w:rsidRDefault="005D625B">
      <w:pPr>
        <w:jc w:val="center"/>
        <w:divId w:val="761800339"/>
        <w:rPr>
          <w:rFonts w:eastAsia="Times New Roman"/>
        </w:rPr>
      </w:pPr>
      <w:r>
        <w:rPr>
          <w:rFonts w:eastAsia="Times New Roman"/>
          <w:color w:val="000000"/>
          <w:sz w:val="20"/>
          <w:szCs w:val="20"/>
        </w:rPr>
        <w:t>30</w:t>
      </w:r>
    </w:p>
    <w:p w:rsidR="00000000" w:rsidRDefault="005D625B">
      <w:pPr>
        <w:rPr>
          <w:rFonts w:eastAsia="Times New Roman"/>
        </w:rPr>
      </w:pPr>
      <w:r>
        <w:rPr>
          <w:rFonts w:eastAsia="Times New Roman"/>
        </w:rPr>
        <w:pict>
          <v:rect id="_x0000_i1056" style="width:0;height:1.5pt" o:hralign="center" o:hrstd="t" o:hr="t" fillcolor="#a0a0a0" stroked="f"/>
        </w:pict>
      </w:r>
    </w:p>
    <w:p w:rsidR="00000000" w:rsidRDefault="005D625B">
      <w:pPr>
        <w:divId w:val="2060668678"/>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725833765"/>
        <w:rPr>
          <w:rFonts w:eastAsia="Times New Roman"/>
        </w:rPr>
      </w:pPr>
      <w:r>
        <w:rPr>
          <w:rFonts w:eastAsia="Times New Roman"/>
          <w:b/>
          <w:bCs/>
          <w:color w:val="000000"/>
          <w:sz w:val="20"/>
          <w:szCs w:val="20"/>
        </w:rPr>
        <w:t>UGI CORPORATION AND SUBSIDIARIES</w:t>
      </w:r>
    </w:p>
    <w:p w:rsidR="00000000" w:rsidRDefault="005D625B">
      <w:pPr>
        <w:jc w:val="center"/>
        <w:divId w:val="1001197036"/>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725833765"/>
        <w:rPr>
          <w:rFonts w:eastAsia="Times New Roman"/>
        </w:rPr>
      </w:pPr>
      <w:r>
        <w:rPr>
          <w:rFonts w:eastAsia="Times New Roman"/>
          <w:color w:val="000000"/>
          <w:sz w:val="20"/>
          <w:szCs w:val="20"/>
        </w:rPr>
        <w:t>(unaudited)</w:t>
      </w:r>
    </w:p>
    <w:p w:rsidR="00000000" w:rsidRDefault="005D625B">
      <w:pPr>
        <w:jc w:val="center"/>
        <w:divId w:val="725833765"/>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u w:val="single"/>
        </w:rPr>
        <w:t>Note 13 — Accumulated Other Comprehensive Income (Loss)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 tables below present changes in AOCI, net of tax:</w:t>
      </w:r>
    </w:p>
    <w:tbl>
      <w:tblPr>
        <w:tblW w:w="4963" w:type="pct"/>
        <w:tblCellMar>
          <w:top w:w="15" w:type="dxa"/>
          <w:left w:w="15" w:type="dxa"/>
          <w:bottom w:w="15" w:type="dxa"/>
          <w:right w:w="15" w:type="dxa"/>
        </w:tblCellMar>
        <w:tblLook w:val="04A0" w:firstRow="1" w:lastRow="0" w:firstColumn="1" w:lastColumn="0" w:noHBand="0" w:noVBand="1"/>
      </w:tblPr>
      <w:tblGrid>
        <w:gridCol w:w="38"/>
        <w:gridCol w:w="4023"/>
        <w:gridCol w:w="37"/>
        <w:gridCol w:w="36"/>
        <w:gridCol w:w="36"/>
        <w:gridCol w:w="36"/>
        <w:gridCol w:w="121"/>
        <w:gridCol w:w="996"/>
        <w:gridCol w:w="36"/>
        <w:gridCol w:w="36"/>
        <w:gridCol w:w="36"/>
        <w:gridCol w:w="36"/>
        <w:gridCol w:w="121"/>
        <w:gridCol w:w="807"/>
        <w:gridCol w:w="36"/>
        <w:gridCol w:w="36"/>
        <w:gridCol w:w="36"/>
        <w:gridCol w:w="36"/>
        <w:gridCol w:w="121"/>
        <w:gridCol w:w="676"/>
        <w:gridCol w:w="36"/>
        <w:gridCol w:w="36"/>
        <w:gridCol w:w="36"/>
        <w:gridCol w:w="36"/>
        <w:gridCol w:w="120"/>
        <w:gridCol w:w="609"/>
        <w:gridCol w:w="36"/>
      </w:tblGrid>
      <w:tr w:rsidR="00000000">
        <w:trPr>
          <w:divId w:val="1702778335"/>
        </w:trPr>
        <w:tc>
          <w:tcPr>
            <w:tcW w:w="50" w:type="pct"/>
            <w:vAlign w:val="center"/>
            <w:hideMark/>
          </w:tcPr>
          <w:p w:rsidR="00000000" w:rsidRDefault="005D625B">
            <w:pPr>
              <w:jc w:val="both"/>
              <w:rPr>
                <w:rFonts w:eastAsia="Times New Roman"/>
              </w:rPr>
            </w:pPr>
          </w:p>
        </w:tc>
        <w:tc>
          <w:tcPr>
            <w:tcW w:w="248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702778335"/>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0277833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Three Months Ended June 30, 2021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Total</w:t>
            </w:r>
          </w:p>
        </w:tc>
      </w:tr>
      <w:tr w:rsidR="00000000">
        <w:trPr>
          <w:divId w:val="170277833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AOCI — March 31, 2021</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2778335"/>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 comprehensive income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2778335"/>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2778335"/>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xml:space="preserve">Other comprehensive income attributable to UGI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2778335"/>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AOCI — June 30, 2021</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2778335"/>
          <w:trHeight w:val="28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0277833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Three Months Ended June 30, 2020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Total</w:t>
            </w:r>
          </w:p>
        </w:tc>
      </w:tr>
      <w:tr w:rsidR="00000000">
        <w:trPr>
          <w:divId w:val="170277833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AOCI — March 31, 2020</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2778335"/>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 comprehensive (loss) income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2778335"/>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2778335"/>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xml:space="preserve">Other comprehensive (loss) income attributable to UGI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02778335"/>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AOCI — June 30, 2020</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4133"/>
        <w:gridCol w:w="144"/>
        <w:gridCol w:w="144"/>
        <w:gridCol w:w="144"/>
        <w:gridCol w:w="144"/>
        <w:gridCol w:w="144"/>
        <w:gridCol w:w="963"/>
        <w:gridCol w:w="144"/>
        <w:gridCol w:w="144"/>
        <w:gridCol w:w="144"/>
        <w:gridCol w:w="144"/>
        <w:gridCol w:w="144"/>
        <w:gridCol w:w="879"/>
        <w:gridCol w:w="144"/>
        <w:gridCol w:w="144"/>
        <w:gridCol w:w="144"/>
        <w:gridCol w:w="144"/>
        <w:gridCol w:w="144"/>
        <w:gridCol w:w="879"/>
        <w:gridCol w:w="144"/>
        <w:gridCol w:w="144"/>
        <w:gridCol w:w="144"/>
        <w:gridCol w:w="144"/>
        <w:gridCol w:w="144"/>
        <w:gridCol w:w="722"/>
        <w:gridCol w:w="144"/>
      </w:tblGrid>
      <w:tr w:rsidR="00000000">
        <w:trPr>
          <w:jc w:val="center"/>
        </w:trPr>
        <w:tc>
          <w:tcPr>
            <w:tcW w:w="50" w:type="pct"/>
            <w:vAlign w:val="center"/>
            <w:hideMark/>
          </w:tcPr>
          <w:p w:rsidR="00000000" w:rsidRDefault="005D625B">
            <w:pPr>
              <w:jc w:val="both"/>
              <w:rPr>
                <w:rFonts w:eastAsia="Times New Roman"/>
              </w:rPr>
            </w:pPr>
          </w:p>
        </w:tc>
        <w:tc>
          <w:tcPr>
            <w:tcW w:w="249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Nine Months Ended June 30, 2021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Total</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xml:space="preserve">AOCI — </w:t>
            </w:r>
            <w:r>
              <w:rPr>
                <w:rFonts w:eastAsia="Times New Roman"/>
                <w:color w:val="000000"/>
                <w:sz w:val="20"/>
                <w:szCs w:val="20"/>
              </w:rPr>
              <w:t>September 30, 2020</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 comprehensive income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xml:space="preserve">Other comprehensive income attributable to UGI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AOCI — June 30, 2021</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Nine Months Ended June 30, 2020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Total</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AOCI — September 30, 2019</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 comprehensive (loss) income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jc w:val="center"/>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AOCI — June 30, 2020</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u w:val="single"/>
        </w:rPr>
        <w:t>Note 14 — Segment Information</w:t>
      </w:r>
      <w:r>
        <w:rPr>
          <w:rFonts w:eastAsia="Times New Roman"/>
          <w:b/>
          <w:bCs/>
          <w:color w:val="000000"/>
          <w:sz w:val="20"/>
          <w:szCs w:val="20"/>
        </w:rPr>
        <w:t xml:space="preserve">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Our operations comprise four reportable segments generally based upon products or services sold, geographic location and regulatory environment: (1) AmeriGas Propane; (2) UGI Internation</w:t>
      </w:r>
      <w:r>
        <w:rPr>
          <w:rFonts w:eastAsia="Times New Roman"/>
          <w:color w:val="000000"/>
          <w:sz w:val="20"/>
          <w:szCs w:val="20"/>
        </w:rPr>
        <w:t>al; (3) Midstream &amp; Marketing; and (4) UGI Utilities.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Corporate &amp; Other includes certain items that are excluded from our CODM’s assessment of segment performance (see below for further details on these items). Corporate &amp; Other also includes the net exp</w:t>
      </w:r>
      <w:r>
        <w:rPr>
          <w:rFonts w:eastAsia="Times New Roman"/>
          <w:color w:val="000000"/>
          <w:sz w:val="20"/>
          <w:szCs w:val="20"/>
        </w:rPr>
        <w:t>enses of UGI’s captive general liability insurance company, UGI’s corporate headquarters facility and UGI’s unallocated corporate and general expenses as well as interest expense on UGI debt that is not allocated. Corporate &amp; Other assets principally compr</w:t>
      </w:r>
      <w:r>
        <w:rPr>
          <w:rFonts w:eastAsia="Times New Roman"/>
          <w:color w:val="000000"/>
          <w:sz w:val="20"/>
          <w:szCs w:val="20"/>
        </w:rPr>
        <w:t xml:space="preserve">ise cash and cash equivalents of UGI and </w:t>
      </w:r>
    </w:p>
    <w:p w:rsidR="00000000" w:rsidRDefault="005D625B">
      <w:pPr>
        <w:jc w:val="center"/>
        <w:divId w:val="1743870575"/>
        <w:rPr>
          <w:rFonts w:eastAsia="Times New Roman"/>
        </w:rPr>
      </w:pPr>
      <w:r>
        <w:rPr>
          <w:rFonts w:eastAsia="Times New Roman"/>
          <w:color w:val="000000"/>
          <w:sz w:val="20"/>
          <w:szCs w:val="20"/>
        </w:rPr>
        <w:t>31</w:t>
      </w:r>
    </w:p>
    <w:p w:rsidR="00000000" w:rsidRDefault="005D625B">
      <w:pPr>
        <w:rPr>
          <w:rFonts w:eastAsia="Times New Roman"/>
        </w:rPr>
      </w:pPr>
      <w:r>
        <w:rPr>
          <w:rFonts w:eastAsia="Times New Roman"/>
        </w:rPr>
        <w:pict>
          <v:rect id="_x0000_i1057" style="width:0;height:1.5pt" o:hralign="center" o:hrstd="t" o:hr="t" fillcolor="#a0a0a0" stroked="f"/>
        </w:pict>
      </w:r>
    </w:p>
    <w:p w:rsidR="00000000" w:rsidRDefault="005D625B">
      <w:pPr>
        <w:divId w:val="328482974"/>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32966983"/>
        <w:rPr>
          <w:rFonts w:eastAsia="Times New Roman"/>
        </w:rPr>
      </w:pPr>
      <w:r>
        <w:rPr>
          <w:rFonts w:eastAsia="Times New Roman"/>
          <w:b/>
          <w:bCs/>
          <w:color w:val="000000"/>
          <w:sz w:val="20"/>
          <w:szCs w:val="20"/>
        </w:rPr>
        <w:t>UGI CORPORATION AND SUBSIDIARIES</w:t>
      </w:r>
    </w:p>
    <w:p w:rsidR="00000000" w:rsidRDefault="005D625B">
      <w:pPr>
        <w:jc w:val="center"/>
        <w:divId w:val="352073582"/>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32966983"/>
        <w:rPr>
          <w:rFonts w:eastAsia="Times New Roman"/>
        </w:rPr>
      </w:pPr>
      <w:r>
        <w:rPr>
          <w:rFonts w:eastAsia="Times New Roman"/>
          <w:color w:val="000000"/>
          <w:sz w:val="20"/>
          <w:szCs w:val="20"/>
        </w:rPr>
        <w:t>(unaudited)</w:t>
      </w:r>
    </w:p>
    <w:p w:rsidR="00000000" w:rsidRDefault="005D625B">
      <w:pPr>
        <w:jc w:val="center"/>
        <w:divId w:val="32966983"/>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rPr>
          <w:rFonts w:eastAsia="Times New Roman"/>
        </w:rPr>
      </w:pPr>
      <w:r>
        <w:rPr>
          <w:rFonts w:eastAsia="Times New Roman"/>
          <w:color w:val="000000"/>
          <w:sz w:val="20"/>
          <w:szCs w:val="20"/>
        </w:rPr>
        <w:t>its captive insurance company, and UGI corporate headquarters’ assets. The accounting policies of our reportable</w:t>
      </w:r>
      <w:r>
        <w:rPr>
          <w:rFonts w:eastAsia="Times New Roman"/>
          <w:color w:val="000000"/>
          <w:sz w:val="20"/>
          <w:szCs w:val="20"/>
        </w:rPr>
        <w:t xml:space="preserve"> segments are the same as those described in Note 2, “Summary of Significant Accounting Policies,” in the Company’s 2020 Annual Report. </w:t>
      </w:r>
    </w:p>
    <w:tbl>
      <w:tblPr>
        <w:tblW w:w="5000" w:type="pct"/>
        <w:tblCellMar>
          <w:top w:w="15" w:type="dxa"/>
          <w:left w:w="15" w:type="dxa"/>
          <w:bottom w:w="15" w:type="dxa"/>
          <w:right w:w="15" w:type="dxa"/>
        </w:tblCellMar>
        <w:tblLook w:val="04A0" w:firstRow="1" w:lastRow="0" w:firstColumn="1" w:lastColumn="0" w:noHBand="0" w:noVBand="1"/>
      </w:tblPr>
      <w:tblGrid>
        <w:gridCol w:w="39"/>
        <w:gridCol w:w="105"/>
        <w:gridCol w:w="1919"/>
        <w:gridCol w:w="38"/>
        <w:gridCol w:w="36"/>
        <w:gridCol w:w="36"/>
        <w:gridCol w:w="36"/>
        <w:gridCol w:w="100"/>
        <w:gridCol w:w="316"/>
        <w:gridCol w:w="84"/>
        <w:gridCol w:w="36"/>
        <w:gridCol w:w="24"/>
        <w:gridCol w:w="12"/>
        <w:gridCol w:w="36"/>
        <w:gridCol w:w="36"/>
        <w:gridCol w:w="60"/>
        <w:gridCol w:w="41"/>
        <w:gridCol w:w="103"/>
        <w:gridCol w:w="144"/>
        <w:gridCol w:w="144"/>
        <w:gridCol w:w="367"/>
        <w:gridCol w:w="36"/>
        <w:gridCol w:w="75"/>
        <w:gridCol w:w="98"/>
        <w:gridCol w:w="47"/>
        <w:gridCol w:w="36"/>
        <w:gridCol w:w="61"/>
        <w:gridCol w:w="40"/>
        <w:gridCol w:w="104"/>
        <w:gridCol w:w="144"/>
        <w:gridCol w:w="144"/>
        <w:gridCol w:w="144"/>
        <w:gridCol w:w="73"/>
        <w:gridCol w:w="36"/>
        <w:gridCol w:w="36"/>
        <w:gridCol w:w="36"/>
        <w:gridCol w:w="36"/>
        <w:gridCol w:w="101"/>
        <w:gridCol w:w="379"/>
        <w:gridCol w:w="144"/>
        <w:gridCol w:w="144"/>
        <w:gridCol w:w="88"/>
        <w:gridCol w:w="36"/>
        <w:gridCol w:w="36"/>
        <w:gridCol w:w="2"/>
        <w:gridCol w:w="34"/>
        <w:gridCol w:w="36"/>
        <w:gridCol w:w="74"/>
        <w:gridCol w:w="27"/>
        <w:gridCol w:w="117"/>
        <w:gridCol w:w="531"/>
        <w:gridCol w:w="36"/>
        <w:gridCol w:w="36"/>
        <w:gridCol w:w="21"/>
        <w:gridCol w:w="15"/>
        <w:gridCol w:w="36"/>
        <w:gridCol w:w="93"/>
        <w:gridCol w:w="8"/>
        <w:gridCol w:w="136"/>
        <w:gridCol w:w="144"/>
        <w:gridCol w:w="144"/>
        <w:gridCol w:w="59"/>
        <w:gridCol w:w="36"/>
        <w:gridCol w:w="36"/>
        <w:gridCol w:w="13"/>
        <w:gridCol w:w="23"/>
        <w:gridCol w:w="36"/>
        <w:gridCol w:w="101"/>
        <w:gridCol w:w="512"/>
        <w:gridCol w:w="144"/>
        <w:gridCol w:w="34"/>
        <w:gridCol w:w="36"/>
        <w:gridCol w:w="74"/>
        <w:gridCol w:w="144"/>
        <w:gridCol w:w="144"/>
        <w:gridCol w:w="144"/>
        <w:gridCol w:w="684"/>
        <w:gridCol w:w="144"/>
        <w:gridCol w:w="144"/>
        <w:gridCol w:w="144"/>
        <w:gridCol w:w="144"/>
        <w:gridCol w:w="144"/>
        <w:gridCol w:w="599"/>
        <w:gridCol w:w="144"/>
        <w:gridCol w:w="144"/>
        <w:gridCol w:w="144"/>
        <w:gridCol w:w="144"/>
        <w:gridCol w:w="144"/>
        <w:gridCol w:w="649"/>
        <w:gridCol w:w="144"/>
      </w:tblGrid>
      <w:tr w:rsidR="00000000">
        <w:trPr>
          <w:gridAfter w:val="18"/>
          <w:divId w:val="1782871104"/>
        </w:trPr>
        <w:tc>
          <w:tcPr>
            <w:tcW w:w="50" w:type="pct"/>
            <w:vAlign w:val="center"/>
            <w:hideMark/>
          </w:tcPr>
          <w:p w:rsidR="00000000" w:rsidRDefault="005D625B">
            <w:pPr>
              <w:jc w:val="both"/>
              <w:rPr>
                <w:rFonts w:eastAsia="Times New Roman"/>
              </w:rPr>
            </w:pPr>
          </w:p>
        </w:tc>
        <w:tc>
          <w:tcPr>
            <w:tcW w:w="1494" w:type="pct"/>
            <w:gridSpan w:val="2"/>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47" w:type="pct"/>
            <w:gridSpan w:val="2"/>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gridSpan w:val="2"/>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gridSpan w:val="2"/>
            <w:vAlign w:val="center"/>
            <w:hideMark/>
          </w:tcPr>
          <w:p w:rsidR="00000000" w:rsidRDefault="005D625B">
            <w:pPr>
              <w:spacing w:after="100"/>
              <w:rPr>
                <w:rFonts w:eastAsia="Times New Roman"/>
                <w:sz w:val="20"/>
                <w:szCs w:val="20"/>
              </w:rPr>
            </w:pPr>
          </w:p>
        </w:tc>
        <w:tc>
          <w:tcPr>
            <w:tcW w:w="420" w:type="pct"/>
            <w:gridSpan w:val="4"/>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8" w:type="pct"/>
            <w:gridSpan w:val="2"/>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gridSpan w:val="2"/>
            <w:vAlign w:val="center"/>
            <w:hideMark/>
          </w:tcPr>
          <w:p w:rsidR="00000000" w:rsidRDefault="005D625B">
            <w:pPr>
              <w:spacing w:after="100"/>
              <w:rPr>
                <w:rFonts w:eastAsia="Times New Roman"/>
                <w:sz w:val="20"/>
                <w:szCs w:val="20"/>
              </w:rPr>
            </w:pPr>
          </w:p>
        </w:tc>
        <w:tc>
          <w:tcPr>
            <w:tcW w:w="376" w:type="pct"/>
            <w:gridSpan w:val="5"/>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05" w:type="pct"/>
            <w:gridSpan w:val="4"/>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19" w:type="pct"/>
            <w:gridSpan w:val="2"/>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gridSpan w:val="2"/>
            <w:vAlign w:val="center"/>
            <w:hideMark/>
          </w:tcPr>
          <w:p w:rsidR="00000000" w:rsidRDefault="005D625B">
            <w:pPr>
              <w:spacing w:after="100"/>
              <w:rPr>
                <w:rFonts w:eastAsia="Times New Roman"/>
                <w:sz w:val="20"/>
                <w:szCs w:val="20"/>
              </w:rPr>
            </w:pPr>
          </w:p>
        </w:tc>
        <w:tc>
          <w:tcPr>
            <w:tcW w:w="412" w:type="pct"/>
            <w:gridSpan w:val="2"/>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19" w:type="pct"/>
            <w:gridSpan w:val="2"/>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gridSpan w:val="2"/>
            <w:vAlign w:val="center"/>
            <w:hideMark/>
          </w:tcPr>
          <w:p w:rsidR="00000000" w:rsidRDefault="005D625B">
            <w:pPr>
              <w:spacing w:after="100"/>
              <w:rPr>
                <w:rFonts w:eastAsia="Times New Roman"/>
                <w:sz w:val="20"/>
                <w:szCs w:val="20"/>
              </w:rPr>
            </w:pPr>
          </w:p>
        </w:tc>
        <w:tc>
          <w:tcPr>
            <w:tcW w:w="361" w:type="pct"/>
            <w:gridSpan w:val="4"/>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gridSpan w:val="2"/>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91" w:type="pct"/>
            <w:gridSpan w:val="3"/>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gridAfter w:val="18"/>
          <w:divId w:val="1782871104"/>
          <w:trHeight w:val="60"/>
        </w:trPr>
        <w:tc>
          <w:tcPr>
            <w:tcW w:w="0" w:type="auto"/>
            <w:gridSpan w:val="4"/>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7"/>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8"/>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5"/>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7"/>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5"/>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gridAfter w:val="18"/>
          <w:divId w:val="1782871104"/>
        </w:trPr>
        <w:tc>
          <w:tcPr>
            <w:tcW w:w="0" w:type="auto"/>
            <w:gridSpan w:val="4"/>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Three Months Ended June 30, 2021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Total</w:t>
            </w:r>
          </w:p>
        </w:tc>
        <w:tc>
          <w:tcPr>
            <w:tcW w:w="0" w:type="auto"/>
            <w:gridSpan w:val="4"/>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Eliminations</w:t>
            </w:r>
          </w:p>
        </w:tc>
        <w:tc>
          <w:tcPr>
            <w:tcW w:w="0" w:type="auto"/>
            <w:gridSpan w:val="4"/>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UGI International</w:t>
            </w:r>
          </w:p>
        </w:tc>
        <w:tc>
          <w:tcPr>
            <w:tcW w:w="0" w:type="auto"/>
            <w:gridSpan w:val="4"/>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Midstream &amp; Marketing</w:t>
            </w:r>
          </w:p>
        </w:tc>
        <w:tc>
          <w:tcPr>
            <w:tcW w:w="0" w:type="auto"/>
            <w:gridSpan w:val="4"/>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UGI</w:t>
            </w:r>
            <w:r>
              <w:rPr>
                <w:rFonts w:eastAsia="Times New Roman"/>
                <w:color w:val="000000"/>
                <w:sz w:val="16"/>
                <w:szCs w:val="16"/>
              </w:rPr>
              <w:br/>
              <w:t>Utilities</w:t>
            </w:r>
          </w:p>
        </w:tc>
        <w:tc>
          <w:tcPr>
            <w:tcW w:w="0" w:type="auto"/>
            <w:gridSpan w:val="4"/>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5D625B">
        <w:trPr>
          <w:gridAfter w:val="18"/>
          <w:divId w:val="1782871104"/>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gridAfter w:val="18"/>
          <w:divId w:val="1782871104"/>
        </w:trPr>
        <w:tc>
          <w:tcPr>
            <w:tcW w:w="0" w:type="auto"/>
            <w:gridSpan w:val="4"/>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(b)</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5"/>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gridAfter w:val="18"/>
          <w:divId w:val="1782871104"/>
        </w:trPr>
        <w:tc>
          <w:tcPr>
            <w:tcW w:w="0" w:type="auto"/>
            <w:gridSpan w:val="4"/>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516 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(b)</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5"/>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267 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355 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(330)</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gridAfter w:val="18"/>
          <w:divId w:val="1782871104"/>
        </w:trPr>
        <w:tc>
          <w:tcPr>
            <w:tcW w:w="0" w:type="auto"/>
            <w:gridSpan w:val="4"/>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391 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5"/>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302 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gridAfter w:val="18"/>
          <w:divId w:val="1782871104"/>
        </w:trPr>
        <w:tc>
          <w:tcPr>
            <w:tcW w:w="0" w:type="auto"/>
            <w:gridSpan w:val="4"/>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(Loss) 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(86)</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gridAfter w:val="18"/>
          <w:divId w:val="1782871104"/>
        </w:trPr>
        <w:tc>
          <w:tcPr>
            <w:tcW w:w="0" w:type="auto"/>
            <w:gridSpan w:val="4"/>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7"/>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8"/>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6"/>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5"/>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7"/>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5"/>
            <w:vAlign w:val="center"/>
            <w:hideMark/>
          </w:tcPr>
          <w:p w:rsidR="00000000" w:rsidRDefault="005D625B">
            <w:pPr>
              <w:spacing w:after="100"/>
              <w:rPr>
                <w:rFonts w:eastAsia="Times New Roman"/>
                <w:sz w:val="20"/>
                <w:szCs w:val="20"/>
              </w:rPr>
            </w:pPr>
          </w:p>
        </w:tc>
      </w:tr>
      <w:tr w:rsidR="00000000">
        <w:trPr>
          <w:gridAfter w:val="18"/>
          <w:divId w:val="1782871104"/>
        </w:trPr>
        <w:tc>
          <w:tcPr>
            <w:tcW w:w="0" w:type="auto"/>
            <w:gridSpan w:val="4"/>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gridAfter w:val="18"/>
          <w:divId w:val="1782871104"/>
        </w:trPr>
        <w:tc>
          <w:tcPr>
            <w:tcW w:w="0" w:type="auto"/>
            <w:gridSpan w:val="4"/>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gridAfter w:val="18"/>
          <w:divId w:val="1782871104"/>
        </w:trPr>
        <w:tc>
          <w:tcPr>
            <w:tcW w:w="0" w:type="auto"/>
            <w:gridSpan w:val="4"/>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gridAfter w:val="18"/>
          <w:divId w:val="1782871104"/>
        </w:trPr>
        <w:tc>
          <w:tcPr>
            <w:tcW w:w="0" w:type="auto"/>
            <w:gridSpan w:val="4"/>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gridAfter w:val="18"/>
          <w:divId w:val="1782871104"/>
        </w:trPr>
        <w:tc>
          <w:tcPr>
            <w:tcW w:w="0" w:type="auto"/>
            <w:gridSpan w:val="4"/>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7"/>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8"/>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6"/>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5"/>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7"/>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5"/>
            <w:vAlign w:val="center"/>
            <w:hideMark/>
          </w:tcPr>
          <w:p w:rsidR="00000000" w:rsidRDefault="005D625B">
            <w:pPr>
              <w:spacing w:after="100"/>
              <w:rPr>
                <w:rFonts w:eastAsia="Times New Roman"/>
                <w:sz w:val="20"/>
                <w:szCs w:val="20"/>
              </w:rPr>
            </w:pPr>
          </w:p>
        </w:tc>
      </w:tr>
      <w:tr w:rsidR="005D625B">
        <w:trPr>
          <w:gridAfter w:val="18"/>
          <w:divId w:val="1782871104"/>
        </w:trPr>
        <w:tc>
          <w:tcPr>
            <w:tcW w:w="0" w:type="auto"/>
            <w:gridSpan w:val="4"/>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gridAfter w:val="18"/>
          <w:divId w:val="1782871104"/>
        </w:trPr>
        <w:tc>
          <w:tcPr>
            <w:tcW w:w="0" w:type="auto"/>
            <w:gridSpan w:val="4"/>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5"/>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50" w:type="pct"/>
            <w:gridSpan w:val="2"/>
            <w:vAlign w:val="center"/>
            <w:hideMark/>
          </w:tcPr>
          <w:p w:rsidR="00000000" w:rsidRDefault="005D625B">
            <w:pPr>
              <w:jc w:val="both"/>
              <w:rPr>
                <w:rFonts w:eastAsia="Times New Roman"/>
              </w:rPr>
            </w:pPr>
          </w:p>
        </w:tc>
        <w:tc>
          <w:tcPr>
            <w:tcW w:w="1494" w:type="pct"/>
            <w:gridSpan w:val="7"/>
            <w:vAlign w:val="center"/>
            <w:hideMark/>
          </w:tcPr>
          <w:p w:rsidR="00000000" w:rsidRDefault="005D625B">
            <w:pPr>
              <w:spacing w:after="100"/>
              <w:rPr>
                <w:rFonts w:eastAsia="Times New Roman"/>
                <w:sz w:val="20"/>
                <w:szCs w:val="20"/>
              </w:rPr>
            </w:pPr>
          </w:p>
        </w:tc>
        <w:tc>
          <w:tcPr>
            <w:tcW w:w="5" w:type="pct"/>
            <w:gridSpan w:val="3"/>
            <w:vAlign w:val="center"/>
            <w:hideMark/>
          </w:tcPr>
          <w:p w:rsidR="00000000" w:rsidRDefault="005D625B">
            <w:pPr>
              <w:spacing w:after="100"/>
              <w:rPr>
                <w:rFonts w:eastAsia="Times New Roman"/>
                <w:sz w:val="20"/>
                <w:szCs w:val="20"/>
              </w:rPr>
            </w:pPr>
          </w:p>
        </w:tc>
        <w:tc>
          <w:tcPr>
            <w:tcW w:w="5" w:type="pct"/>
            <w:gridSpan w:val="4"/>
            <w:vAlign w:val="center"/>
            <w:hideMark/>
          </w:tcPr>
          <w:p w:rsidR="00000000" w:rsidRDefault="005D625B">
            <w:pPr>
              <w:spacing w:after="100"/>
              <w:rPr>
                <w:rFonts w:eastAsia="Times New Roman"/>
                <w:sz w:val="20"/>
                <w:szCs w:val="20"/>
              </w:rPr>
            </w:pPr>
          </w:p>
        </w:tc>
        <w:tc>
          <w:tcPr>
            <w:tcW w:w="26" w:type="pct"/>
            <w:gridSpan w:val="2"/>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47" w:type="pct"/>
            <w:gridSpan w:val="4"/>
            <w:vAlign w:val="center"/>
            <w:hideMark/>
          </w:tcPr>
          <w:p w:rsidR="00000000" w:rsidRDefault="005D625B">
            <w:pPr>
              <w:spacing w:after="100"/>
              <w:rPr>
                <w:rFonts w:eastAsia="Times New Roman"/>
                <w:sz w:val="20"/>
                <w:szCs w:val="20"/>
              </w:rPr>
            </w:pPr>
          </w:p>
        </w:tc>
        <w:tc>
          <w:tcPr>
            <w:tcW w:w="5" w:type="pct"/>
            <w:gridSpan w:val="3"/>
            <w:vAlign w:val="center"/>
            <w:hideMark/>
          </w:tcPr>
          <w:p w:rsidR="00000000" w:rsidRDefault="005D625B">
            <w:pPr>
              <w:spacing w:after="100"/>
              <w:rPr>
                <w:rFonts w:eastAsia="Times New Roman"/>
                <w:sz w:val="20"/>
                <w:szCs w:val="20"/>
              </w:rPr>
            </w:pPr>
          </w:p>
        </w:tc>
        <w:tc>
          <w:tcPr>
            <w:tcW w:w="5" w:type="pct"/>
            <w:gridSpan w:val="2"/>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20" w:type="pct"/>
            <w:gridSpan w:val="7"/>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8" w:type="pct"/>
            <w:gridSpan w:val="4"/>
            <w:vAlign w:val="center"/>
            <w:hideMark/>
          </w:tcPr>
          <w:p w:rsidR="00000000" w:rsidRDefault="005D625B">
            <w:pPr>
              <w:spacing w:after="100"/>
              <w:rPr>
                <w:rFonts w:eastAsia="Times New Roman"/>
                <w:sz w:val="20"/>
                <w:szCs w:val="20"/>
              </w:rPr>
            </w:pPr>
          </w:p>
        </w:tc>
        <w:tc>
          <w:tcPr>
            <w:tcW w:w="5" w:type="pct"/>
            <w:gridSpan w:val="3"/>
            <w:vAlign w:val="center"/>
            <w:hideMark/>
          </w:tcPr>
          <w:p w:rsidR="00000000" w:rsidRDefault="005D625B">
            <w:pPr>
              <w:spacing w:after="100"/>
              <w:rPr>
                <w:rFonts w:eastAsia="Times New Roman"/>
                <w:sz w:val="20"/>
                <w:szCs w:val="20"/>
              </w:rPr>
            </w:pPr>
          </w:p>
        </w:tc>
        <w:tc>
          <w:tcPr>
            <w:tcW w:w="50" w:type="pct"/>
            <w:gridSpan w:val="2"/>
            <w:vAlign w:val="center"/>
            <w:hideMark/>
          </w:tcPr>
          <w:p w:rsidR="00000000" w:rsidRDefault="005D625B">
            <w:pPr>
              <w:spacing w:after="100"/>
              <w:rPr>
                <w:rFonts w:eastAsia="Times New Roman"/>
                <w:sz w:val="20"/>
                <w:szCs w:val="20"/>
              </w:rPr>
            </w:pPr>
          </w:p>
        </w:tc>
        <w:tc>
          <w:tcPr>
            <w:tcW w:w="376" w:type="pct"/>
            <w:gridSpan w:val="4"/>
            <w:vAlign w:val="center"/>
            <w:hideMark/>
          </w:tcPr>
          <w:p w:rsidR="00000000" w:rsidRDefault="005D625B">
            <w:pPr>
              <w:spacing w:after="100"/>
              <w:rPr>
                <w:rFonts w:eastAsia="Times New Roman"/>
                <w:sz w:val="20"/>
                <w:szCs w:val="20"/>
              </w:rPr>
            </w:pPr>
          </w:p>
        </w:tc>
        <w:tc>
          <w:tcPr>
            <w:tcW w:w="5" w:type="pct"/>
            <w:gridSpan w:val="3"/>
            <w:vAlign w:val="center"/>
            <w:hideMark/>
          </w:tcPr>
          <w:p w:rsidR="00000000" w:rsidRDefault="005D625B">
            <w:pPr>
              <w:spacing w:after="100"/>
              <w:rPr>
                <w:rFonts w:eastAsia="Times New Roman"/>
                <w:sz w:val="20"/>
                <w:szCs w:val="20"/>
              </w:rPr>
            </w:pPr>
          </w:p>
        </w:tc>
        <w:tc>
          <w:tcPr>
            <w:tcW w:w="5" w:type="pct"/>
            <w:gridSpan w:val="2"/>
            <w:vAlign w:val="center"/>
            <w:hideMark/>
          </w:tcPr>
          <w:p w:rsidR="00000000" w:rsidRDefault="005D625B">
            <w:pPr>
              <w:spacing w:after="100"/>
              <w:rPr>
                <w:rFonts w:eastAsia="Times New Roman"/>
                <w:sz w:val="20"/>
                <w:szCs w:val="20"/>
              </w:rPr>
            </w:pPr>
          </w:p>
        </w:tc>
        <w:tc>
          <w:tcPr>
            <w:tcW w:w="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gridSpan w:val="4"/>
            <w:vAlign w:val="center"/>
            <w:hideMark/>
          </w:tcPr>
          <w:p w:rsidR="00000000" w:rsidRDefault="005D625B">
            <w:pPr>
              <w:spacing w:after="100"/>
              <w:rPr>
                <w:rFonts w:eastAsia="Times New Roman"/>
                <w:sz w:val="20"/>
                <w:szCs w:val="20"/>
              </w:rPr>
            </w:pPr>
          </w:p>
        </w:tc>
        <w:tc>
          <w:tcPr>
            <w:tcW w:w="405" w:type="pct"/>
            <w:gridSpan w:val="4"/>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gridSpan w:val="3"/>
            <w:vAlign w:val="center"/>
            <w:hideMark/>
          </w:tcPr>
          <w:p w:rsidR="00000000" w:rsidRDefault="005D625B">
            <w:pPr>
              <w:spacing w:after="100"/>
              <w:rPr>
                <w:rFonts w:eastAsia="Times New Roman"/>
                <w:sz w:val="20"/>
                <w:szCs w:val="20"/>
              </w:rPr>
            </w:pPr>
          </w:p>
        </w:tc>
        <w:tc>
          <w:tcPr>
            <w:tcW w:w="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1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6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9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trHeight w:val="60"/>
        </w:trPr>
        <w:tc>
          <w:tcPr>
            <w:tcW w:w="0" w:type="auto"/>
            <w:gridSpan w:val="12"/>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7"/>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8"/>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8"/>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5"/>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c>
          <w:tcPr>
            <w:tcW w:w="0" w:type="auto"/>
            <w:gridSpan w:val="12"/>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Three Months Ended June 30, 2020</w:t>
            </w:r>
          </w:p>
        </w:tc>
        <w:tc>
          <w:tcPr>
            <w:tcW w:w="0" w:type="auto"/>
            <w:gridSpan w:val="7"/>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8"/>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Total</w:t>
            </w:r>
          </w:p>
        </w:tc>
        <w:tc>
          <w:tcPr>
            <w:tcW w:w="0" w:type="auto"/>
            <w:gridSpan w:val="4"/>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Eliminations</w:t>
            </w:r>
          </w:p>
        </w:tc>
        <w:tc>
          <w:tcPr>
            <w:tcW w:w="0" w:type="auto"/>
            <w:gridSpan w:val="8"/>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4"/>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UGI International</w:t>
            </w:r>
          </w:p>
        </w:tc>
        <w:tc>
          <w:tcPr>
            <w:tcW w:w="0" w:type="auto"/>
            <w:gridSpan w:val="5"/>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UGI</w:t>
            </w:r>
            <w:r>
              <w:rPr>
                <w:rFonts w:eastAsia="Times New Roman"/>
                <w:color w:val="000000"/>
                <w:sz w:val="16"/>
                <w:szCs w:val="16"/>
              </w:rPr>
              <w:br/>
              <w:t>Utilities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000000">
        <w:tc>
          <w:tcPr>
            <w:tcW w:w="0" w:type="auto"/>
            <w:gridSpan w:val="12"/>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Revenues from external customers</w:t>
            </w:r>
          </w:p>
        </w:tc>
        <w:tc>
          <w:tcPr>
            <w:tcW w:w="0" w:type="auto"/>
            <w:gridSpan w:val="7"/>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1,199 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451 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Intersegment revenues</w:t>
            </w:r>
          </w:p>
        </w:tc>
        <w:tc>
          <w:tcPr>
            <w:tcW w:w="0" w:type="auto"/>
            <w:gridSpan w:val="7"/>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7"/>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(28)</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(b)</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Cost of sales</w:t>
            </w:r>
          </w:p>
        </w:tc>
        <w:tc>
          <w:tcPr>
            <w:tcW w:w="0" w:type="auto"/>
            <w:gridSpan w:val="7"/>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417 </w:t>
            </w:r>
          </w:p>
        </w:tc>
        <w:tc>
          <w:tcPr>
            <w:tcW w:w="0" w:type="auto"/>
            <w:gridSpan w:val="3"/>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7"/>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(b)</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178 </w:t>
            </w:r>
          </w:p>
        </w:tc>
        <w:tc>
          <w:tcPr>
            <w:tcW w:w="0" w:type="auto"/>
            <w:gridSpan w:val="3"/>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158 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(157)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12"/>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xml:space="preserve">Operating income </w:t>
            </w:r>
          </w:p>
        </w:tc>
        <w:tc>
          <w:tcPr>
            <w:tcW w:w="0" w:type="auto"/>
            <w:gridSpan w:val="7"/>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174 </w:t>
            </w:r>
          </w:p>
        </w:tc>
        <w:tc>
          <w:tcPr>
            <w:tcW w:w="0" w:type="auto"/>
            <w:gridSpan w:val="3"/>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7"/>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19 </w:t>
            </w:r>
          </w:p>
        </w:tc>
        <w:tc>
          <w:tcPr>
            <w:tcW w:w="0" w:type="auto"/>
            <w:gridSpan w:val="3"/>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12"/>
            <w:vAlign w:val="center"/>
            <w:hideMark/>
          </w:tcPr>
          <w:p w:rsidR="00000000" w:rsidRDefault="005D625B">
            <w:pPr>
              <w:spacing w:after="100"/>
              <w:jc w:val="right"/>
              <w:rPr>
                <w:rFonts w:eastAsia="Times New Roman"/>
                <w:sz w:val="20"/>
                <w:szCs w:val="20"/>
              </w:rPr>
            </w:pPr>
          </w:p>
        </w:tc>
        <w:tc>
          <w:tcPr>
            <w:tcW w:w="0" w:type="auto"/>
            <w:gridSpan w:val="7"/>
            <w:vAlign w:val="center"/>
            <w:hideMark/>
          </w:tcPr>
          <w:p w:rsidR="00000000" w:rsidRDefault="005D625B">
            <w:pPr>
              <w:spacing w:after="100"/>
              <w:rPr>
                <w:rFonts w:eastAsia="Times New Roman"/>
                <w:sz w:val="20"/>
                <w:szCs w:val="20"/>
              </w:rPr>
            </w:pPr>
          </w:p>
        </w:tc>
        <w:tc>
          <w:tcPr>
            <w:tcW w:w="0" w:type="auto"/>
            <w:gridSpan w:val="8"/>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8"/>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5"/>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c>
          <w:tcPr>
            <w:tcW w:w="0" w:type="auto"/>
            <w:gridSpan w:val="12"/>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Income from equity investees</w:t>
            </w:r>
          </w:p>
        </w:tc>
        <w:tc>
          <w:tcPr>
            <w:tcW w:w="0" w:type="auto"/>
            <w:gridSpan w:val="7"/>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7 </w:t>
            </w:r>
          </w:p>
        </w:tc>
        <w:tc>
          <w:tcPr>
            <w:tcW w:w="0" w:type="auto"/>
            <w:gridSpan w:val="3"/>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12"/>
            <w:vAlign w:val="center"/>
            <w:hideMark/>
          </w:tcPr>
          <w:p w:rsidR="00000000" w:rsidRDefault="005D625B">
            <w:pPr>
              <w:spacing w:after="100"/>
              <w:jc w:val="right"/>
              <w:rPr>
                <w:rFonts w:eastAsia="Times New Roman"/>
                <w:sz w:val="20"/>
                <w:szCs w:val="20"/>
              </w:rPr>
            </w:pPr>
          </w:p>
        </w:tc>
        <w:tc>
          <w:tcPr>
            <w:tcW w:w="0" w:type="auto"/>
            <w:gridSpan w:val="7"/>
            <w:vAlign w:val="center"/>
            <w:hideMark/>
          </w:tcPr>
          <w:p w:rsidR="00000000" w:rsidRDefault="005D625B">
            <w:pPr>
              <w:spacing w:after="100"/>
              <w:rPr>
                <w:rFonts w:eastAsia="Times New Roman"/>
                <w:sz w:val="20"/>
                <w:szCs w:val="20"/>
              </w:rPr>
            </w:pPr>
          </w:p>
        </w:tc>
        <w:tc>
          <w:tcPr>
            <w:tcW w:w="0" w:type="auto"/>
            <w:gridSpan w:val="8"/>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8"/>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5"/>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c>
          <w:tcPr>
            <w:tcW w:w="0" w:type="auto"/>
            <w:gridSpan w:val="12"/>
            <w:vAlign w:val="center"/>
            <w:hideMark/>
          </w:tcPr>
          <w:p w:rsidR="00000000" w:rsidRDefault="005D625B">
            <w:pPr>
              <w:spacing w:after="100"/>
              <w:rPr>
                <w:rFonts w:eastAsia="Times New Roman"/>
                <w:sz w:val="20"/>
                <w:szCs w:val="20"/>
              </w:rPr>
            </w:pPr>
          </w:p>
        </w:tc>
        <w:tc>
          <w:tcPr>
            <w:tcW w:w="0" w:type="auto"/>
            <w:gridSpan w:val="7"/>
            <w:vAlign w:val="center"/>
            <w:hideMark/>
          </w:tcPr>
          <w:p w:rsidR="00000000" w:rsidRDefault="005D625B">
            <w:pPr>
              <w:spacing w:after="100"/>
              <w:rPr>
                <w:rFonts w:eastAsia="Times New Roman"/>
                <w:sz w:val="20"/>
                <w:szCs w:val="20"/>
              </w:rPr>
            </w:pPr>
          </w:p>
        </w:tc>
        <w:tc>
          <w:tcPr>
            <w:tcW w:w="0" w:type="auto"/>
            <w:gridSpan w:val="8"/>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8"/>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5"/>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c>
          <w:tcPr>
            <w:tcW w:w="0" w:type="auto"/>
            <w:gridSpan w:val="12"/>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 non-operating (expense) income, net</w:t>
            </w:r>
          </w:p>
        </w:tc>
        <w:tc>
          <w:tcPr>
            <w:tcW w:w="0" w:type="auto"/>
            <w:gridSpan w:val="7"/>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w:t>
            </w:r>
          </w:p>
        </w:tc>
        <w:tc>
          <w:tcPr>
            <w:tcW w:w="0" w:type="auto"/>
            <w:gridSpan w:val="3"/>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12"/>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Earnings before interest expense and income taxes</w:t>
            </w:r>
          </w:p>
        </w:tc>
        <w:tc>
          <w:tcPr>
            <w:tcW w:w="0" w:type="auto"/>
            <w:gridSpan w:val="7"/>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177 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12"/>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Interest expense</w:t>
            </w:r>
          </w:p>
        </w:tc>
        <w:tc>
          <w:tcPr>
            <w:tcW w:w="0" w:type="auto"/>
            <w:gridSpan w:val="7"/>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(80)</w:t>
            </w:r>
          </w:p>
        </w:tc>
        <w:tc>
          <w:tcPr>
            <w:tcW w:w="0" w:type="auto"/>
            <w:gridSpan w:val="3"/>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(41)</w:t>
            </w:r>
          </w:p>
        </w:tc>
        <w:tc>
          <w:tcPr>
            <w:tcW w:w="0" w:type="auto"/>
            <w:gridSpan w:val="3"/>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12"/>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Income (loss) before income taxes</w:t>
            </w:r>
          </w:p>
        </w:tc>
        <w:tc>
          <w:tcPr>
            <w:tcW w:w="0" w:type="auto"/>
            <w:gridSpan w:val="7"/>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97 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12"/>
            <w:vAlign w:val="center"/>
            <w:hideMark/>
          </w:tcPr>
          <w:p w:rsidR="00000000" w:rsidRDefault="005D625B">
            <w:pPr>
              <w:spacing w:after="100"/>
              <w:jc w:val="right"/>
              <w:rPr>
                <w:rFonts w:eastAsia="Times New Roman"/>
                <w:sz w:val="20"/>
                <w:szCs w:val="20"/>
              </w:rPr>
            </w:pPr>
          </w:p>
        </w:tc>
        <w:tc>
          <w:tcPr>
            <w:tcW w:w="0" w:type="auto"/>
            <w:gridSpan w:val="7"/>
            <w:vAlign w:val="center"/>
            <w:hideMark/>
          </w:tcPr>
          <w:p w:rsidR="00000000" w:rsidRDefault="005D625B">
            <w:pPr>
              <w:spacing w:after="100"/>
              <w:rPr>
                <w:rFonts w:eastAsia="Times New Roman"/>
                <w:sz w:val="20"/>
                <w:szCs w:val="20"/>
              </w:rPr>
            </w:pPr>
          </w:p>
        </w:tc>
        <w:tc>
          <w:tcPr>
            <w:tcW w:w="0" w:type="auto"/>
            <w:gridSpan w:val="8"/>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8"/>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4"/>
            <w:vAlign w:val="center"/>
            <w:hideMark/>
          </w:tcPr>
          <w:p w:rsidR="00000000" w:rsidRDefault="005D625B">
            <w:pPr>
              <w:spacing w:after="100"/>
              <w:rPr>
                <w:rFonts w:eastAsia="Times New Roman"/>
                <w:sz w:val="20"/>
                <w:szCs w:val="20"/>
              </w:rPr>
            </w:pPr>
          </w:p>
        </w:tc>
        <w:tc>
          <w:tcPr>
            <w:tcW w:w="0" w:type="auto"/>
            <w:gridSpan w:val="9"/>
            <w:vAlign w:val="center"/>
            <w:hideMark/>
          </w:tcPr>
          <w:p w:rsidR="00000000" w:rsidRDefault="005D625B">
            <w:pPr>
              <w:spacing w:after="100"/>
              <w:rPr>
                <w:rFonts w:eastAsia="Times New Roman"/>
                <w:sz w:val="20"/>
                <w:szCs w:val="20"/>
              </w:rPr>
            </w:pPr>
          </w:p>
        </w:tc>
        <w:tc>
          <w:tcPr>
            <w:tcW w:w="0" w:type="auto"/>
            <w:gridSpan w:val="5"/>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c>
          <w:tcPr>
            <w:tcW w:w="0" w:type="auto"/>
            <w:gridSpan w:val="12"/>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Depreciation and amortization</w:t>
            </w:r>
          </w:p>
        </w:tc>
        <w:tc>
          <w:tcPr>
            <w:tcW w:w="0" w:type="auto"/>
            <w:gridSpan w:val="7"/>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122 </w:t>
            </w:r>
          </w:p>
        </w:tc>
        <w:tc>
          <w:tcPr>
            <w:tcW w:w="0" w:type="auto"/>
            <w:gridSpan w:val="3"/>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7"/>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45 </w:t>
            </w:r>
          </w:p>
        </w:tc>
        <w:tc>
          <w:tcPr>
            <w:tcW w:w="0" w:type="auto"/>
            <w:gridSpan w:val="3"/>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Capital expenditures (including the effects of accruals)</w:t>
            </w:r>
          </w:p>
        </w:tc>
        <w:tc>
          <w:tcPr>
            <w:tcW w:w="0" w:type="auto"/>
            <w:gridSpan w:val="7"/>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133 </w:t>
            </w:r>
          </w:p>
        </w:tc>
        <w:tc>
          <w:tcPr>
            <w:tcW w:w="0" w:type="auto"/>
            <w:gridSpan w:val="3"/>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7"/>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30 </w:t>
            </w:r>
          </w:p>
        </w:tc>
        <w:tc>
          <w:tcPr>
            <w:tcW w:w="0" w:type="auto"/>
            <w:gridSpan w:val="3"/>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944"/>
        <w:gridCol w:w="38"/>
        <w:gridCol w:w="36"/>
        <w:gridCol w:w="36"/>
        <w:gridCol w:w="36"/>
        <w:gridCol w:w="100"/>
        <w:gridCol w:w="480"/>
        <w:gridCol w:w="36"/>
        <w:gridCol w:w="36"/>
        <w:gridCol w:w="36"/>
        <w:gridCol w:w="36"/>
        <w:gridCol w:w="101"/>
        <w:gridCol w:w="758"/>
        <w:gridCol w:w="36"/>
        <w:gridCol w:w="75"/>
        <w:gridCol w:w="145"/>
        <w:gridCol w:w="36"/>
        <w:gridCol w:w="101"/>
        <w:gridCol w:w="609"/>
        <w:gridCol w:w="36"/>
        <w:gridCol w:w="36"/>
        <w:gridCol w:w="36"/>
        <w:gridCol w:w="36"/>
        <w:gridCol w:w="101"/>
        <w:gridCol w:w="755"/>
        <w:gridCol w:w="36"/>
        <w:gridCol w:w="36"/>
        <w:gridCol w:w="36"/>
        <w:gridCol w:w="36"/>
        <w:gridCol w:w="101"/>
        <w:gridCol w:w="648"/>
        <w:gridCol w:w="36"/>
        <w:gridCol w:w="36"/>
        <w:gridCol w:w="36"/>
        <w:gridCol w:w="36"/>
        <w:gridCol w:w="101"/>
        <w:gridCol w:w="483"/>
        <w:gridCol w:w="36"/>
        <w:gridCol w:w="36"/>
        <w:gridCol w:w="36"/>
        <w:gridCol w:w="36"/>
        <w:gridCol w:w="101"/>
        <w:gridCol w:w="690"/>
        <w:gridCol w:w="36"/>
      </w:tblGrid>
      <w:tr w:rsidR="00000000">
        <w:tc>
          <w:tcPr>
            <w:tcW w:w="50" w:type="pct"/>
            <w:vAlign w:val="center"/>
            <w:hideMark/>
          </w:tcPr>
          <w:p w:rsidR="00000000" w:rsidRDefault="005D625B">
            <w:pPr>
              <w:jc w:val="both"/>
              <w:rPr>
                <w:rFonts w:eastAsia="Times New Roman"/>
              </w:rPr>
            </w:pPr>
          </w:p>
        </w:tc>
        <w:tc>
          <w:tcPr>
            <w:tcW w:w="149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4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2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7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0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1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6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9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Nine Months Ended June 30, 2021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Eliminations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UGI</w:t>
            </w:r>
            <w:r>
              <w:rPr>
                <w:rFonts w:eastAsia="Times New Roman"/>
                <w:color w:val="000000"/>
                <w:sz w:val="16"/>
                <w:szCs w:val="16"/>
              </w:rPr>
              <w:br/>
              <w:t>Utilities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5D625B">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6,009 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(236)</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183 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2,623 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970 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1,229 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776 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401 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(520)</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1,564 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391 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322 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156 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243 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452 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(Loss) 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1,495 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(120)</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5D625B">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375 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w:t>
            </w: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438 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255 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As of June 30, 2021</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5D625B">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15,006 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(267)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4,381 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3,749 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2,904 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3,997 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242 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bl>
    <w:p w:rsidR="00000000" w:rsidRDefault="005D625B">
      <w:pPr>
        <w:jc w:val="center"/>
        <w:divId w:val="897977341"/>
        <w:rPr>
          <w:rFonts w:eastAsia="Times New Roman"/>
        </w:rPr>
      </w:pPr>
      <w:r>
        <w:rPr>
          <w:rFonts w:eastAsia="Times New Roman"/>
          <w:color w:val="000000"/>
          <w:sz w:val="20"/>
          <w:szCs w:val="20"/>
        </w:rPr>
        <w:t>32</w:t>
      </w:r>
    </w:p>
    <w:p w:rsidR="00000000" w:rsidRDefault="005D625B">
      <w:pPr>
        <w:rPr>
          <w:rFonts w:eastAsia="Times New Roman"/>
        </w:rPr>
      </w:pPr>
      <w:r>
        <w:rPr>
          <w:rFonts w:eastAsia="Times New Roman"/>
        </w:rPr>
        <w:pict>
          <v:rect id="_x0000_i1058" style="width:0;height:1.5pt" o:hralign="center" o:hrstd="t" o:hr="t" fillcolor="#a0a0a0" stroked="f"/>
        </w:pict>
      </w:r>
    </w:p>
    <w:p w:rsidR="00000000" w:rsidRDefault="005D625B">
      <w:pPr>
        <w:divId w:val="538251408"/>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348211157"/>
        <w:rPr>
          <w:rFonts w:eastAsia="Times New Roman"/>
        </w:rPr>
      </w:pPr>
      <w:r>
        <w:rPr>
          <w:rFonts w:eastAsia="Times New Roman"/>
          <w:b/>
          <w:bCs/>
          <w:color w:val="000000"/>
          <w:sz w:val="20"/>
          <w:szCs w:val="20"/>
        </w:rPr>
        <w:t>UGI CORPORATION AND SUBSIDIARIES</w:t>
      </w:r>
    </w:p>
    <w:p w:rsidR="00000000" w:rsidRDefault="005D625B">
      <w:pPr>
        <w:jc w:val="center"/>
        <w:divId w:val="1864437439"/>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1348211157"/>
        <w:rPr>
          <w:rFonts w:eastAsia="Times New Roman"/>
        </w:rPr>
      </w:pPr>
      <w:r>
        <w:rPr>
          <w:rFonts w:eastAsia="Times New Roman"/>
          <w:color w:val="000000"/>
          <w:sz w:val="20"/>
          <w:szCs w:val="20"/>
        </w:rPr>
        <w:t>(unaudited)</w:t>
      </w:r>
    </w:p>
    <w:p w:rsidR="00000000" w:rsidRDefault="005D625B">
      <w:pPr>
        <w:jc w:val="center"/>
        <w:divId w:val="1348211157"/>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39"/>
        <w:gridCol w:w="1944"/>
        <w:gridCol w:w="38"/>
        <w:gridCol w:w="36"/>
        <w:gridCol w:w="36"/>
        <w:gridCol w:w="36"/>
        <w:gridCol w:w="100"/>
        <w:gridCol w:w="480"/>
        <w:gridCol w:w="36"/>
        <w:gridCol w:w="36"/>
        <w:gridCol w:w="36"/>
        <w:gridCol w:w="36"/>
        <w:gridCol w:w="101"/>
        <w:gridCol w:w="758"/>
        <w:gridCol w:w="36"/>
        <w:gridCol w:w="75"/>
        <w:gridCol w:w="145"/>
        <w:gridCol w:w="36"/>
        <w:gridCol w:w="101"/>
        <w:gridCol w:w="609"/>
        <w:gridCol w:w="36"/>
        <w:gridCol w:w="36"/>
        <w:gridCol w:w="36"/>
        <w:gridCol w:w="36"/>
        <w:gridCol w:w="101"/>
        <w:gridCol w:w="755"/>
        <w:gridCol w:w="36"/>
        <w:gridCol w:w="36"/>
        <w:gridCol w:w="36"/>
        <w:gridCol w:w="36"/>
        <w:gridCol w:w="101"/>
        <w:gridCol w:w="648"/>
        <w:gridCol w:w="36"/>
        <w:gridCol w:w="36"/>
        <w:gridCol w:w="36"/>
        <w:gridCol w:w="36"/>
        <w:gridCol w:w="101"/>
        <w:gridCol w:w="483"/>
        <w:gridCol w:w="36"/>
        <w:gridCol w:w="36"/>
        <w:gridCol w:w="36"/>
        <w:gridCol w:w="36"/>
        <w:gridCol w:w="101"/>
        <w:gridCol w:w="690"/>
        <w:gridCol w:w="36"/>
      </w:tblGrid>
      <w:tr w:rsidR="00000000">
        <w:tc>
          <w:tcPr>
            <w:tcW w:w="50" w:type="pct"/>
            <w:vAlign w:val="center"/>
            <w:hideMark/>
          </w:tcPr>
          <w:p w:rsidR="00000000" w:rsidRDefault="005D625B">
            <w:pPr>
              <w:jc w:val="center"/>
              <w:rPr>
                <w:rFonts w:eastAsia="Times New Roman"/>
              </w:rPr>
            </w:pPr>
          </w:p>
        </w:tc>
        <w:tc>
          <w:tcPr>
            <w:tcW w:w="149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4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2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7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0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1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1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6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9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Nine Months Ended June 30, 2020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Eliminations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UGI</w:t>
            </w:r>
            <w:r>
              <w:rPr>
                <w:rFonts w:eastAsia="Times New Roman"/>
                <w:color w:val="000000"/>
                <w:sz w:val="16"/>
                <w:szCs w:val="16"/>
              </w:rPr>
              <w:br/>
              <w:t>Utilities</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w:t>
            </w:r>
            <w:r>
              <w:rPr>
                <w:rFonts w:eastAsia="Times New Roman"/>
                <w:color w:val="000000"/>
                <w:sz w:val="16"/>
                <w:szCs w:val="16"/>
              </w:rPr>
              <w:t>Other (a)</w:t>
            </w:r>
          </w:p>
        </w:tc>
      </w:tr>
      <w:tr w:rsidR="005D625B">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1,983 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2,673 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(201)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792 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968 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721 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404 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Operating income (loss)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390 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Other non-operating (expense) income, net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Earnings (loss)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(247)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5D625B">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362 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92 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57 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78 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444 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104 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61 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217 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6"/>
                <w:szCs w:val="16"/>
              </w:rPr>
              <w:t>As of June 30, 2020</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5D625B">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13,843 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(365)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4,311 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3,208 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2,740 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3,709 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6"/>
                <w:szCs w:val="16"/>
              </w:rPr>
              <w:t>240 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bl>
    <w:p w:rsidR="00000000" w:rsidRDefault="005D625B">
      <w:pPr>
        <w:ind w:hanging="360"/>
        <w:jc w:val="both"/>
        <w:divId w:val="263806547"/>
        <w:rPr>
          <w:rFonts w:eastAsia="Times New Roman"/>
        </w:rPr>
      </w:pPr>
      <w:r>
        <w:rPr>
          <w:rFonts w:eastAsia="Times New Roman"/>
          <w:color w:val="000000"/>
          <w:sz w:val="20"/>
          <w:szCs w:val="20"/>
        </w:rPr>
        <w:t xml:space="preserve">(a)Corporate &amp; </w:t>
      </w:r>
      <w:r>
        <w:rPr>
          <w:rFonts w:eastAsia="Times New Roman"/>
          <w:color w:val="000000"/>
          <w:sz w:val="20"/>
          <w:szCs w:val="20"/>
        </w:rPr>
        <w:t>Other includes specific items attributable to our reportable segments that are not included in the segment profit measures used by our CODM in assessing our reportable segments’ performance or allocating resources. The following table presents such pre-tax</w:t>
      </w:r>
      <w:r>
        <w:rPr>
          <w:rFonts w:eastAsia="Times New Roman"/>
          <w:color w:val="000000"/>
          <w:sz w:val="20"/>
          <w:szCs w:val="20"/>
        </w:rPr>
        <w:t xml:space="preserve"> gains (losses) which have been included in Corporate &amp; Other, and the reportable segments to which they relate:</w:t>
      </w: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rPr>
          <w:divId w:val="833493267"/>
        </w:trPr>
        <w:tc>
          <w:tcPr>
            <w:tcW w:w="50" w:type="pct"/>
            <w:vAlign w:val="center"/>
            <w:hideMark/>
          </w:tcPr>
          <w:p w:rsidR="00000000" w:rsidRDefault="005D625B">
            <w:pPr>
              <w:ind w:hanging="360"/>
              <w:jc w:val="both"/>
              <w:rPr>
                <w:rFonts w:eastAsia="Times New Roman"/>
              </w:rPr>
            </w:pPr>
          </w:p>
        </w:tc>
        <w:tc>
          <w:tcPr>
            <w:tcW w:w="218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3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833493267"/>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Three Months Ended June 30, 2021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5D625B">
            <w:pPr>
              <w:spacing w:after="100"/>
              <w:jc w:val="center"/>
              <w:rPr>
                <w:rFonts w:eastAsia="Times New Roman"/>
              </w:rPr>
            </w:pPr>
          </w:p>
        </w:tc>
        <w:tc>
          <w:tcPr>
            <w:tcW w:w="0" w:type="auto"/>
            <w:vAlign w:val="center"/>
            <w:hideMark/>
          </w:tcPr>
          <w:p w:rsidR="00000000" w:rsidRDefault="005D625B">
            <w:pPr>
              <w:spacing w:after="100"/>
              <w:rPr>
                <w:rFonts w:eastAsia="Times New Roman"/>
                <w:sz w:val="20"/>
                <w:szCs w:val="20"/>
              </w:rPr>
            </w:pPr>
          </w:p>
        </w:tc>
      </w:tr>
      <w:tr w:rsidR="00000000">
        <w:trPr>
          <w:divId w:val="83349326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833493267"/>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226 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833493267"/>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833493267"/>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833493267"/>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833493267"/>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833493267"/>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833493267"/>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Impairment of investment in PennEast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18"/>
                <w:szCs w:val="18"/>
              </w:rPr>
              <w:t>(Loss) 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(93)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bl>
    <w:p w:rsidR="00000000" w:rsidRDefault="005D625B">
      <w:pPr>
        <w:ind w:firstLine="720"/>
        <w:jc w:val="both"/>
        <w:rPr>
          <w:rFonts w:eastAsia="Times New Roman"/>
        </w:rPr>
      </w:pP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c>
          <w:tcPr>
            <w:tcW w:w="50" w:type="pct"/>
            <w:vAlign w:val="center"/>
            <w:hideMark/>
          </w:tcPr>
          <w:p w:rsidR="00000000" w:rsidRDefault="005D625B">
            <w:pPr>
              <w:ind w:firstLine="720"/>
              <w:jc w:val="both"/>
              <w:rPr>
                <w:rFonts w:eastAsia="Times New Roman"/>
              </w:rPr>
            </w:pPr>
          </w:p>
        </w:tc>
        <w:tc>
          <w:tcPr>
            <w:tcW w:w="218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3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Three Months Ended June 30, 2020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5D625B">
            <w:pPr>
              <w:spacing w:after="100"/>
              <w:jc w:val="center"/>
              <w:rPr>
                <w:rFonts w:eastAsia="Times New Roman"/>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78 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Impairment of assets held-for-sale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Impairment of assets held-for-sale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bl>
    <w:p w:rsidR="00000000" w:rsidRDefault="005D625B">
      <w:pPr>
        <w:jc w:val="center"/>
        <w:divId w:val="260140192"/>
        <w:rPr>
          <w:rFonts w:eastAsia="Times New Roman"/>
        </w:rPr>
      </w:pPr>
      <w:r>
        <w:rPr>
          <w:rFonts w:eastAsia="Times New Roman"/>
          <w:color w:val="000000"/>
          <w:sz w:val="20"/>
          <w:szCs w:val="20"/>
        </w:rPr>
        <w:t>33</w:t>
      </w:r>
    </w:p>
    <w:p w:rsidR="00000000" w:rsidRDefault="005D625B">
      <w:pPr>
        <w:rPr>
          <w:rFonts w:eastAsia="Times New Roman"/>
        </w:rPr>
      </w:pPr>
      <w:r>
        <w:rPr>
          <w:rFonts w:eastAsia="Times New Roman"/>
        </w:rPr>
        <w:pict>
          <v:rect id="_x0000_i1059" style="width:0;height:1.5pt" o:hralign="center" o:hrstd="t" o:hr="t" fillcolor="#a0a0a0" stroked="f"/>
        </w:pict>
      </w:r>
    </w:p>
    <w:p w:rsidR="00000000" w:rsidRDefault="005D625B">
      <w:pPr>
        <w:divId w:val="169746564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68232092"/>
        <w:rPr>
          <w:rFonts w:eastAsia="Times New Roman"/>
        </w:rPr>
      </w:pPr>
      <w:r>
        <w:rPr>
          <w:rFonts w:eastAsia="Times New Roman"/>
          <w:b/>
          <w:bCs/>
          <w:color w:val="000000"/>
          <w:sz w:val="20"/>
          <w:szCs w:val="20"/>
        </w:rPr>
        <w:t>UGI CORPORATION AND SUBSIDIARIES</w:t>
      </w:r>
    </w:p>
    <w:p w:rsidR="00000000" w:rsidRDefault="005D625B">
      <w:pPr>
        <w:jc w:val="center"/>
        <w:divId w:val="1950622772"/>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68232092"/>
        <w:rPr>
          <w:rFonts w:eastAsia="Times New Roman"/>
        </w:rPr>
      </w:pPr>
      <w:r>
        <w:rPr>
          <w:rFonts w:eastAsia="Times New Roman"/>
          <w:color w:val="000000"/>
          <w:sz w:val="20"/>
          <w:szCs w:val="20"/>
        </w:rPr>
        <w:t>(unaudited)</w:t>
      </w:r>
    </w:p>
    <w:p w:rsidR="00000000" w:rsidRDefault="005D625B">
      <w:pPr>
        <w:jc w:val="center"/>
        <w:divId w:val="68232092"/>
        <w:rPr>
          <w:rFonts w:eastAsia="Times New Roman"/>
        </w:rPr>
      </w:pPr>
      <w:r>
        <w:rPr>
          <w:rFonts w:eastAsia="Times New Roman"/>
          <w:color w:val="000000"/>
          <w:sz w:val="20"/>
          <w:szCs w:val="20"/>
        </w:rPr>
        <w:t>(Currency in millions, except per share amounts and where indicated otherwise)</w:t>
      </w: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c>
          <w:tcPr>
            <w:tcW w:w="50" w:type="pct"/>
            <w:vAlign w:val="center"/>
            <w:hideMark/>
          </w:tcPr>
          <w:p w:rsidR="00000000" w:rsidRDefault="005D625B">
            <w:pPr>
              <w:jc w:val="center"/>
              <w:rPr>
                <w:rFonts w:eastAsia="Times New Roman"/>
              </w:rPr>
            </w:pPr>
          </w:p>
        </w:tc>
        <w:tc>
          <w:tcPr>
            <w:tcW w:w="218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3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Nine Months Ended June 30, 2021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5D625B">
            <w:pPr>
              <w:spacing w:after="100"/>
              <w:jc w:val="center"/>
              <w:rPr>
                <w:rFonts w:eastAsia="Times New Roman"/>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380 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Impairment of investment in PennEast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18"/>
                <w:szCs w:val="18"/>
              </w:rPr>
              <w:t>(Loss) 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(93)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bl>
    <w:p w:rsidR="00000000" w:rsidRDefault="005D625B">
      <w:pPr>
        <w:jc w:val="both"/>
        <w:rPr>
          <w:rFonts w:eastAsia="Times New Roman"/>
        </w:rPr>
      </w:pPr>
      <w:r>
        <w:rPr>
          <w:rFonts w:eastAsia="Times New Roman"/>
          <w:color w:val="000000"/>
          <w:sz w:val="20"/>
          <w:szCs w:val="20"/>
        </w:rPr>
        <w:t>    </w:t>
      </w: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rPr>
          <w:divId w:val="903174443"/>
        </w:trPr>
        <w:tc>
          <w:tcPr>
            <w:tcW w:w="50" w:type="pct"/>
            <w:vAlign w:val="center"/>
            <w:hideMark/>
          </w:tcPr>
          <w:p w:rsidR="00000000" w:rsidRDefault="005D625B">
            <w:pPr>
              <w:jc w:val="both"/>
              <w:rPr>
                <w:rFonts w:eastAsia="Times New Roman"/>
              </w:rPr>
            </w:pPr>
          </w:p>
        </w:tc>
        <w:tc>
          <w:tcPr>
            <w:tcW w:w="218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93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903174443"/>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18"/>
                <w:szCs w:val="18"/>
              </w:rPr>
              <w:t>Nine Months Ended June 30, 2020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5D625B">
            <w:pPr>
              <w:spacing w:after="100"/>
              <w:jc w:val="center"/>
              <w:rPr>
                <w:rFonts w:eastAsia="Times New Roman"/>
              </w:rPr>
            </w:pPr>
          </w:p>
        </w:tc>
        <w:tc>
          <w:tcPr>
            <w:tcW w:w="0" w:type="auto"/>
            <w:vAlign w:val="center"/>
            <w:hideMark/>
          </w:tcPr>
          <w:p w:rsidR="00000000" w:rsidRDefault="005D625B">
            <w:pPr>
              <w:spacing w:after="100"/>
              <w:rPr>
                <w:rFonts w:eastAsia="Times New Roman"/>
                <w:sz w:val="20"/>
                <w:szCs w:val="20"/>
              </w:rPr>
            </w:pPr>
          </w:p>
        </w:tc>
      </w:tr>
      <w:tr w:rsidR="00000000">
        <w:trPr>
          <w:divId w:val="90317444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903174443"/>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Net gains (losses)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903174443"/>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903174443"/>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Acquisition and integration expenses associated with the CMG Acquisition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903174443"/>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(27)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r w:rsidR="00000000">
        <w:trPr>
          <w:divId w:val="903174443"/>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Impairment of assets held-for-sale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Impairment of assets held-for-sale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18"/>
                <w:szCs w:val="18"/>
              </w:rPr>
              <w:t>(52)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vAlign w:val="center"/>
            <w:hideMark/>
          </w:tcPr>
          <w:p w:rsidR="00000000" w:rsidRDefault="005D625B">
            <w:pPr>
              <w:spacing w:after="100"/>
              <w:jc w:val="right"/>
              <w:rPr>
                <w:rFonts w:eastAsia="Times New Roman"/>
                <w:sz w:val="20"/>
                <w:szCs w:val="20"/>
              </w:rPr>
            </w:pPr>
          </w:p>
        </w:tc>
        <w:tc>
          <w:tcPr>
            <w:tcW w:w="0" w:type="auto"/>
            <w:vAlign w:val="center"/>
            <w:hideMark/>
          </w:tcPr>
          <w:p w:rsidR="00000000" w:rsidRDefault="005D625B">
            <w:pPr>
              <w:spacing w:after="100"/>
              <w:rPr>
                <w:rFonts w:eastAsia="Times New Roman"/>
                <w:sz w:val="20"/>
                <w:szCs w:val="20"/>
              </w:rPr>
            </w:pPr>
          </w:p>
        </w:tc>
      </w:tr>
    </w:tbl>
    <w:p w:rsidR="00000000" w:rsidRDefault="005D625B">
      <w:pPr>
        <w:jc w:val="both"/>
        <w:divId w:val="1850216934"/>
        <w:rPr>
          <w:rFonts w:eastAsia="Times New Roman"/>
        </w:rPr>
      </w:pPr>
    </w:p>
    <w:p w:rsidR="00000000" w:rsidRDefault="005D625B">
      <w:pPr>
        <w:ind w:hanging="360"/>
        <w:jc w:val="both"/>
        <w:divId w:val="995916426"/>
        <w:rPr>
          <w:rFonts w:eastAsia="Times New Roman"/>
        </w:rPr>
      </w:pPr>
      <w:r>
        <w:rPr>
          <w:rFonts w:eastAsia="Times New Roman"/>
          <w:color w:val="000000"/>
          <w:sz w:val="20"/>
          <w:szCs w:val="20"/>
        </w:rPr>
        <w:t>(b)Represents the elimination of intersegment transactions principally among Midstream &amp; Marketing, UGI Utilities and AmeriGas Propane.</w:t>
      </w:r>
    </w:p>
    <w:p w:rsidR="00000000" w:rsidRDefault="005D625B">
      <w:pPr>
        <w:jc w:val="both"/>
        <w:rPr>
          <w:rFonts w:eastAsia="Times New Roman"/>
        </w:rPr>
      </w:pPr>
    </w:p>
    <w:p w:rsidR="00000000" w:rsidRDefault="005D625B">
      <w:pPr>
        <w:divId w:val="463888124"/>
        <w:rPr>
          <w:rFonts w:eastAsia="Times New Roman"/>
        </w:rPr>
      </w:pPr>
      <w:r>
        <w:rPr>
          <w:rFonts w:eastAsia="Times New Roman"/>
          <w:b/>
          <w:bCs/>
          <w:color w:val="000000"/>
          <w:sz w:val="20"/>
          <w:szCs w:val="20"/>
          <w:u w:val="single"/>
        </w:rPr>
        <w:t>Note 15 — Busin</w:t>
      </w:r>
      <w:r>
        <w:rPr>
          <w:rFonts w:eastAsia="Times New Roman"/>
          <w:b/>
          <w:bCs/>
          <w:color w:val="000000"/>
          <w:sz w:val="20"/>
          <w:szCs w:val="20"/>
          <w:u w:val="single"/>
        </w:rPr>
        <w:t>ess Transformation Initiatives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 xml:space="preserve">AmeriGas and UGI International. </w:t>
      </w:r>
      <w:r>
        <w:rPr>
          <w:rFonts w:eastAsia="Times New Roman"/>
          <w:color w:val="000000"/>
          <w:sz w:val="20"/>
          <w:szCs w:val="20"/>
        </w:rPr>
        <w:t xml:space="preserve">Beginning in Fiscal 2019, we began executing on multi-year business transformation initiatives at our AmeriGas Propane and UGI International business segments. These initiatives are designed </w:t>
      </w:r>
      <w:r>
        <w:rPr>
          <w:rFonts w:eastAsia="Times New Roman"/>
          <w:color w:val="000000"/>
          <w:sz w:val="20"/>
          <w:szCs w:val="20"/>
        </w:rPr>
        <w:t>to improve long-term operational performance by, among other things, reducing costs and improving efficiency in the areas of sales and marketing, supply and logistics, operations, purchasing, and administration. In addition, these business transformation i</w:t>
      </w:r>
      <w:r>
        <w:rPr>
          <w:rFonts w:eastAsia="Times New Roman"/>
          <w:color w:val="000000"/>
          <w:sz w:val="20"/>
          <w:szCs w:val="20"/>
        </w:rPr>
        <w:t xml:space="preserve">nitiatives focus on enhancing the customer experience through, among other things, enhanced customer relationship management and an improved digital customer experience. In connection with these initiatives, we recognized expenses of $17 and $6 during the </w:t>
      </w:r>
      <w:r>
        <w:rPr>
          <w:rFonts w:eastAsia="Times New Roman"/>
          <w:color w:val="000000"/>
          <w:sz w:val="20"/>
          <w:szCs w:val="20"/>
        </w:rPr>
        <w:t>three months ended June 30, 2021 and 2020, respectively, and $49 and $43 during the nine months ended June 30, 2021 and 2020, respectively. These expenses principally comprising consulting, advisory, marketing and employee-related costs and are primarily r</w:t>
      </w:r>
      <w:r>
        <w:rPr>
          <w:rFonts w:eastAsia="Times New Roman"/>
          <w:color w:val="000000"/>
          <w:sz w:val="20"/>
          <w:szCs w:val="20"/>
        </w:rPr>
        <w:t>eflected in “Operating and administrative expenses” on the Condensed Consolidated Statements of Income.</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Corporate Services.</w:t>
      </w:r>
      <w:r>
        <w:rPr>
          <w:rFonts w:eastAsia="Times New Roman"/>
          <w:color w:val="000000"/>
          <w:sz w:val="20"/>
          <w:szCs w:val="20"/>
        </w:rPr>
        <w:t xml:space="preserve"> Beginning in Fiscal 2020, we initiated a transformation project focused on our support functions including: finance, procurement, </w:t>
      </w:r>
      <w:r>
        <w:rPr>
          <w:rFonts w:eastAsia="Times New Roman"/>
          <w:color w:val="000000"/>
          <w:sz w:val="20"/>
          <w:szCs w:val="20"/>
        </w:rPr>
        <w:t>human resources, and information technology. This initiative will standardize processes and activities across our global platform, while leveraging the use of best practices and efficiencies between our businesses. In connection with this initiative, we re</w:t>
      </w:r>
      <w:r>
        <w:rPr>
          <w:rFonts w:eastAsia="Times New Roman"/>
          <w:color w:val="000000"/>
          <w:sz w:val="20"/>
          <w:szCs w:val="20"/>
        </w:rPr>
        <w:t>cognized expenses of $4 and $8 for the three and nine months ended June 30, 2021 in “Operating and administrative expenses” on the Condensed Consolidated Statement of Income.</w:t>
      </w:r>
    </w:p>
    <w:p w:rsidR="00000000" w:rsidRDefault="005D625B">
      <w:pPr>
        <w:jc w:val="both"/>
        <w:rPr>
          <w:rFonts w:eastAsia="Times New Roman"/>
        </w:rPr>
      </w:pPr>
    </w:p>
    <w:p w:rsidR="00000000" w:rsidRDefault="005D625B">
      <w:pPr>
        <w:jc w:val="center"/>
        <w:divId w:val="103890923"/>
        <w:rPr>
          <w:rFonts w:eastAsia="Times New Roman"/>
        </w:rPr>
      </w:pPr>
      <w:r>
        <w:rPr>
          <w:rFonts w:eastAsia="Times New Roman"/>
          <w:color w:val="000000"/>
          <w:sz w:val="20"/>
          <w:szCs w:val="20"/>
        </w:rPr>
        <w:t>34</w:t>
      </w:r>
    </w:p>
    <w:p w:rsidR="00000000" w:rsidRDefault="005D625B">
      <w:pPr>
        <w:rPr>
          <w:rFonts w:eastAsia="Times New Roman"/>
        </w:rPr>
      </w:pPr>
      <w:r>
        <w:rPr>
          <w:rFonts w:eastAsia="Times New Roman"/>
        </w:rPr>
        <w:pict>
          <v:rect id="_x0000_i1060" style="width:0;height:1.5pt" o:hralign="center" o:hrstd="t" o:hr="t" fillcolor="#a0a0a0" stroked="f"/>
        </w:pict>
      </w:r>
    </w:p>
    <w:p w:rsidR="00000000" w:rsidRDefault="005D625B">
      <w:pPr>
        <w:divId w:val="1702825176"/>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713430152"/>
        <w:rPr>
          <w:rFonts w:eastAsia="Times New Roman"/>
        </w:rPr>
      </w:pPr>
      <w:r>
        <w:rPr>
          <w:rFonts w:eastAsia="Times New Roman"/>
          <w:b/>
          <w:bCs/>
          <w:color w:val="000000"/>
          <w:sz w:val="20"/>
          <w:szCs w:val="20"/>
        </w:rPr>
        <w:t>UGI CORPORATION AND SUBSIDIARIES</w:t>
      </w:r>
    </w:p>
    <w:p w:rsidR="00000000" w:rsidRDefault="005D625B">
      <w:pPr>
        <w:jc w:val="center"/>
        <w:divId w:val="877740481"/>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713430152"/>
        <w:rPr>
          <w:rFonts w:eastAsia="Times New Roman"/>
        </w:rPr>
      </w:pPr>
      <w:r>
        <w:rPr>
          <w:rFonts w:eastAsia="Times New Roman"/>
          <w:color w:val="000000"/>
          <w:sz w:val="20"/>
          <w:szCs w:val="20"/>
        </w:rPr>
        <w:t>(unaudited)</w:t>
      </w:r>
    </w:p>
    <w:p w:rsidR="00000000" w:rsidRDefault="005D625B">
      <w:pPr>
        <w:jc w:val="center"/>
        <w:divId w:val="713430152"/>
        <w:rPr>
          <w:rFonts w:eastAsia="Times New Roman"/>
        </w:rPr>
      </w:pPr>
      <w:r>
        <w:rPr>
          <w:rFonts w:eastAsia="Times New Roman"/>
          <w:color w:val="000000"/>
          <w:sz w:val="20"/>
          <w:szCs w:val="20"/>
        </w:rPr>
        <w:t>(Currency in millions, except per share amounts and where indicated otherwise)</w:t>
      </w:r>
    </w:p>
    <w:p w:rsidR="00000000" w:rsidRDefault="005D625B">
      <w:pPr>
        <w:divId w:val="1002052559"/>
        <w:rPr>
          <w:rFonts w:eastAsia="Times New Roman"/>
        </w:rPr>
      </w:pPr>
      <w:r>
        <w:rPr>
          <w:rFonts w:eastAsia="Times New Roman"/>
          <w:b/>
          <w:bCs/>
          <w:color w:val="000000"/>
          <w:sz w:val="20"/>
          <w:szCs w:val="20"/>
          <w:u w:val="single"/>
        </w:rPr>
        <w:t>Note 16 — Equity Method Investments</w:t>
      </w:r>
    </w:p>
    <w:p w:rsidR="00000000" w:rsidRDefault="005D625B">
      <w:pPr>
        <w:jc w:val="both"/>
        <w:divId w:val="1889100395"/>
        <w:rPr>
          <w:rFonts w:eastAsia="Times New Roman"/>
        </w:rPr>
      </w:pPr>
      <w:r>
        <w:rPr>
          <w:rFonts w:eastAsia="Times New Roman"/>
          <w:color w:val="000000"/>
          <w:sz w:val="20"/>
          <w:szCs w:val="20"/>
        </w:rPr>
        <w:t>We acco</w:t>
      </w:r>
      <w:r>
        <w:rPr>
          <w:rFonts w:eastAsia="Times New Roman"/>
          <w:color w:val="000000"/>
          <w:sz w:val="20"/>
          <w:szCs w:val="20"/>
        </w:rPr>
        <w:t xml:space="preserve">unt for privately held equity securities of entities without readily determinable fair values in which we do not have control, but have significant influence over operating and financial policies, under the equity method. Our equity method investments are </w:t>
      </w:r>
      <w:r>
        <w:rPr>
          <w:rFonts w:eastAsia="Times New Roman"/>
          <w:color w:val="000000"/>
          <w:sz w:val="20"/>
          <w:szCs w:val="20"/>
        </w:rPr>
        <w:t>primarily comprised of PennEast, Pennant and Pine Run.</w:t>
      </w:r>
    </w:p>
    <w:p w:rsidR="00000000" w:rsidRDefault="005D625B">
      <w:pPr>
        <w:jc w:val="both"/>
        <w:divId w:val="1369918765"/>
        <w:rPr>
          <w:rFonts w:eastAsia="Times New Roman"/>
        </w:rPr>
      </w:pPr>
      <w:r>
        <w:rPr>
          <w:rFonts w:eastAsia="Times New Roman"/>
          <w:color w:val="000000"/>
          <w:sz w:val="20"/>
          <w:szCs w:val="20"/>
          <w:u w:val="single"/>
        </w:rPr>
        <w:t>Fiscal 2021 Developments</w:t>
      </w:r>
    </w:p>
    <w:p w:rsidR="00000000" w:rsidRDefault="005D625B">
      <w:pPr>
        <w:jc w:val="both"/>
        <w:rPr>
          <w:rFonts w:eastAsia="Times New Roman"/>
        </w:rPr>
      </w:pPr>
    </w:p>
    <w:p w:rsidR="00000000" w:rsidRDefault="005D625B">
      <w:pPr>
        <w:jc w:val="both"/>
        <w:rPr>
          <w:rFonts w:eastAsia="Times New Roman"/>
        </w:rPr>
      </w:pPr>
      <w:r>
        <w:rPr>
          <w:rFonts w:eastAsia="Times New Roman"/>
          <w:i/>
          <w:iCs/>
          <w:color w:val="000000"/>
          <w:sz w:val="20"/>
          <w:szCs w:val="20"/>
          <w:u w:val="single"/>
        </w:rPr>
        <w:t>Pine Run.</w:t>
      </w:r>
      <w:r>
        <w:rPr>
          <w:rFonts w:eastAsia="Times New Roman"/>
          <w:i/>
          <w:iCs/>
          <w:color w:val="000000"/>
          <w:sz w:val="20"/>
          <w:szCs w:val="20"/>
        </w:rPr>
        <w:t xml:space="preserve"> </w:t>
      </w:r>
      <w:r>
        <w:rPr>
          <w:rFonts w:eastAsia="Times New Roman"/>
          <w:color w:val="000000"/>
          <w:sz w:val="20"/>
          <w:szCs w:val="20"/>
        </w:rPr>
        <w:t>In February 2021, Pine Run, a company jointly owned by Stonehenge and UGI Pine Run, LLC, a wholly-owned subsidiary of Energy Services, completed the acquisition of Pine Run Midstream, LLC from an affiliate of PennEnergy and minority partners for a prelimin</w:t>
      </w:r>
      <w:r>
        <w:rPr>
          <w:rFonts w:eastAsia="Times New Roman"/>
          <w:color w:val="000000"/>
          <w:sz w:val="20"/>
          <w:szCs w:val="20"/>
        </w:rPr>
        <w:t xml:space="preserve">ary purchase price of $205. Pine Run Midstream, LLC operates 43 miles of dry gas gathering pipeline and compression assets in Butler and Armstrong counties in western Pennsylvania. UGI Pine Run, LLC’s 49% membership interest in Pine Run totaled $59, as of </w:t>
      </w:r>
      <w:r>
        <w:rPr>
          <w:rFonts w:eastAsia="Times New Roman"/>
          <w:color w:val="000000"/>
          <w:sz w:val="20"/>
          <w:szCs w:val="20"/>
        </w:rPr>
        <w:t>June 30, 2021 and is accounted for as an equity method investment as we have the ability to exercise significant influence, but not control, over the entity.</w:t>
      </w:r>
    </w:p>
    <w:p w:rsidR="00000000" w:rsidRDefault="005D625B">
      <w:pPr>
        <w:jc w:val="both"/>
        <w:divId w:val="1254044955"/>
        <w:rPr>
          <w:rFonts w:eastAsia="Times New Roman"/>
        </w:rPr>
      </w:pPr>
      <w:r>
        <w:rPr>
          <w:rFonts w:eastAsia="Times New Roman"/>
          <w:i/>
          <w:iCs/>
          <w:color w:val="000000"/>
          <w:sz w:val="20"/>
          <w:szCs w:val="20"/>
          <w:u w:val="single"/>
        </w:rPr>
        <w:t>PennEast</w:t>
      </w:r>
      <w:r>
        <w:rPr>
          <w:rFonts w:eastAsia="Times New Roman"/>
          <w:color w:val="000000"/>
          <w:sz w:val="20"/>
          <w:szCs w:val="20"/>
          <w:u w:val="single"/>
        </w:rPr>
        <w:t>.</w:t>
      </w:r>
      <w:r>
        <w:rPr>
          <w:rFonts w:eastAsia="Times New Roman"/>
          <w:color w:val="000000"/>
          <w:sz w:val="20"/>
          <w:szCs w:val="20"/>
        </w:rPr>
        <w:t xml:space="preserve"> UGI PennEast, LLC and four other members comprising wholly owned subsidiaries of Souther</w:t>
      </w:r>
      <w:r>
        <w:rPr>
          <w:rFonts w:eastAsia="Times New Roman"/>
          <w:color w:val="000000"/>
          <w:sz w:val="20"/>
          <w:szCs w:val="20"/>
        </w:rPr>
        <w:t>n Company, New Jersey Resources, South Jersey Industries, and Enbridge, Inc., each hold a 20% membership interest in PennEast. In September 2019, a panel of the U.S. Court of Appeals for the Third Circuit ruled that New Jersey’s Eleventh Amendment immunity</w:t>
      </w:r>
      <w:r>
        <w:rPr>
          <w:rFonts w:eastAsia="Times New Roman"/>
          <w:color w:val="000000"/>
          <w:sz w:val="20"/>
          <w:szCs w:val="20"/>
        </w:rPr>
        <w:t xml:space="preserve"> barred PennEast from bringing an eminent domain lawsuit in federal court, under the Natural Gas Act, against New Jersey or its agencies. On February 3, 2021, the U.S. Supreme Court issued an order granting PennEast’s petition for a writ of certiorari and </w:t>
      </w:r>
      <w:r>
        <w:rPr>
          <w:rFonts w:eastAsia="Times New Roman"/>
          <w:color w:val="000000"/>
          <w:sz w:val="20"/>
          <w:szCs w:val="20"/>
        </w:rPr>
        <w:t>the case was argued on April 28, 2021. On June 29, 2021, the U.S. Supreme Court ruled in favor of PennEast, overturning the Third Circuit’s decision that blocked PennEast from exercising federal eminent domain authority over lands in which a state has prop</w:t>
      </w:r>
      <w:r>
        <w:rPr>
          <w:rFonts w:eastAsia="Times New Roman"/>
          <w:color w:val="000000"/>
          <w:sz w:val="20"/>
          <w:szCs w:val="20"/>
        </w:rPr>
        <w:t>erty rights interests.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Following the favorable Supreme Court decision, the partners of the PennEast project re-assessed the remaining legal and regulatory contingencies which must be resolved before construction can commence. Based on the significant rem</w:t>
      </w:r>
      <w:r>
        <w:rPr>
          <w:rFonts w:eastAsia="Times New Roman"/>
          <w:color w:val="000000"/>
          <w:sz w:val="20"/>
          <w:szCs w:val="20"/>
        </w:rPr>
        <w:t>aining legal challenges and the expected further delays in obtaining the necessary regulatory approvals, which are preventing the commencement of construction and commercial operation of the project, the Company concluded that its investment in PennEast wa</w:t>
      </w:r>
      <w:r>
        <w:rPr>
          <w:rFonts w:eastAsia="Times New Roman"/>
          <w:color w:val="000000"/>
          <w:sz w:val="20"/>
          <w:szCs w:val="20"/>
        </w:rPr>
        <w:t>s impaired at June 30, 2021, and that such impairment was other-than-temporary. The estimated fair value of the Company’s investment in PennEast was measured using probability-weighted cash flows under an expected present value technique based on managemen</w:t>
      </w:r>
      <w:r>
        <w:rPr>
          <w:rFonts w:eastAsia="Times New Roman"/>
          <w:color w:val="000000"/>
          <w:sz w:val="20"/>
          <w:szCs w:val="20"/>
        </w:rPr>
        <w:t>t's estimates and assumptions regarding the likelihood of certain outcomes (and the related timing) that would be used by market participants. These assumptions included the estimated fair value of the equipment acquired by the PennEast project (principall</w:t>
      </w:r>
      <w:r>
        <w:rPr>
          <w:rFonts w:eastAsia="Times New Roman"/>
          <w:color w:val="000000"/>
          <w:sz w:val="20"/>
          <w:szCs w:val="20"/>
        </w:rPr>
        <w:t>y pipes, compressors and land) as well as the required regulatory approvals, satisfactory resolution of pending legal matters, the magnitude of construction costs, in-service dates, forecasted revenues and discount rates, as well as the probability weighti</w:t>
      </w:r>
      <w:r>
        <w:rPr>
          <w:rFonts w:eastAsia="Times New Roman"/>
          <w:color w:val="000000"/>
          <w:sz w:val="20"/>
          <w:szCs w:val="20"/>
        </w:rPr>
        <w:t>ng of the various scenarios associated with the PennEast project. The ultimate outcome of the PennEast construction project cannot be determined at this time.</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Based upon this analysis, the Company recognized an other-than-temporary pretax impairment charge of $93 in June 2021, which is recorded in “(Loss) income from equity investees” in the Condensed Consolidated Statements of Income. The Company has establishe</w:t>
      </w:r>
      <w:r>
        <w:rPr>
          <w:rFonts w:eastAsia="Times New Roman"/>
          <w:color w:val="000000"/>
          <w:sz w:val="20"/>
          <w:szCs w:val="20"/>
        </w:rPr>
        <w:t>d a full valuation allowance on the deferred tax asset recognized for the impairment, as it is not more likely than not at June 30, 2021 that such deferred tax asset will be realized. The estimated fair value of the Company’s investment in PennEast as of J</w:t>
      </w:r>
      <w:r>
        <w:rPr>
          <w:rFonts w:eastAsia="Times New Roman"/>
          <w:color w:val="000000"/>
          <w:sz w:val="20"/>
          <w:szCs w:val="20"/>
        </w:rPr>
        <w:t xml:space="preserve">une 30, 2021 represents a nonrecurring, level 3 measurement within the fair value hierarchy as the significant unobservable inputs principally reflect the probability weightings assigned to the potential outcomes discussed above. </w:t>
      </w:r>
    </w:p>
    <w:p w:rsidR="00000000" w:rsidRDefault="005D625B">
      <w:pPr>
        <w:jc w:val="both"/>
        <w:rPr>
          <w:rFonts w:eastAsia="Times New Roman"/>
        </w:rPr>
      </w:pPr>
    </w:p>
    <w:p w:rsidR="00000000" w:rsidRDefault="005D625B">
      <w:pPr>
        <w:divId w:val="1406416434"/>
        <w:rPr>
          <w:rFonts w:eastAsia="Times New Roman"/>
        </w:rPr>
      </w:pPr>
      <w:r>
        <w:rPr>
          <w:rFonts w:eastAsia="Times New Roman"/>
          <w:b/>
          <w:bCs/>
          <w:color w:val="000000"/>
          <w:sz w:val="20"/>
          <w:szCs w:val="20"/>
          <w:u w:val="single"/>
        </w:rPr>
        <w:t>Note 17 — Impact of Glo</w:t>
      </w:r>
      <w:r>
        <w:rPr>
          <w:rFonts w:eastAsia="Times New Roman"/>
          <w:b/>
          <w:bCs/>
          <w:color w:val="000000"/>
          <w:sz w:val="20"/>
          <w:szCs w:val="20"/>
          <w:u w:val="single"/>
        </w:rPr>
        <w:t>bal Pandemic</w:t>
      </w:r>
    </w:p>
    <w:p w:rsidR="00000000" w:rsidRDefault="005D625B">
      <w:pPr>
        <w:divId w:val="859703965"/>
        <w:rPr>
          <w:rFonts w:eastAsia="Times New Roman"/>
        </w:rPr>
      </w:pPr>
    </w:p>
    <w:p w:rsidR="00000000" w:rsidRDefault="005D625B">
      <w:pPr>
        <w:jc w:val="both"/>
        <w:divId w:val="1044866371"/>
        <w:rPr>
          <w:rFonts w:eastAsia="Times New Roman"/>
        </w:rPr>
      </w:pPr>
      <w:r>
        <w:rPr>
          <w:rFonts w:eastAsia="Times New Roman"/>
          <w:color w:val="000000"/>
          <w:sz w:val="20"/>
          <w:szCs w:val="20"/>
        </w:rPr>
        <w:t>In March 2020, the WHO declared a global pandemic attributable to the outbreak and continued spread of COVID-19 that has had a significant impact throughout the global economy. In connection with the mitigation and containment procedures rec</w:t>
      </w:r>
      <w:r>
        <w:rPr>
          <w:rFonts w:eastAsia="Times New Roman"/>
          <w:color w:val="000000"/>
          <w:sz w:val="20"/>
          <w:szCs w:val="20"/>
        </w:rPr>
        <w:t>ommended by the WHO, the CDC, and as imposed by federal, state, and local governmental authorities, including shelter-in-place orders, quarantines and similar restrictions, the Company implemented a variety of procedures to protect our employees, third-par</w:t>
      </w:r>
      <w:r>
        <w:rPr>
          <w:rFonts w:eastAsia="Times New Roman"/>
          <w:color w:val="000000"/>
          <w:sz w:val="20"/>
          <w:szCs w:val="20"/>
        </w:rPr>
        <w:t xml:space="preserve">ty business partners, and customers worldwide. The Company continues to provide essential products and services to its global customers in a safe and reliable manner, and will continue to do so in compliance with mandated restrictions presented by each of </w:t>
      </w:r>
      <w:r>
        <w:rPr>
          <w:rFonts w:eastAsia="Times New Roman"/>
          <w:color w:val="000000"/>
          <w:sz w:val="20"/>
          <w:szCs w:val="20"/>
        </w:rPr>
        <w:t>the markets it serves. The Company continues to evaluate and react to the potential effects of a prolonged disruption and the continued impact on its results of operations. These items may include, but are not limited to: the financial condition of its cus</w:t>
      </w:r>
      <w:r>
        <w:rPr>
          <w:rFonts w:eastAsia="Times New Roman"/>
          <w:color w:val="000000"/>
          <w:sz w:val="20"/>
          <w:szCs w:val="20"/>
        </w:rPr>
        <w:t xml:space="preserve">tomers; decreased availability and demand for its products and services; realization of accounts receivable; </w:t>
      </w:r>
    </w:p>
    <w:p w:rsidR="00000000" w:rsidRDefault="005D625B">
      <w:pPr>
        <w:jc w:val="center"/>
        <w:divId w:val="1905867564"/>
        <w:rPr>
          <w:rFonts w:eastAsia="Times New Roman"/>
        </w:rPr>
      </w:pPr>
      <w:r>
        <w:rPr>
          <w:rFonts w:eastAsia="Times New Roman"/>
          <w:color w:val="000000"/>
          <w:sz w:val="20"/>
          <w:szCs w:val="20"/>
        </w:rPr>
        <w:t>35</w:t>
      </w:r>
    </w:p>
    <w:p w:rsidR="00000000" w:rsidRDefault="005D625B">
      <w:pPr>
        <w:rPr>
          <w:rFonts w:eastAsia="Times New Roman"/>
        </w:rPr>
      </w:pPr>
      <w:r>
        <w:rPr>
          <w:rFonts w:eastAsia="Times New Roman"/>
        </w:rPr>
        <w:pict>
          <v:rect id="_x0000_i1061" style="width:0;height:1.5pt" o:hralign="center" o:hrstd="t" o:hr="t" fillcolor="#a0a0a0" stroked="f"/>
        </w:pict>
      </w:r>
    </w:p>
    <w:p w:rsidR="00000000" w:rsidRDefault="005D625B">
      <w:pPr>
        <w:divId w:val="170957374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93672716"/>
        <w:rPr>
          <w:rFonts w:eastAsia="Times New Roman"/>
        </w:rPr>
      </w:pPr>
      <w:r>
        <w:rPr>
          <w:rFonts w:eastAsia="Times New Roman"/>
          <w:b/>
          <w:bCs/>
          <w:color w:val="000000"/>
          <w:sz w:val="20"/>
          <w:szCs w:val="20"/>
        </w:rPr>
        <w:t>UGI CORPORATION AND SUBSIDIARI</w:t>
      </w:r>
      <w:r>
        <w:rPr>
          <w:rFonts w:eastAsia="Times New Roman"/>
          <w:b/>
          <w:bCs/>
          <w:color w:val="000000"/>
          <w:sz w:val="20"/>
          <w:szCs w:val="20"/>
        </w:rPr>
        <w:t>ES</w:t>
      </w:r>
    </w:p>
    <w:p w:rsidR="00000000" w:rsidRDefault="005D625B">
      <w:pPr>
        <w:jc w:val="center"/>
        <w:divId w:val="660080574"/>
        <w:rPr>
          <w:rFonts w:eastAsia="Times New Roman"/>
        </w:rPr>
      </w:pPr>
      <w:r>
        <w:rPr>
          <w:rFonts w:eastAsia="Times New Roman"/>
          <w:b/>
          <w:bCs/>
          <w:color w:val="000000"/>
          <w:sz w:val="20"/>
          <w:szCs w:val="20"/>
          <w:u w:val="single"/>
        </w:rPr>
        <w:t>Notes to Condensed Consolidated Financial Statements</w:t>
      </w:r>
    </w:p>
    <w:p w:rsidR="00000000" w:rsidRDefault="005D625B">
      <w:pPr>
        <w:jc w:val="center"/>
        <w:divId w:val="93672716"/>
        <w:rPr>
          <w:rFonts w:eastAsia="Times New Roman"/>
        </w:rPr>
      </w:pPr>
      <w:r>
        <w:rPr>
          <w:rFonts w:eastAsia="Times New Roman"/>
          <w:color w:val="000000"/>
          <w:sz w:val="20"/>
          <w:szCs w:val="20"/>
        </w:rPr>
        <w:t>(unaudited)</w:t>
      </w:r>
    </w:p>
    <w:p w:rsidR="00000000" w:rsidRDefault="005D625B">
      <w:pPr>
        <w:jc w:val="center"/>
        <w:divId w:val="93672716"/>
        <w:rPr>
          <w:rFonts w:eastAsia="Times New Roman"/>
        </w:rPr>
      </w:pPr>
      <w:r>
        <w:rPr>
          <w:rFonts w:eastAsia="Times New Roman"/>
          <w:color w:val="000000"/>
          <w:sz w:val="20"/>
          <w:szCs w:val="20"/>
        </w:rPr>
        <w:t>(Currency in millions, except per share amounts and where indicated otherwise)</w:t>
      </w:r>
    </w:p>
    <w:p w:rsidR="00000000" w:rsidRDefault="005D625B">
      <w:pPr>
        <w:jc w:val="both"/>
        <w:divId w:val="1388187201"/>
        <w:rPr>
          <w:rFonts w:eastAsia="Times New Roman"/>
        </w:rPr>
      </w:pPr>
      <w:r>
        <w:rPr>
          <w:rFonts w:eastAsia="Times New Roman"/>
          <w:color w:val="000000"/>
          <w:sz w:val="20"/>
          <w:szCs w:val="20"/>
        </w:rPr>
        <w:t>impairment considerations related to certain current assets, long-lived assets and goodwill; delays related t</w:t>
      </w:r>
      <w:r>
        <w:rPr>
          <w:rFonts w:eastAsia="Times New Roman"/>
          <w:color w:val="000000"/>
          <w:sz w:val="20"/>
          <w:szCs w:val="20"/>
        </w:rPr>
        <w:t xml:space="preserve">o current and future projects; and the effects of government stimulus efforts including tax legislation in response to COVID-19. While its operations and financial performance continue to be impacted by COVID-19, the Company cannot predict the duration or </w:t>
      </w:r>
      <w:r>
        <w:rPr>
          <w:rFonts w:eastAsia="Times New Roman"/>
          <w:color w:val="000000"/>
          <w:sz w:val="20"/>
          <w:szCs w:val="20"/>
        </w:rPr>
        <w:t>magnitude of the pandemic and the total effects on its business, financial position, results of operations, liquidity or cash flows at this time.</w:t>
      </w:r>
    </w:p>
    <w:p w:rsidR="00000000" w:rsidRDefault="005D625B">
      <w:pPr>
        <w:jc w:val="center"/>
        <w:divId w:val="1655597285"/>
        <w:rPr>
          <w:rFonts w:eastAsia="Times New Roman"/>
        </w:rPr>
      </w:pPr>
      <w:r>
        <w:rPr>
          <w:rFonts w:eastAsia="Times New Roman"/>
          <w:color w:val="000000"/>
          <w:sz w:val="20"/>
          <w:szCs w:val="20"/>
        </w:rPr>
        <w:t>36</w:t>
      </w:r>
    </w:p>
    <w:p w:rsidR="00000000" w:rsidRDefault="005D625B">
      <w:pPr>
        <w:rPr>
          <w:rFonts w:eastAsia="Times New Roman"/>
        </w:rPr>
      </w:pPr>
      <w:r>
        <w:rPr>
          <w:rFonts w:eastAsia="Times New Roman"/>
        </w:rPr>
        <w:pict>
          <v:rect id="_x0000_i1062" style="width:0;height:1.5pt" o:hralign="center" o:hrstd="t" o:hr="t" fillcolor="#a0a0a0" stroked="f"/>
        </w:pict>
      </w:r>
    </w:p>
    <w:p w:rsidR="00000000" w:rsidRDefault="005D625B">
      <w:pPr>
        <w:divId w:val="1910575429"/>
        <w:rPr>
          <w:rFonts w:eastAsia="Times New Roman"/>
        </w:rPr>
      </w:pPr>
      <w:hyperlink w:anchor="i8e9ae631f70f4c00b4ea140d922613cd_7" w:history="1">
        <w:r>
          <w:rPr>
            <w:rStyle w:val="a3"/>
            <w:rFonts w:eastAsia="Times New Roman"/>
            <w:sz w:val="20"/>
            <w:szCs w:val="20"/>
          </w:rPr>
          <w:t>Table of Con</w:t>
        </w:r>
        <w:r>
          <w:rPr>
            <w:rStyle w:val="a3"/>
            <w:rFonts w:eastAsia="Times New Roman"/>
            <w:sz w:val="20"/>
            <w:szCs w:val="20"/>
          </w:rPr>
          <w:t>tents</w:t>
        </w:r>
      </w:hyperlink>
    </w:p>
    <w:p w:rsidR="00000000" w:rsidRDefault="005D625B">
      <w:pPr>
        <w:jc w:val="center"/>
        <w:divId w:val="8945312"/>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5D625B">
      <w:pPr>
        <w:divId w:val="2049990236"/>
        <w:rPr>
          <w:rFonts w:eastAsia="Times New Roman"/>
        </w:rPr>
      </w:pPr>
    </w:p>
    <w:p w:rsidR="00000000" w:rsidRDefault="005D625B">
      <w:pPr>
        <w:divId w:val="566840509"/>
        <w:rPr>
          <w:rFonts w:eastAsia="Times New Roman"/>
        </w:rPr>
      </w:pPr>
      <w:r>
        <w:rPr>
          <w:rFonts w:eastAsia="Times New Roman"/>
          <w:b/>
          <w:bCs/>
          <w:color w:val="000000"/>
          <w:sz w:val="20"/>
          <w:szCs w:val="20"/>
        </w:rPr>
        <w:t>Forward-Looking Statements</w:t>
      </w:r>
    </w:p>
    <w:p w:rsidR="00000000" w:rsidRDefault="005D625B">
      <w:pPr>
        <w:divId w:val="258173248"/>
        <w:rPr>
          <w:rFonts w:eastAsia="Times New Roman"/>
        </w:rPr>
      </w:pPr>
    </w:p>
    <w:p w:rsidR="00000000" w:rsidRDefault="005D625B">
      <w:pPr>
        <w:jc w:val="both"/>
        <w:rPr>
          <w:rFonts w:eastAsia="Times New Roman"/>
        </w:rPr>
      </w:pPr>
      <w:r>
        <w:rPr>
          <w:rFonts w:eastAsia="Times New Roman"/>
          <w:color w:val="000000"/>
          <w:sz w:val="20"/>
          <w:szCs w:val="20"/>
        </w:rPr>
        <w:t>Information contained in this Quarterly Report on Form 10-Q may contain forward-looking statements within the meaning of Section 27A of the Securities Act of 1933, as amended, and Section 21E of the Exchange Act. Such statements use forward-looking words s</w:t>
      </w:r>
      <w:r>
        <w:rPr>
          <w:rFonts w:eastAsia="Times New Roman"/>
          <w:color w:val="000000"/>
          <w:sz w:val="20"/>
          <w:szCs w:val="20"/>
        </w:rPr>
        <w:t>uch as “believe,” “plan,” “anticipate,” “continue,” “estimate,” “expect,” “may,” or other similar words. These statements discuss plans, strategies, events or developments that we expect or anticipate will or may occur in the future.</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A forward-looking st</w:t>
      </w:r>
      <w:r>
        <w:rPr>
          <w:rFonts w:eastAsia="Times New Roman"/>
          <w:color w:val="000000"/>
          <w:sz w:val="20"/>
          <w:szCs w:val="20"/>
        </w:rPr>
        <w:t>atement may include a statement of the assumptions or bases underlying the forward-looking statement. We believe that we have chosen these assumptions or bases in good faith and that they are reasonable. However, we caution you that actual results almost a</w:t>
      </w:r>
      <w:r>
        <w:rPr>
          <w:rFonts w:eastAsia="Times New Roman"/>
          <w:color w:val="000000"/>
          <w:sz w:val="20"/>
          <w:szCs w:val="20"/>
        </w:rPr>
        <w:t>lways vary from assumed facts or bases, and the differences between actual results and assumed facts or bases can be material, depending on the circumstances. When considering forward-looking statements, you should keep in mind the following important fact</w:t>
      </w:r>
      <w:r>
        <w:rPr>
          <w:rFonts w:eastAsia="Times New Roman"/>
          <w:color w:val="000000"/>
          <w:sz w:val="20"/>
          <w:szCs w:val="20"/>
        </w:rPr>
        <w:t>ors that could affect our future results and could cause those results to differ materially from those expressed in our forward-looking statements: (1) weather conditions, including increasingly uncertain weather patterns due to climate change, resulting i</w:t>
      </w:r>
      <w:r>
        <w:rPr>
          <w:rFonts w:eastAsia="Times New Roman"/>
          <w:color w:val="000000"/>
          <w:sz w:val="20"/>
          <w:szCs w:val="20"/>
        </w:rPr>
        <w:t xml:space="preserve">n reduced demand and the seasonal nature of our business; (2) cost volatility and availability of propane and other LPG, electricity, and natural gas, as well as the availability of LPG cylinders and the capacity to transport product to our customers; (3) </w:t>
      </w:r>
      <w:r>
        <w:rPr>
          <w:rFonts w:eastAsia="Times New Roman"/>
          <w:color w:val="000000"/>
          <w:sz w:val="20"/>
          <w:szCs w:val="20"/>
        </w:rPr>
        <w:t>changes in domestic and foreign laws and regulations, including safety, tax, consumer protection, data privacy, accounting matters, and environmental, including regulatory responses to climate change; (4) inability to timely recover costs through utility r</w:t>
      </w:r>
      <w:r>
        <w:rPr>
          <w:rFonts w:eastAsia="Times New Roman"/>
          <w:color w:val="000000"/>
          <w:sz w:val="20"/>
          <w:szCs w:val="20"/>
        </w:rPr>
        <w:t>ate proceedings; (5) the impact of pending and future legal or regulatory proceedings, inquiries or investigations; (6) competitive pressures from the same and alternative energy sources; (7) failure to acquire new customers or retain current customers the</w:t>
      </w:r>
      <w:r>
        <w:rPr>
          <w:rFonts w:eastAsia="Times New Roman"/>
          <w:color w:val="000000"/>
          <w:sz w:val="20"/>
          <w:szCs w:val="20"/>
        </w:rPr>
        <w:t>reby reducing or limiting any increase in revenues; (8) liability for environmental claims; (9) increased customer conservation measures due to high energy prices and improvements in energy efficiency and technology resulting in reduced demand; (10) advers</w:t>
      </w:r>
      <w:r>
        <w:rPr>
          <w:rFonts w:eastAsia="Times New Roman"/>
          <w:color w:val="000000"/>
          <w:sz w:val="20"/>
          <w:szCs w:val="20"/>
        </w:rPr>
        <w:t>e labor relations; (11) customer, counterparty, supplier, or vendor defaults; (12) liability for uninsured claims and for claims in excess of insurance coverage, including those for personal injury and property damage arising from explosions, terrorism, na</w:t>
      </w:r>
      <w:r>
        <w:rPr>
          <w:rFonts w:eastAsia="Times New Roman"/>
          <w:color w:val="000000"/>
          <w:sz w:val="20"/>
          <w:szCs w:val="20"/>
        </w:rPr>
        <w:t>tural disasters, pandemics and other catastrophic events that may result from operating hazards and risks incidental to generating and distributing electricity and transporting, storing and distributing natural gas in all forms; (13) transmission or distri</w:t>
      </w:r>
      <w:r>
        <w:rPr>
          <w:rFonts w:eastAsia="Times New Roman"/>
          <w:color w:val="000000"/>
          <w:sz w:val="20"/>
          <w:szCs w:val="20"/>
        </w:rPr>
        <w:t xml:space="preserve">bution system service interruptions; (14) political, regulatory and economic conditions in the United States, Europe and other foreign countries, including the current conflicts in the Middle East and the withdrawal of the United Kingdom from the European </w:t>
      </w:r>
      <w:r>
        <w:rPr>
          <w:rFonts w:eastAsia="Times New Roman"/>
          <w:color w:val="000000"/>
          <w:sz w:val="20"/>
          <w:szCs w:val="20"/>
        </w:rPr>
        <w:t>Union, and foreign currency exchange rate fluctuations, particularly the euro; (15) capital market conditions, including reduced access to capital markets and interest rate fluctuations; (16) changes in commodity market prices resulting in significantly hi</w:t>
      </w:r>
      <w:r>
        <w:rPr>
          <w:rFonts w:eastAsia="Times New Roman"/>
          <w:color w:val="000000"/>
          <w:sz w:val="20"/>
          <w:szCs w:val="20"/>
        </w:rPr>
        <w:t>gher cash collateral requirements; (17) reduced distributions from subsidiaries impacting the ability to pay dividends; (18) changes in Marcellus and Utica Shale gas production; (19) the availability, timing and success of our acquisitions, commercial init</w:t>
      </w:r>
      <w:r>
        <w:rPr>
          <w:rFonts w:eastAsia="Times New Roman"/>
          <w:color w:val="000000"/>
          <w:sz w:val="20"/>
          <w:szCs w:val="20"/>
        </w:rPr>
        <w:t xml:space="preserve">iatives and investments to grow our businesses; (20) our ability to successfully integrate acquired businesses and achieve anticipated synergies; (21) the interruption, disruption, failure or malfunction of our information technology systems, and those of </w:t>
      </w:r>
      <w:r>
        <w:rPr>
          <w:rFonts w:eastAsia="Times New Roman"/>
          <w:color w:val="000000"/>
          <w:sz w:val="20"/>
          <w:szCs w:val="20"/>
        </w:rPr>
        <w:t>our third-party vendors or service providers, including due to cyber attack; (22) the inability to complete pending or future energy infrastructure projects; (23) our ability to achieve the operational benefits and cost efficiencies expected from the compl</w:t>
      </w:r>
      <w:r>
        <w:rPr>
          <w:rFonts w:eastAsia="Times New Roman"/>
          <w:color w:val="000000"/>
          <w:sz w:val="20"/>
          <w:szCs w:val="20"/>
        </w:rPr>
        <w:t>etion of pending and future business transformation initiatives including the impact of customer service disruptions resulting in potential customer loss due to the transformation activities; (24) uncertainties related to a global pandemic, including the d</w:t>
      </w:r>
      <w:r>
        <w:rPr>
          <w:rFonts w:eastAsia="Times New Roman"/>
          <w:color w:val="000000"/>
          <w:sz w:val="20"/>
          <w:szCs w:val="20"/>
        </w:rPr>
        <w:t>uration and/or impact of the COVID-19 pandemic; (25) the extent to which we are able to utilize certain tax benefits currently available under the CARES Act and similar tax legislation and whether such benefits will remain available in the future; and (26)</w:t>
      </w:r>
      <w:r>
        <w:rPr>
          <w:rFonts w:eastAsia="Times New Roman"/>
          <w:color w:val="000000"/>
          <w:sz w:val="20"/>
          <w:szCs w:val="20"/>
        </w:rPr>
        <w:t xml:space="preserve"> the potentially dilutive impact that the payment and settlement of the components of our Equity Units may have on holders of our Common Stock.</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These factors, and those factors set forth in Item 1A. Risk Factors in this Form 10-Q and in the Company’s 202</w:t>
      </w:r>
      <w:r>
        <w:rPr>
          <w:rFonts w:eastAsia="Times New Roman"/>
          <w:color w:val="000000"/>
          <w:sz w:val="20"/>
          <w:szCs w:val="20"/>
        </w:rPr>
        <w:t>0 Annual Report, are not necessarily all of the important factors that could cause actual results to differ materially from those expressed in any of our forward-looking statements. Other unknown or unpredictable factors could also have material adverse ef</w:t>
      </w:r>
      <w:r>
        <w:rPr>
          <w:rFonts w:eastAsia="Times New Roman"/>
          <w:color w:val="000000"/>
          <w:sz w:val="20"/>
          <w:szCs w:val="20"/>
        </w:rPr>
        <w:t>fects on future results. We undertake no obligation to update publicly any forward-looking statement whether as a result of new information or future events except as required by the federal securities laws.</w:t>
      </w:r>
    </w:p>
    <w:p w:rsidR="00000000" w:rsidRDefault="005D625B">
      <w:pPr>
        <w:jc w:val="both"/>
        <w:rPr>
          <w:rFonts w:eastAsia="Times New Roman"/>
        </w:rPr>
      </w:pPr>
    </w:p>
    <w:p w:rsidR="00000000" w:rsidRDefault="005D625B">
      <w:pPr>
        <w:jc w:val="center"/>
        <w:rPr>
          <w:rFonts w:eastAsia="Times New Roman"/>
        </w:rPr>
      </w:pPr>
      <w:r>
        <w:rPr>
          <w:rFonts w:eastAsia="Times New Roman"/>
          <w:b/>
          <w:bCs/>
          <w:color w:val="000000"/>
          <w:sz w:val="20"/>
          <w:szCs w:val="20"/>
          <w:u w:val="single"/>
        </w:rPr>
        <w:t>ANALYSIS OF RESULTS OF OPERATIONS</w:t>
      </w:r>
    </w:p>
    <w:p w:rsidR="00000000" w:rsidRDefault="005D625B">
      <w:pPr>
        <w:jc w:val="center"/>
        <w:rPr>
          <w:rFonts w:eastAsia="Times New Roman"/>
        </w:rPr>
      </w:pPr>
    </w:p>
    <w:p w:rsidR="00000000" w:rsidRDefault="005D625B">
      <w:pPr>
        <w:jc w:val="both"/>
        <w:rPr>
          <w:rFonts w:eastAsia="Times New Roman"/>
        </w:rPr>
      </w:pPr>
      <w:r>
        <w:rPr>
          <w:rFonts w:eastAsia="Times New Roman"/>
          <w:color w:val="000000"/>
          <w:sz w:val="20"/>
          <w:szCs w:val="20"/>
        </w:rPr>
        <w:t>The following analyses compare the Company’s results of operations for the 2021 three-month period with the 2020 three-month period and the 2021 nine-month period with the 2020 nine-month period. Our analyses of results of operations should be read in conj</w:t>
      </w:r>
      <w:r>
        <w:rPr>
          <w:rFonts w:eastAsia="Times New Roman"/>
          <w:color w:val="000000"/>
          <w:sz w:val="20"/>
          <w:szCs w:val="20"/>
        </w:rPr>
        <w:t xml:space="preserve">unction with the segment information included in Note 14 to Condensed Consolidated Financial Statements.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Because most of our businesses sell or distribute energy products used in large part for heating purposes, our results are significantly influenced </w:t>
      </w:r>
      <w:r>
        <w:rPr>
          <w:rFonts w:eastAsia="Times New Roman"/>
          <w:color w:val="000000"/>
          <w:sz w:val="20"/>
          <w:szCs w:val="20"/>
        </w:rPr>
        <w:t xml:space="preserve">by temperatures in our service territories, particularly during the heating-season months of October through March. As a result, our operating results, excluding the effects of gains and losses on commodity derivative </w:t>
      </w:r>
    </w:p>
    <w:p w:rsidR="00000000" w:rsidRDefault="005D625B">
      <w:pPr>
        <w:jc w:val="center"/>
        <w:divId w:val="1790320100"/>
        <w:rPr>
          <w:rFonts w:eastAsia="Times New Roman"/>
        </w:rPr>
      </w:pPr>
      <w:r>
        <w:rPr>
          <w:rFonts w:eastAsia="Times New Roman"/>
          <w:color w:val="000000"/>
          <w:sz w:val="20"/>
          <w:szCs w:val="20"/>
        </w:rPr>
        <w:t>37</w:t>
      </w:r>
    </w:p>
    <w:p w:rsidR="00000000" w:rsidRDefault="005D625B">
      <w:pPr>
        <w:rPr>
          <w:rFonts w:eastAsia="Times New Roman"/>
        </w:rPr>
      </w:pPr>
      <w:r>
        <w:rPr>
          <w:rFonts w:eastAsia="Times New Roman"/>
        </w:rPr>
        <w:pict>
          <v:rect id="_x0000_i1063" style="width:0;height:1.5pt" o:hralign="center" o:hrstd="t" o:hr="t" fillcolor="#a0a0a0" stroked="f"/>
        </w:pict>
      </w:r>
    </w:p>
    <w:p w:rsidR="00000000" w:rsidRDefault="005D625B">
      <w:pPr>
        <w:divId w:val="410932047"/>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330530115"/>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color w:val="000000"/>
          <w:sz w:val="20"/>
          <w:szCs w:val="20"/>
        </w:rPr>
        <w:t>instruments not associated with current-period transactions as further discussed below, are significantly higher in our first and second fiscal q</w:t>
      </w:r>
      <w:r>
        <w:rPr>
          <w:rFonts w:eastAsia="Times New Roman"/>
          <w:color w:val="000000"/>
          <w:sz w:val="20"/>
          <w:szCs w:val="20"/>
        </w:rPr>
        <w:t>uarters.</w:t>
      </w:r>
    </w:p>
    <w:p w:rsidR="00000000" w:rsidRDefault="005D625B">
      <w:pPr>
        <w:divId w:val="574053023"/>
        <w:rPr>
          <w:rFonts w:eastAsia="Times New Roman"/>
        </w:rPr>
      </w:pPr>
    </w:p>
    <w:p w:rsidR="00000000" w:rsidRDefault="005D625B">
      <w:pPr>
        <w:jc w:val="both"/>
        <w:rPr>
          <w:rFonts w:eastAsia="Times New Roman"/>
        </w:rPr>
      </w:pPr>
      <w:r>
        <w:rPr>
          <w:rFonts w:eastAsia="Times New Roman"/>
          <w:b/>
          <w:bCs/>
          <w:color w:val="000000"/>
          <w:sz w:val="20"/>
          <w:szCs w:val="20"/>
        </w:rPr>
        <w:t>Recent Developments</w:t>
      </w:r>
    </w:p>
    <w:p w:rsidR="00000000" w:rsidRDefault="005D625B">
      <w:pPr>
        <w:jc w:val="both"/>
        <w:rPr>
          <w:rFonts w:eastAsia="Times New Roman"/>
        </w:rPr>
      </w:pPr>
    </w:p>
    <w:p w:rsidR="00000000" w:rsidRDefault="005D625B">
      <w:pPr>
        <w:jc w:val="both"/>
        <w:divId w:val="650715213"/>
        <w:rPr>
          <w:rFonts w:eastAsia="Times New Roman"/>
        </w:rPr>
      </w:pPr>
      <w:r>
        <w:rPr>
          <w:rFonts w:eastAsia="Times New Roman"/>
          <w:b/>
          <w:bCs/>
          <w:i/>
          <w:iCs/>
          <w:color w:val="000000"/>
          <w:sz w:val="20"/>
          <w:szCs w:val="20"/>
        </w:rPr>
        <w:t xml:space="preserve">Pending Acquisition of Mountaineer Gas Company </w:t>
      </w:r>
    </w:p>
    <w:p w:rsidR="00000000" w:rsidRDefault="005D625B">
      <w:pPr>
        <w:jc w:val="both"/>
        <w:rPr>
          <w:rFonts w:eastAsia="Times New Roman"/>
        </w:rPr>
      </w:pPr>
      <w:r>
        <w:rPr>
          <w:rFonts w:eastAsia="Times New Roman"/>
          <w:color w:val="000000"/>
          <w:sz w:val="20"/>
          <w:szCs w:val="20"/>
        </w:rPr>
        <w:t>On December 29, 2020, UGI Corporation signed a definitive agreement to acquire Mountaineer, the largest natural gas distribution company in West Virginia for a preliminary pur</w:t>
      </w:r>
      <w:r>
        <w:rPr>
          <w:rFonts w:eastAsia="Times New Roman"/>
          <w:color w:val="000000"/>
          <w:sz w:val="20"/>
          <w:szCs w:val="20"/>
        </w:rPr>
        <w:t>chase price of $540 million, which includes the assumption of approximately $140 million of long-term debt. Mountaineer serves nearly 215,000 customers across 50 of the state’s 55 counties. The pending acquisition is subject to customary regulatory and oth</w:t>
      </w:r>
      <w:r>
        <w:rPr>
          <w:rFonts w:eastAsia="Times New Roman"/>
          <w:color w:val="000000"/>
          <w:sz w:val="20"/>
          <w:szCs w:val="20"/>
        </w:rPr>
        <w:t>er closing conditions, including approval by the Public Service Commission of West Virginia, and is expected to close in the second half of calendar year 2021. UGI currently expects to finance the pending acquisition using proceeds from the 2021 UGI Corpor</w:t>
      </w:r>
      <w:r>
        <w:rPr>
          <w:rFonts w:eastAsia="Times New Roman"/>
          <w:color w:val="000000"/>
          <w:sz w:val="20"/>
          <w:szCs w:val="20"/>
        </w:rPr>
        <w:t xml:space="preserve">ation Senior Credit Facility and the issuance of Equity Units. For additional information on these financing activities, see Notes 7 and 8 to the Condensed Consolidated Financial Statements.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On January 26, 2021, UGI and Mountaineer filed a joint petitio</w:t>
      </w:r>
      <w:r>
        <w:rPr>
          <w:rFonts w:eastAsia="Times New Roman"/>
          <w:color w:val="000000"/>
          <w:sz w:val="20"/>
          <w:szCs w:val="20"/>
        </w:rPr>
        <w:t>n for consent and approval of the pending acquisition at the WV PSC.</w:t>
      </w:r>
      <w:r>
        <w:rPr>
          <w:rFonts w:eastAsia="Times New Roman"/>
          <w:color w:val="000000"/>
        </w:rPr>
        <w:t xml:space="preserve"> </w:t>
      </w:r>
      <w:r>
        <w:rPr>
          <w:rFonts w:eastAsia="Times New Roman"/>
          <w:color w:val="000000"/>
          <w:sz w:val="20"/>
          <w:szCs w:val="20"/>
        </w:rPr>
        <w:t xml:space="preserve">On July 15, 2021, UGI and Mountaineer filed, on behalf of all parties, a unanimous joint stipulation and agreement for settlement (the “Settlement”) of all issues in the proceeding that, </w:t>
      </w:r>
      <w:r>
        <w:rPr>
          <w:rFonts w:eastAsia="Times New Roman"/>
          <w:color w:val="000000"/>
          <w:sz w:val="20"/>
          <w:szCs w:val="20"/>
        </w:rPr>
        <w:t xml:space="preserve">among other provisions, requests the WV PSC to approve the pending acquisition. The Settlement was presented to the WV PSC in an evidentiary hearing on July 20, 2021. The Company cannot predict the timing or the ultimate outcome of the Settlement approval </w:t>
      </w:r>
      <w:r>
        <w:rPr>
          <w:rFonts w:eastAsia="Times New Roman"/>
          <w:color w:val="000000"/>
          <w:sz w:val="20"/>
          <w:szCs w:val="20"/>
        </w:rPr>
        <w:t>process.</w:t>
      </w:r>
    </w:p>
    <w:p w:rsidR="00000000" w:rsidRDefault="005D625B">
      <w:pPr>
        <w:jc w:val="both"/>
        <w:rPr>
          <w:rFonts w:eastAsia="Times New Roman"/>
        </w:rPr>
      </w:pPr>
    </w:p>
    <w:p w:rsidR="00000000" w:rsidRDefault="005D625B">
      <w:pPr>
        <w:jc w:val="both"/>
        <w:divId w:val="740323689"/>
        <w:rPr>
          <w:rFonts w:eastAsia="Times New Roman"/>
        </w:rPr>
      </w:pPr>
      <w:r>
        <w:rPr>
          <w:rFonts w:eastAsia="Times New Roman"/>
          <w:b/>
          <w:bCs/>
          <w:i/>
          <w:iCs/>
          <w:color w:val="000000"/>
          <w:sz w:val="20"/>
          <w:szCs w:val="20"/>
        </w:rPr>
        <w:t xml:space="preserve">COVID-19 Pandemic </w:t>
      </w:r>
    </w:p>
    <w:p w:rsidR="00000000" w:rsidRDefault="005D625B">
      <w:pPr>
        <w:jc w:val="both"/>
        <w:divId w:val="1725375949"/>
        <w:rPr>
          <w:rFonts w:eastAsia="Times New Roman"/>
        </w:rPr>
      </w:pPr>
      <w:r>
        <w:rPr>
          <w:rFonts w:eastAsia="Times New Roman"/>
          <w:color w:val="000000"/>
          <w:sz w:val="20"/>
          <w:szCs w:val="20"/>
        </w:rPr>
        <w:t>In March 2020, the WHO declared a global pandemic attributable to the outbreak and continued spread of COVID-19 that has had a significant impact throughout the global economy. In connection with the mitigation and containment</w:t>
      </w:r>
      <w:r>
        <w:rPr>
          <w:rFonts w:eastAsia="Times New Roman"/>
          <w:color w:val="000000"/>
          <w:sz w:val="20"/>
          <w:szCs w:val="20"/>
        </w:rPr>
        <w:t xml:space="preserve"> procedures recommended by the WHO, the CDC, and as imposed by federal, state, and local governmental authorities, including shelter-in-place orders, quarantines and similar restrictions, we implemented a variety of procedures to protect our employees, thi</w:t>
      </w:r>
      <w:r>
        <w:rPr>
          <w:rFonts w:eastAsia="Times New Roman"/>
          <w:color w:val="000000"/>
          <w:sz w:val="20"/>
          <w:szCs w:val="20"/>
        </w:rPr>
        <w:t xml:space="preserve">rd-party business partners, and customers worldwide. Although our results continue to be impacted by COVID-19 in Fiscal 2021, we continue to provide essential products and services to our global customers in a safe and reliable manner and will continue to </w:t>
      </w:r>
      <w:r>
        <w:rPr>
          <w:rFonts w:eastAsia="Times New Roman"/>
          <w:color w:val="000000"/>
          <w:sz w:val="20"/>
          <w:szCs w:val="20"/>
        </w:rPr>
        <w:t>do so in compliance with mandated restrictions presented by each of the markets we serve. We continue to evaluate and react to the potential effects of a prolonged disruption and the continued impact on our results of operations. These items may include, b</w:t>
      </w:r>
      <w:r>
        <w:rPr>
          <w:rFonts w:eastAsia="Times New Roman"/>
          <w:color w:val="000000"/>
          <w:sz w:val="20"/>
          <w:szCs w:val="20"/>
        </w:rPr>
        <w:t>ut are not limited to: the financial condition of our customers; decreased availability and demand for our products and services; realization of accounts receivable; impairment considerations related to certain current assets, long-lived assets and goodwil</w:t>
      </w:r>
      <w:r>
        <w:rPr>
          <w:rFonts w:eastAsia="Times New Roman"/>
          <w:color w:val="000000"/>
          <w:sz w:val="20"/>
          <w:szCs w:val="20"/>
        </w:rPr>
        <w:t xml:space="preserve">l; delays related to current and future projects; and the effects of government stimulus efforts including tax legislation (see “Interest Expense and Income Taxes” below) in response to COVID-19. </w:t>
      </w:r>
    </w:p>
    <w:p w:rsidR="00000000" w:rsidRDefault="005D625B">
      <w:pPr>
        <w:jc w:val="both"/>
        <w:divId w:val="763888819"/>
        <w:rPr>
          <w:rFonts w:eastAsia="Times New Roman"/>
        </w:rPr>
      </w:pPr>
      <w:r>
        <w:rPr>
          <w:rFonts w:eastAsia="Times New Roman"/>
          <w:color w:val="000000"/>
          <w:sz w:val="20"/>
          <w:szCs w:val="20"/>
        </w:rPr>
        <w:t>We cannot predict the duration or total magnitude of the pa</w:t>
      </w:r>
      <w:r>
        <w:rPr>
          <w:rFonts w:eastAsia="Times New Roman"/>
          <w:color w:val="000000"/>
          <w:sz w:val="20"/>
          <w:szCs w:val="20"/>
        </w:rPr>
        <w:t xml:space="preserve">ndemic and the total effects on our business, financial position, results of operations, liquidity or cash flows at this time, but we remain focused on managing our financial condition and liquidity throughout this global crisis. </w:t>
      </w:r>
    </w:p>
    <w:p w:rsidR="00000000" w:rsidRDefault="005D625B">
      <w:pPr>
        <w:jc w:val="both"/>
        <w:divId w:val="1530141368"/>
        <w:rPr>
          <w:rFonts w:eastAsia="Times New Roman"/>
        </w:rPr>
      </w:pPr>
      <w:r>
        <w:rPr>
          <w:rFonts w:eastAsia="Times New Roman"/>
          <w:b/>
          <w:bCs/>
          <w:color w:val="000000"/>
          <w:sz w:val="20"/>
          <w:szCs w:val="20"/>
        </w:rPr>
        <w:t>Business Transformation I</w:t>
      </w:r>
      <w:r>
        <w:rPr>
          <w:rFonts w:eastAsia="Times New Roman"/>
          <w:b/>
          <w:bCs/>
          <w:color w:val="000000"/>
          <w:sz w:val="20"/>
          <w:szCs w:val="20"/>
        </w:rPr>
        <w:t>nitiatives</w:t>
      </w:r>
    </w:p>
    <w:p w:rsidR="00000000" w:rsidRDefault="005D625B">
      <w:pPr>
        <w:jc w:val="both"/>
        <w:divId w:val="239096842"/>
        <w:rPr>
          <w:rFonts w:eastAsia="Times New Roman"/>
        </w:rPr>
      </w:pPr>
      <w:r>
        <w:rPr>
          <w:rFonts w:eastAsia="Times New Roman"/>
          <w:b/>
          <w:bCs/>
          <w:i/>
          <w:iCs/>
          <w:color w:val="000000"/>
          <w:sz w:val="20"/>
          <w:szCs w:val="20"/>
        </w:rPr>
        <w:t>Corporate Services.</w:t>
      </w:r>
      <w:r>
        <w:rPr>
          <w:rFonts w:eastAsia="Times New Roman"/>
          <w:color w:val="000000"/>
          <w:sz w:val="20"/>
          <w:szCs w:val="20"/>
        </w:rPr>
        <w:t xml:space="preserve"> Beginning in Fiscal 2020, we initiated a transformation project focused on our support functions including: finance, procurement, human resources, and information technology. This initiative will standardize processes and act</w:t>
      </w:r>
      <w:r>
        <w:rPr>
          <w:rFonts w:eastAsia="Times New Roman"/>
          <w:color w:val="000000"/>
          <w:sz w:val="20"/>
          <w:szCs w:val="20"/>
        </w:rPr>
        <w:t>ivities across our global platform, while leveraging the use of best practices and efficiencies between our businesses. While this initiative is being coordinated across multiple support functions, each area is at a different stage of transformation and wi</w:t>
      </w:r>
      <w:r>
        <w:rPr>
          <w:rFonts w:eastAsia="Times New Roman"/>
          <w:color w:val="000000"/>
          <w:sz w:val="20"/>
          <w:szCs w:val="20"/>
        </w:rPr>
        <w:t xml:space="preserve">ll undergo the required changes over the next two to three years. In connection with these activities, we expect to incur approximately $40 million of non-recurring costs during that time resulting in more than $15 million of ongoing annualized savings by </w:t>
      </w:r>
      <w:r>
        <w:rPr>
          <w:rFonts w:eastAsia="Times New Roman"/>
          <w:color w:val="000000"/>
          <w:sz w:val="20"/>
          <w:szCs w:val="20"/>
        </w:rPr>
        <w:t xml:space="preserve">Fiscal 2023. </w:t>
      </w:r>
    </w:p>
    <w:p w:rsidR="00000000" w:rsidRDefault="005D625B">
      <w:pPr>
        <w:jc w:val="both"/>
        <w:divId w:val="534465085"/>
        <w:rPr>
          <w:rFonts w:eastAsia="Times New Roman"/>
        </w:rPr>
      </w:pPr>
      <w:r>
        <w:rPr>
          <w:rFonts w:eastAsia="Times New Roman"/>
          <w:b/>
          <w:bCs/>
          <w:i/>
          <w:iCs/>
          <w:color w:val="000000"/>
          <w:sz w:val="20"/>
          <w:szCs w:val="20"/>
        </w:rPr>
        <w:t>AmeriGas Propane.</w:t>
      </w:r>
      <w:r>
        <w:rPr>
          <w:rFonts w:eastAsia="Times New Roman"/>
          <w:color w:val="000000"/>
          <w:sz w:val="20"/>
          <w:szCs w:val="20"/>
        </w:rPr>
        <w:t xml:space="preserve"> At AmeriGas Propane, we began executing on business transformation initiatives during Fiscal 2019 focused on efficiency and effectiveness in the following key areas: customer digital experience; customer relationship managem</w:t>
      </w:r>
      <w:r>
        <w:rPr>
          <w:rFonts w:eastAsia="Times New Roman"/>
          <w:color w:val="000000"/>
          <w:sz w:val="20"/>
          <w:szCs w:val="20"/>
        </w:rPr>
        <w:t>ent; operating process redesign and specialization; distribution and routing optimization; sales and marketing effectiveness; purchasing and general and administrative efficiencies; and supply and logistics. The transformation activities will continue to b</w:t>
      </w:r>
      <w:r>
        <w:rPr>
          <w:rFonts w:eastAsia="Times New Roman"/>
          <w:color w:val="000000"/>
          <w:sz w:val="20"/>
          <w:szCs w:val="20"/>
        </w:rPr>
        <w:t xml:space="preserve">e carried out over Fiscal 2021 and may result in customer service disruptions over the near term. However, once completed, these initiatives are expected to provide total annual benefits of more than $140 million by the end of Fiscal 2022 which will allow </w:t>
      </w:r>
      <w:r>
        <w:rPr>
          <w:rFonts w:eastAsia="Times New Roman"/>
          <w:color w:val="000000"/>
          <w:sz w:val="20"/>
          <w:szCs w:val="20"/>
        </w:rPr>
        <w:t xml:space="preserve">us to improve profitability and cash flow through operational efficiencies and expense reductions and enable increased investment into base business customer retention and growth initiatives, including the reduction of margins in </w:t>
      </w:r>
    </w:p>
    <w:p w:rsidR="00000000" w:rsidRDefault="005D625B">
      <w:pPr>
        <w:jc w:val="center"/>
        <w:divId w:val="551505181"/>
        <w:rPr>
          <w:rFonts w:eastAsia="Times New Roman"/>
        </w:rPr>
      </w:pPr>
      <w:r>
        <w:rPr>
          <w:rFonts w:eastAsia="Times New Roman"/>
          <w:color w:val="000000"/>
          <w:sz w:val="20"/>
          <w:szCs w:val="20"/>
        </w:rPr>
        <w:t>38</w:t>
      </w:r>
    </w:p>
    <w:p w:rsidR="00000000" w:rsidRDefault="005D625B">
      <w:pPr>
        <w:rPr>
          <w:rFonts w:eastAsia="Times New Roman"/>
        </w:rPr>
      </w:pPr>
      <w:r>
        <w:rPr>
          <w:rFonts w:eastAsia="Times New Roman"/>
        </w:rPr>
        <w:pict>
          <v:rect id="_x0000_i1064" style="width:0;height:1.5pt" o:hralign="center" o:hrstd="t" o:hr="t" fillcolor="#a0a0a0" stroked="f"/>
        </w:pict>
      </w:r>
    </w:p>
    <w:p w:rsidR="00000000" w:rsidRDefault="005D625B">
      <w:pPr>
        <w:divId w:val="1190604636"/>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820346256"/>
        <w:rPr>
          <w:rFonts w:eastAsia="Times New Roman"/>
        </w:rPr>
      </w:pPr>
      <w:r>
        <w:rPr>
          <w:rFonts w:eastAsia="Times New Roman"/>
          <w:b/>
          <w:bCs/>
          <w:color w:val="000000"/>
          <w:sz w:val="20"/>
          <w:szCs w:val="20"/>
        </w:rPr>
        <w:t>UGI CORPORATION AND SUBSIDIARIES</w:t>
      </w:r>
    </w:p>
    <w:p w:rsidR="00000000" w:rsidRDefault="005D625B">
      <w:pPr>
        <w:jc w:val="both"/>
        <w:divId w:val="43023735"/>
        <w:rPr>
          <w:rFonts w:eastAsia="Times New Roman"/>
        </w:rPr>
      </w:pPr>
      <w:r>
        <w:rPr>
          <w:rFonts w:eastAsia="Times New Roman"/>
          <w:color w:val="000000"/>
          <w:sz w:val="20"/>
          <w:szCs w:val="20"/>
        </w:rPr>
        <w:t>select segments of our base business. We estimate the total cost of executing on these initiatives, including a</w:t>
      </w:r>
      <w:r>
        <w:rPr>
          <w:rFonts w:eastAsia="Times New Roman"/>
          <w:color w:val="000000"/>
          <w:sz w:val="20"/>
          <w:szCs w:val="20"/>
        </w:rPr>
        <w:t>pproximately $100 million of related capital expenditures, to be approximately $200 million.</w:t>
      </w:r>
    </w:p>
    <w:p w:rsidR="00000000" w:rsidRDefault="005D625B">
      <w:pPr>
        <w:jc w:val="both"/>
        <w:divId w:val="2041129176"/>
        <w:rPr>
          <w:rFonts w:eastAsia="Times New Roman"/>
        </w:rPr>
      </w:pPr>
      <w:r>
        <w:rPr>
          <w:rFonts w:eastAsia="Times New Roman"/>
          <w:b/>
          <w:bCs/>
          <w:i/>
          <w:iCs/>
          <w:color w:val="000000"/>
          <w:sz w:val="20"/>
          <w:szCs w:val="20"/>
        </w:rPr>
        <w:t>UGI International.</w:t>
      </w:r>
      <w:r>
        <w:rPr>
          <w:rFonts w:eastAsia="Times New Roman"/>
          <w:color w:val="000000"/>
          <w:sz w:val="20"/>
          <w:szCs w:val="20"/>
        </w:rPr>
        <w:t xml:space="preserve"> </w:t>
      </w:r>
      <w:r>
        <w:rPr>
          <w:rFonts w:eastAsia="Times New Roman"/>
          <w:color w:val="000000"/>
          <w:sz w:val="20"/>
          <w:szCs w:val="20"/>
        </w:rPr>
        <w:t xml:space="preserve">At our UGI International LPG business, we launched an initiative in Fiscal 2019 and embarked on a process of identifying operational synergies across all 17 countries in which we currently do business. We call this initiative Project Alliance, the goal of </w:t>
      </w:r>
      <w:r>
        <w:rPr>
          <w:rFonts w:eastAsia="Times New Roman"/>
          <w:color w:val="000000"/>
          <w:sz w:val="20"/>
          <w:szCs w:val="20"/>
        </w:rPr>
        <w:t>which is to focus attention on enhanced customer service and safe and efficient operations through the establishment of two centers of excellence. One such center will be focused on commercial excellence to identify and execute projects that improve the cu</w:t>
      </w:r>
      <w:r>
        <w:rPr>
          <w:rFonts w:eastAsia="Times New Roman"/>
          <w:color w:val="000000"/>
          <w:sz w:val="20"/>
          <w:szCs w:val="20"/>
        </w:rPr>
        <w:t xml:space="preserve">stomer’s experience. The second center will be focused on operational excellence across our distribution network and our filling centers. The business activities are in process and will continue to be executed primarily during Fiscal 2021. Once completed, </w:t>
      </w:r>
      <w:r>
        <w:rPr>
          <w:rFonts w:eastAsia="Times New Roman"/>
          <w:color w:val="000000"/>
          <w:sz w:val="20"/>
          <w:szCs w:val="20"/>
        </w:rPr>
        <w:t>these activities are expected to generate over €30 million of annual benefits. We estimate the total cumulative cost of executing on these Project Alliance initiatives, including approximately €10 million related to IT capital expenditures, to be approxima</w:t>
      </w:r>
      <w:r>
        <w:rPr>
          <w:rFonts w:eastAsia="Times New Roman"/>
          <w:color w:val="000000"/>
          <w:sz w:val="20"/>
          <w:szCs w:val="20"/>
        </w:rPr>
        <w:t>tely €55 million.</w:t>
      </w:r>
    </w:p>
    <w:p w:rsidR="00000000" w:rsidRDefault="005D625B">
      <w:pPr>
        <w:jc w:val="both"/>
        <w:divId w:val="1886717763"/>
        <w:rPr>
          <w:rFonts w:eastAsia="Times New Roman"/>
        </w:rPr>
      </w:pPr>
      <w:r>
        <w:rPr>
          <w:rFonts w:eastAsia="Times New Roman"/>
          <w:b/>
          <w:bCs/>
          <w:color w:val="000000"/>
          <w:sz w:val="20"/>
          <w:szCs w:val="20"/>
        </w:rPr>
        <w:t>Non-GAAP Financial Measures</w:t>
      </w:r>
    </w:p>
    <w:p w:rsidR="00000000" w:rsidRDefault="005D625B">
      <w:pPr>
        <w:jc w:val="both"/>
        <w:divId w:val="769395883"/>
        <w:rPr>
          <w:rFonts w:eastAsia="Times New Roman"/>
        </w:rPr>
      </w:pPr>
      <w:r>
        <w:rPr>
          <w:rFonts w:eastAsia="Times New Roman"/>
          <w:color w:val="000000"/>
          <w:sz w:val="20"/>
          <w:szCs w:val="20"/>
        </w:rPr>
        <w:t>UGI management uses “adjusted net income attributable to UGI Corporation” and “adjusted diluted earnings per share,” both of which are non-GAAP financial measures, when evaluating UGI’s overall performance. Man</w:t>
      </w:r>
      <w:r>
        <w:rPr>
          <w:rFonts w:eastAsia="Times New Roman"/>
          <w:color w:val="000000"/>
          <w:sz w:val="20"/>
          <w:szCs w:val="20"/>
        </w:rPr>
        <w:t>agement believes that these non-GAAP measures provide meaningful information to investors about UGI’s performance because they eliminate gains and losses on commodity and certain foreign currency derivative instruments not associated with current-period tr</w:t>
      </w:r>
      <w:r>
        <w:rPr>
          <w:rFonts w:eastAsia="Times New Roman"/>
          <w:color w:val="000000"/>
          <w:sz w:val="20"/>
          <w:szCs w:val="20"/>
        </w:rPr>
        <w:t>ansactions and other significant discrete items that can affect the comparison of period-over-period results.</w:t>
      </w:r>
    </w:p>
    <w:p w:rsidR="00000000" w:rsidRDefault="005D625B">
      <w:pPr>
        <w:jc w:val="both"/>
        <w:divId w:val="122889318"/>
        <w:rPr>
          <w:rFonts w:eastAsia="Times New Roman"/>
        </w:rPr>
      </w:pPr>
      <w:r>
        <w:rPr>
          <w:rFonts w:eastAsia="Times New Roman"/>
          <w:color w:val="000000"/>
          <w:sz w:val="20"/>
          <w:szCs w:val="20"/>
        </w:rPr>
        <w:t>UGI does not designate its commodity and certain foreign currency derivative instruments as hedges under GAAP. Volatility in net income attributab</w:t>
      </w:r>
      <w:r>
        <w:rPr>
          <w:rFonts w:eastAsia="Times New Roman"/>
          <w:color w:val="000000"/>
          <w:sz w:val="20"/>
          <w:szCs w:val="20"/>
        </w:rPr>
        <w:t>le to UGI Corporation can occur as a result of gains and losses on such derivative instruments not associated with current-period transactions. These gains and losses result principally from recording changes in unrealized gains and losses on unsettled com</w:t>
      </w:r>
      <w:r>
        <w:rPr>
          <w:rFonts w:eastAsia="Times New Roman"/>
          <w:color w:val="000000"/>
          <w:sz w:val="20"/>
          <w:szCs w:val="20"/>
        </w:rPr>
        <w:t>modity and certain foreign currency derivative instruments and, to a much lesser extent, certain realized gains and losses on settled commodity derivative instruments that are not associated with current-period transactions. However, because these derivati</w:t>
      </w:r>
      <w:r>
        <w:rPr>
          <w:rFonts w:eastAsia="Times New Roman"/>
          <w:color w:val="000000"/>
          <w:sz w:val="20"/>
          <w:szCs w:val="20"/>
        </w:rPr>
        <w:t>ve instruments economically hedge anticipated future purchases or sales of energy commodities, or in the case of certain foreign currency derivatives reduce volatility in anticipated future earnings associated with our foreign operations, we expect that su</w:t>
      </w:r>
      <w:r>
        <w:rPr>
          <w:rFonts w:eastAsia="Times New Roman"/>
          <w:color w:val="000000"/>
          <w:sz w:val="20"/>
          <w:szCs w:val="20"/>
        </w:rPr>
        <w:t>ch gains or losses will be largely offset by gains or losses on anticipated future energy commodity transactions or mitigate volatility in anticipated future earnings. Non-GAAP financial measures are not in accordance with, or an alternative to, GAAP and s</w:t>
      </w:r>
      <w:r>
        <w:rPr>
          <w:rFonts w:eastAsia="Times New Roman"/>
          <w:color w:val="000000"/>
          <w:sz w:val="20"/>
          <w:szCs w:val="20"/>
        </w:rPr>
        <w:t>hould be considered in addition to, and not as a substitute for, the comparable GAAP measures.</w:t>
      </w:r>
    </w:p>
    <w:p w:rsidR="00000000" w:rsidRDefault="005D625B">
      <w:pPr>
        <w:jc w:val="both"/>
        <w:divId w:val="2071075766"/>
        <w:rPr>
          <w:rFonts w:eastAsia="Times New Roman"/>
        </w:rPr>
      </w:pPr>
    </w:p>
    <w:p w:rsidR="00000000" w:rsidRDefault="005D625B">
      <w:pPr>
        <w:jc w:val="center"/>
        <w:divId w:val="599804049"/>
        <w:rPr>
          <w:rFonts w:eastAsia="Times New Roman"/>
        </w:rPr>
      </w:pPr>
      <w:r>
        <w:rPr>
          <w:rFonts w:eastAsia="Times New Roman"/>
          <w:color w:val="000000"/>
          <w:sz w:val="20"/>
          <w:szCs w:val="20"/>
        </w:rPr>
        <w:t>39</w:t>
      </w:r>
    </w:p>
    <w:p w:rsidR="00000000" w:rsidRDefault="005D625B">
      <w:pPr>
        <w:rPr>
          <w:rFonts w:eastAsia="Times New Roman"/>
        </w:rPr>
      </w:pPr>
      <w:r>
        <w:rPr>
          <w:rFonts w:eastAsia="Times New Roman"/>
        </w:rPr>
        <w:pict>
          <v:rect id="_x0000_i1065" style="width:0;height:1.5pt" o:hralign="center" o:hrstd="t" o:hr="t" fillcolor="#a0a0a0" stroked="f"/>
        </w:pict>
      </w:r>
    </w:p>
    <w:p w:rsidR="00000000" w:rsidRDefault="005D625B">
      <w:pPr>
        <w:divId w:val="1155562472"/>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474416890"/>
        <w:rPr>
          <w:rFonts w:eastAsia="Times New Roman"/>
        </w:rPr>
      </w:pPr>
      <w:r>
        <w:rPr>
          <w:rFonts w:eastAsia="Times New Roman"/>
          <w:b/>
          <w:bCs/>
          <w:color w:val="000000"/>
          <w:sz w:val="20"/>
          <w:szCs w:val="20"/>
        </w:rPr>
        <w:t>UGI CORPORATION AND SUBSIDIARIES</w:t>
      </w:r>
    </w:p>
    <w:p w:rsidR="00000000" w:rsidRDefault="005D625B">
      <w:pPr>
        <w:jc w:val="both"/>
        <w:divId w:val="939069619"/>
        <w:rPr>
          <w:rFonts w:eastAsia="Times New Roman"/>
        </w:rPr>
      </w:pPr>
      <w:r>
        <w:rPr>
          <w:rFonts w:eastAsia="Times New Roman"/>
          <w:color w:val="000000"/>
          <w:sz w:val="20"/>
          <w:szCs w:val="20"/>
        </w:rPr>
        <w:t>The followi</w:t>
      </w:r>
      <w:r>
        <w:rPr>
          <w:rFonts w:eastAsia="Times New Roman"/>
          <w:color w:val="000000"/>
          <w:sz w:val="20"/>
          <w:szCs w:val="20"/>
        </w:rPr>
        <w:t>ng tables reflect the adjustments referred to above and reconcile net income attributable to UGI Corporation, the most directly comparable GAAP measure, to adjusted net income attributable to UGI Corporation, and reconcile diluted earnings per share, the m</w:t>
      </w:r>
      <w:r>
        <w:rPr>
          <w:rFonts w:eastAsia="Times New Roman"/>
          <w:color w:val="000000"/>
          <w:sz w:val="20"/>
          <w:szCs w:val="20"/>
        </w:rPr>
        <w:t>ost directly comparable GAAP measure, to adjusted diluted earnings per share:</w:t>
      </w:r>
    </w:p>
    <w:tbl>
      <w:tblPr>
        <w:tblW w:w="5000" w:type="pct"/>
        <w:tblCellMar>
          <w:top w:w="15" w:type="dxa"/>
          <w:left w:w="15" w:type="dxa"/>
          <w:bottom w:w="15" w:type="dxa"/>
          <w:right w:w="15" w:type="dxa"/>
        </w:tblCellMar>
        <w:tblLook w:val="04A0" w:firstRow="1" w:lastRow="0" w:firstColumn="1" w:lastColumn="0" w:noHBand="0" w:noVBand="1"/>
      </w:tblPr>
      <w:tblGrid>
        <w:gridCol w:w="39"/>
        <w:gridCol w:w="3834"/>
        <w:gridCol w:w="38"/>
        <w:gridCol w:w="36"/>
        <w:gridCol w:w="36"/>
        <w:gridCol w:w="36"/>
        <w:gridCol w:w="120"/>
        <w:gridCol w:w="834"/>
        <w:gridCol w:w="36"/>
        <w:gridCol w:w="36"/>
        <w:gridCol w:w="36"/>
        <w:gridCol w:w="36"/>
        <w:gridCol w:w="120"/>
        <w:gridCol w:w="834"/>
        <w:gridCol w:w="36"/>
        <w:gridCol w:w="36"/>
        <w:gridCol w:w="36"/>
        <w:gridCol w:w="36"/>
        <w:gridCol w:w="120"/>
        <w:gridCol w:w="835"/>
        <w:gridCol w:w="36"/>
        <w:gridCol w:w="36"/>
        <w:gridCol w:w="36"/>
        <w:gridCol w:w="36"/>
        <w:gridCol w:w="120"/>
        <w:gridCol w:w="836"/>
        <w:gridCol w:w="36"/>
      </w:tblGrid>
      <w:tr w:rsidR="00000000">
        <w:trPr>
          <w:divId w:val="17774666"/>
        </w:trPr>
        <w:tc>
          <w:tcPr>
            <w:tcW w:w="50" w:type="pct"/>
            <w:vAlign w:val="center"/>
            <w:hideMark/>
          </w:tcPr>
          <w:p w:rsidR="00000000" w:rsidRDefault="005D625B">
            <w:pPr>
              <w:jc w:val="both"/>
              <w:rPr>
                <w:rFonts w:eastAsia="Times New Roman"/>
              </w:rPr>
            </w:pPr>
          </w:p>
        </w:tc>
        <w:tc>
          <w:tcPr>
            <w:tcW w:w="234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7774666"/>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Nine Months Ended</w:t>
            </w:r>
            <w:r>
              <w:rPr>
                <w:rFonts w:eastAsia="Times New Roman"/>
                <w:color w:val="000000"/>
                <w:sz w:val="20"/>
                <w:szCs w:val="20"/>
              </w:rPr>
              <w:br/>
              <w:t>June 30,</w:t>
            </w:r>
          </w:p>
        </w:tc>
      </w:tr>
      <w:tr w:rsidR="00000000">
        <w:trPr>
          <w:divId w:val="17774666"/>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r>
      <w:tr w:rsidR="00000000">
        <w:trPr>
          <w:divId w:val="1777466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Net gains on commodity derivative instruments not associated with current-period transactions (net of tax of $94, $49, $147, and $6, respectively)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(368)</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Unrealized losses on foreign currency derivative instruments (net of tax of $(1), $(3), $(2), and $(6), respectively)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7774666"/>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7774666"/>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Acquisition and integration expenses associated with the CMG Acquisition (net of tax of $0, $0, $0, and $(1), respectively)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Acquisition expenses associated with the pending Mountaineer Acquisition (net of tax of $0, $0, $(1), and $0, respectively)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Business transformation expenses (net of tax of $(6), $(3), $(15), and $(13), respectively)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Impact of change in Italian tax law (b)</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Impairment of investment in PennEast (net of tax of $0, $0, $0, $0, respectively)</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Impairment of assets held-for-sale (net of tax of $0, $(15), $0, and $(15), respectively)</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Total adjustments (a) (c)</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7774666"/>
          <w:trHeight w:val="300"/>
        </w:trPr>
        <w:tc>
          <w:tcPr>
            <w:tcW w:w="0" w:type="auto"/>
            <w:gridSpan w:val="3"/>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r>
    </w:tbl>
    <w:p w:rsidR="00000000" w:rsidRDefault="005D625B">
      <w:pPr>
        <w:jc w:val="center"/>
        <w:divId w:val="141852225"/>
        <w:rPr>
          <w:rFonts w:eastAsia="Times New Roman"/>
        </w:rPr>
      </w:pPr>
      <w:r>
        <w:rPr>
          <w:rFonts w:eastAsia="Times New Roman"/>
          <w:color w:val="000000"/>
          <w:sz w:val="20"/>
          <w:szCs w:val="20"/>
        </w:rPr>
        <w:t>40</w:t>
      </w:r>
    </w:p>
    <w:p w:rsidR="00000000" w:rsidRDefault="005D625B">
      <w:pPr>
        <w:rPr>
          <w:rFonts w:eastAsia="Times New Roman"/>
        </w:rPr>
      </w:pPr>
      <w:r>
        <w:rPr>
          <w:rFonts w:eastAsia="Times New Roman"/>
        </w:rPr>
        <w:pict>
          <v:rect id="_x0000_i1066" style="width:0;height:1.5pt" o:hralign="center" o:hrstd="t" o:hr="t" fillcolor="#a0a0a0" stroked="f"/>
        </w:pict>
      </w:r>
    </w:p>
    <w:p w:rsidR="00000000" w:rsidRDefault="005D625B">
      <w:pPr>
        <w:divId w:val="41694938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655959624"/>
        <w:rPr>
          <w:rFonts w:eastAsia="Times New Roman"/>
        </w:rPr>
      </w:pPr>
      <w:r>
        <w:rPr>
          <w:rFonts w:eastAsia="Times New Roman"/>
          <w:b/>
          <w:bCs/>
          <w:color w:val="000000"/>
          <w:sz w:val="20"/>
          <w:szCs w:val="20"/>
        </w:rPr>
        <w:t>UGI CORPORATION AND SUBSIDIARIES</w:t>
      </w:r>
    </w:p>
    <w:tbl>
      <w:tblPr>
        <w:tblW w:w="5000" w:type="pct"/>
        <w:tblCellMar>
          <w:top w:w="15" w:type="dxa"/>
          <w:left w:w="15" w:type="dxa"/>
          <w:bottom w:w="15" w:type="dxa"/>
          <w:right w:w="15" w:type="dxa"/>
        </w:tblCellMar>
        <w:tblLook w:val="04A0" w:firstRow="1" w:lastRow="0" w:firstColumn="1" w:lastColumn="0" w:noHBand="0" w:noVBand="1"/>
      </w:tblPr>
      <w:tblGrid>
        <w:gridCol w:w="41"/>
        <w:gridCol w:w="3832"/>
        <w:gridCol w:w="40"/>
        <w:gridCol w:w="36"/>
        <w:gridCol w:w="36"/>
        <w:gridCol w:w="36"/>
        <w:gridCol w:w="120"/>
        <w:gridCol w:w="834"/>
        <w:gridCol w:w="36"/>
        <w:gridCol w:w="36"/>
        <w:gridCol w:w="36"/>
        <w:gridCol w:w="36"/>
        <w:gridCol w:w="120"/>
        <w:gridCol w:w="834"/>
        <w:gridCol w:w="36"/>
        <w:gridCol w:w="36"/>
        <w:gridCol w:w="36"/>
        <w:gridCol w:w="36"/>
        <w:gridCol w:w="120"/>
        <w:gridCol w:w="834"/>
        <w:gridCol w:w="36"/>
        <w:gridCol w:w="36"/>
        <w:gridCol w:w="36"/>
        <w:gridCol w:w="36"/>
        <w:gridCol w:w="120"/>
        <w:gridCol w:w="835"/>
        <w:gridCol w:w="36"/>
      </w:tblGrid>
      <w:tr w:rsidR="00000000">
        <w:trPr>
          <w:divId w:val="54013551"/>
        </w:trPr>
        <w:tc>
          <w:tcPr>
            <w:tcW w:w="50" w:type="pct"/>
            <w:vAlign w:val="center"/>
            <w:hideMark/>
          </w:tcPr>
          <w:p w:rsidR="00000000" w:rsidRDefault="005D625B">
            <w:pPr>
              <w:jc w:val="center"/>
              <w:rPr>
                <w:rFonts w:eastAsia="Times New Roman"/>
              </w:rPr>
            </w:pPr>
          </w:p>
        </w:tc>
        <w:tc>
          <w:tcPr>
            <w:tcW w:w="234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9"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54013551"/>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Nine Months Ended</w:t>
            </w:r>
            <w:r>
              <w:rPr>
                <w:rFonts w:eastAsia="Times New Roman"/>
                <w:color w:val="000000"/>
                <w:sz w:val="20"/>
                <w:szCs w:val="20"/>
              </w:rPr>
              <w:br/>
              <w:t>June 30,</w:t>
            </w:r>
          </w:p>
        </w:tc>
      </w:tr>
      <w:tr w:rsidR="00000000">
        <w:trPr>
          <w:divId w:val="54013551"/>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Adjusted diluted earnings per share</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r>
      <w:tr w:rsidR="00000000">
        <w:trPr>
          <w:divId w:val="5401355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0.15 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0.65 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0.51 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0.44 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0.75 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0.70 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0.58 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0.48 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(0.24)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Earnings per share - diluted</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(0.55)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Unrealized losses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54013551"/>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54013551"/>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Acquisition and integration expenses associated with the CMG Acquisition</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Acquisition expenses associated with the pending Mountaineer Acquisition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0.20 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0.14 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Impact of change in Italian tax law (b)</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Impairment of investment in PennEast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0.44 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0.44 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Impairment of assets held-for-sale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0.18 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0.17 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Total adjustments (a)</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54013551"/>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divId w:val="619458965"/>
              <w:rPr>
                <w:rFonts w:eastAsia="Times New Roman"/>
              </w:rPr>
            </w:pPr>
            <w:r>
              <w:rPr>
                <w:rFonts w:eastAsia="Times New Roman"/>
                <w:b/>
                <w:bCs/>
                <w:color w:val="000000"/>
                <w:sz w:val="20"/>
                <w:szCs w:val="20"/>
              </w:rPr>
              <w:t>Adjusted earnings per share - diluted</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p>
    <w:p w:rsidR="00000000" w:rsidRDefault="005D625B">
      <w:pPr>
        <w:ind w:hanging="360"/>
        <w:jc w:val="both"/>
        <w:rPr>
          <w:rFonts w:eastAsia="Times New Roman"/>
        </w:rPr>
      </w:pPr>
      <w:r>
        <w:rPr>
          <w:rFonts w:eastAsia="Times New Roman"/>
          <w:color w:val="000000"/>
          <w:sz w:val="20"/>
          <w:szCs w:val="20"/>
        </w:rPr>
        <w:t xml:space="preserve">(a)Corporate &amp; </w:t>
      </w:r>
      <w:r>
        <w:rPr>
          <w:rFonts w:eastAsia="Times New Roman"/>
          <w:color w:val="000000"/>
          <w:sz w:val="20"/>
          <w:szCs w:val="20"/>
        </w:rPr>
        <w:t>Other includes certain adjustments made to our reporting segments in arriving at net income attributable to UGI Corporation. These adjustments have been excluded from the segment results to align with the measure used by our CODM in assessing segment perfo</w:t>
      </w:r>
      <w:r>
        <w:rPr>
          <w:rFonts w:eastAsia="Times New Roman"/>
          <w:color w:val="000000"/>
          <w:sz w:val="20"/>
          <w:szCs w:val="20"/>
        </w:rPr>
        <w:t>rmance and allocating resources.  See Note 14 to Condensed Consolidated Financial Statements for additional information related to these adjustments, as well as other items included within Corporate &amp; Other.</w:t>
      </w:r>
    </w:p>
    <w:p w:rsidR="00000000" w:rsidRDefault="005D625B">
      <w:pPr>
        <w:ind w:hanging="360"/>
        <w:jc w:val="both"/>
        <w:rPr>
          <w:rFonts w:eastAsia="Times New Roman"/>
        </w:rPr>
      </w:pPr>
      <w:r>
        <w:rPr>
          <w:rFonts w:eastAsia="Times New Roman"/>
          <w:color w:val="000000"/>
          <w:sz w:val="20"/>
          <w:szCs w:val="20"/>
        </w:rPr>
        <w:t>(b)See “Interest Expense and Income Taxes” below</w:t>
      </w:r>
      <w:r>
        <w:rPr>
          <w:rFonts w:eastAsia="Times New Roman"/>
          <w:color w:val="000000"/>
          <w:sz w:val="20"/>
          <w:szCs w:val="20"/>
        </w:rPr>
        <w:t xml:space="preserve"> for additional information related to this adjustment.</w:t>
      </w:r>
    </w:p>
    <w:p w:rsidR="00000000" w:rsidRDefault="005D625B">
      <w:pPr>
        <w:ind w:hanging="360"/>
        <w:jc w:val="both"/>
        <w:rPr>
          <w:rFonts w:eastAsia="Times New Roman"/>
        </w:rPr>
      </w:pPr>
      <w:r>
        <w:rPr>
          <w:rFonts w:eastAsia="Times New Roman"/>
          <w:color w:val="000000"/>
          <w:sz w:val="20"/>
          <w:szCs w:val="20"/>
        </w:rPr>
        <w:t>(c)Income taxes associated with pre-tax adjustments determined using statutory business unit tax rates.</w:t>
      </w:r>
    </w:p>
    <w:p w:rsidR="00000000" w:rsidRDefault="005D625B">
      <w:pPr>
        <w:jc w:val="both"/>
        <w:rPr>
          <w:rFonts w:eastAsia="Times New Roman"/>
        </w:rPr>
      </w:pPr>
    </w:p>
    <w:p w:rsidR="00000000" w:rsidRDefault="005D625B">
      <w:pPr>
        <w:divId w:val="1781879152"/>
        <w:rPr>
          <w:rFonts w:eastAsia="Times New Roman"/>
        </w:rPr>
      </w:pPr>
      <w:r>
        <w:rPr>
          <w:rFonts w:eastAsia="Times New Roman"/>
          <w:b/>
          <w:bCs/>
          <w:color w:val="000000"/>
          <w:sz w:val="20"/>
          <w:szCs w:val="20"/>
          <w:u w:val="single"/>
        </w:rPr>
        <w:t>EXECUTIVE OVERVIEW</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u w:val="single"/>
        </w:rPr>
        <w:t>2021 three-month period compared with 2020 three-month period</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shd w:val="clear" w:color="auto" w:fill="FFFFFF"/>
        </w:rPr>
        <w:t>Discussio</w:t>
      </w:r>
      <w:r>
        <w:rPr>
          <w:rFonts w:eastAsia="Times New Roman"/>
          <w:b/>
          <w:bCs/>
          <w:color w:val="000000"/>
          <w:sz w:val="20"/>
          <w:szCs w:val="20"/>
          <w:shd w:val="clear" w:color="auto" w:fill="FFFFFF"/>
        </w:rPr>
        <w:t>n.</w:t>
      </w:r>
      <w:r>
        <w:rPr>
          <w:rFonts w:eastAsia="Times New Roman"/>
          <w:color w:val="000000"/>
          <w:sz w:val="20"/>
          <w:szCs w:val="20"/>
          <w:shd w:val="clear" w:color="auto" w:fill="FFFFFF"/>
        </w:rPr>
        <w:t xml:space="preserve"> Net income attributable to UGI Corporation for the </w:t>
      </w:r>
      <w:r>
        <w:rPr>
          <w:rFonts w:eastAsia="Times New Roman"/>
          <w:color w:val="000000"/>
          <w:sz w:val="20"/>
          <w:szCs w:val="20"/>
        </w:rPr>
        <w:t xml:space="preserve">2021 three-month period </w:t>
      </w:r>
      <w:r>
        <w:rPr>
          <w:rFonts w:eastAsia="Times New Roman"/>
          <w:color w:val="000000"/>
          <w:sz w:val="20"/>
          <w:szCs w:val="20"/>
          <w:shd w:val="clear" w:color="auto" w:fill="FFFFFF"/>
        </w:rPr>
        <w:t xml:space="preserve">was $150 million (equal to $0.71 per diluted share) compared to $85 million (equal to $0.41 per diluted share) during the </w:t>
      </w:r>
      <w:r>
        <w:rPr>
          <w:rFonts w:eastAsia="Times New Roman"/>
          <w:color w:val="000000"/>
          <w:sz w:val="20"/>
          <w:szCs w:val="20"/>
        </w:rPr>
        <w:t>2020 three-month period</w:t>
      </w:r>
      <w:r>
        <w:rPr>
          <w:rFonts w:eastAsia="Times New Roman"/>
          <w:color w:val="000000"/>
          <w:sz w:val="20"/>
          <w:szCs w:val="20"/>
          <w:shd w:val="clear" w:color="auto" w:fill="FFFFFF"/>
        </w:rPr>
        <w:t xml:space="preserve">. Net income attributable to UGI </w:t>
      </w:r>
      <w:r>
        <w:rPr>
          <w:rFonts w:eastAsia="Times New Roman"/>
          <w:color w:val="000000"/>
          <w:sz w:val="20"/>
          <w:szCs w:val="20"/>
          <w:shd w:val="clear" w:color="auto" w:fill="FFFFFF"/>
        </w:rPr>
        <w:t>Corporation in the 2021 and 2020 three-month periods reflects net gains of $231 million and $110 million, respectively, from changes in unrealized commodity derivative instruments and certain foreign currency derivative instruments. Net income attributable</w:t>
      </w:r>
      <w:r>
        <w:rPr>
          <w:rFonts w:eastAsia="Times New Roman"/>
          <w:color w:val="000000"/>
          <w:sz w:val="20"/>
          <w:szCs w:val="20"/>
          <w:shd w:val="clear" w:color="auto" w:fill="FFFFFF"/>
        </w:rPr>
        <w:t xml:space="preserve"> to UGI Corporation also reflects business transformation expenses of $15 million and $4 million, respectively, in the 2021 and 2020 three-month periods. The </w:t>
      </w:r>
      <w:r>
        <w:rPr>
          <w:rFonts w:eastAsia="Times New Roman"/>
          <w:color w:val="000000"/>
          <w:sz w:val="20"/>
          <w:szCs w:val="20"/>
        </w:rPr>
        <w:t>2021 three-month period</w:t>
      </w:r>
      <w:r>
        <w:rPr>
          <w:rFonts w:eastAsia="Times New Roman"/>
          <w:color w:val="000000"/>
          <w:sz w:val="20"/>
          <w:szCs w:val="20"/>
          <w:shd w:val="clear" w:color="auto" w:fill="FFFFFF"/>
        </w:rPr>
        <w:t xml:space="preserve"> includes a $93 million impairment charge related to our investment in Penn</w:t>
      </w:r>
      <w:r>
        <w:rPr>
          <w:rFonts w:eastAsia="Times New Roman"/>
          <w:color w:val="000000"/>
          <w:sz w:val="20"/>
          <w:szCs w:val="20"/>
          <w:shd w:val="clear" w:color="auto" w:fill="FFFFFF"/>
        </w:rPr>
        <w:t xml:space="preserve">East, and the </w:t>
      </w:r>
      <w:r>
        <w:rPr>
          <w:rFonts w:eastAsia="Times New Roman"/>
          <w:color w:val="000000"/>
          <w:sz w:val="20"/>
          <w:szCs w:val="20"/>
        </w:rPr>
        <w:t>2020 three-month period</w:t>
      </w:r>
      <w:r>
        <w:rPr>
          <w:rFonts w:eastAsia="Times New Roman"/>
          <w:color w:val="000000"/>
          <w:sz w:val="20"/>
          <w:szCs w:val="20"/>
          <w:shd w:val="clear" w:color="auto" w:fill="FFFFFF"/>
        </w:rPr>
        <w:t xml:space="preserve"> includes a $37 million impairment charge related to held-for-sale assets that were disposed of in September 2020.</w:t>
      </w:r>
    </w:p>
    <w:p w:rsidR="00000000" w:rsidRDefault="005D625B">
      <w:pPr>
        <w:divId w:val="1173300209"/>
        <w:rPr>
          <w:rFonts w:eastAsia="Times New Roman"/>
        </w:rPr>
      </w:pPr>
    </w:p>
    <w:p w:rsidR="00000000" w:rsidRDefault="005D625B">
      <w:pPr>
        <w:jc w:val="both"/>
        <w:rPr>
          <w:rFonts w:eastAsia="Times New Roman"/>
        </w:rPr>
      </w:pPr>
      <w:r>
        <w:rPr>
          <w:rFonts w:eastAsia="Times New Roman"/>
          <w:color w:val="000000"/>
          <w:sz w:val="20"/>
          <w:szCs w:val="20"/>
          <w:shd w:val="clear" w:color="auto" w:fill="FFFFFF"/>
        </w:rPr>
        <w:t xml:space="preserve">Adjusted net income attributable to UGI Corporation for the </w:t>
      </w:r>
      <w:r>
        <w:rPr>
          <w:rFonts w:eastAsia="Times New Roman"/>
          <w:color w:val="000000"/>
          <w:sz w:val="20"/>
          <w:szCs w:val="20"/>
        </w:rPr>
        <w:t>2021 three-month period</w:t>
      </w:r>
      <w:r>
        <w:rPr>
          <w:rFonts w:eastAsia="Times New Roman"/>
          <w:color w:val="000000"/>
          <w:sz w:val="20"/>
          <w:szCs w:val="20"/>
          <w:shd w:val="clear" w:color="auto" w:fill="FFFFFF"/>
        </w:rPr>
        <w:t xml:space="preserve"> was $28 million (e</w:t>
      </w:r>
      <w:r>
        <w:rPr>
          <w:rFonts w:eastAsia="Times New Roman"/>
          <w:color w:val="000000"/>
          <w:sz w:val="20"/>
          <w:szCs w:val="20"/>
          <w:shd w:val="clear" w:color="auto" w:fill="FFFFFF"/>
        </w:rPr>
        <w:t xml:space="preserve">qual to $0.13 per diluted share) compared to $16 million (equal to $0.08 per diluted share) during the </w:t>
      </w:r>
      <w:r>
        <w:rPr>
          <w:rFonts w:eastAsia="Times New Roman"/>
          <w:color w:val="000000"/>
          <w:sz w:val="20"/>
          <w:szCs w:val="20"/>
        </w:rPr>
        <w:t>2020 three-month period</w:t>
      </w:r>
      <w:r>
        <w:rPr>
          <w:rFonts w:eastAsia="Times New Roman"/>
          <w:color w:val="000000"/>
          <w:sz w:val="20"/>
          <w:szCs w:val="20"/>
          <w:shd w:val="clear" w:color="auto" w:fill="FFFFFF"/>
        </w:rPr>
        <w:t xml:space="preserve">. The increase in adjusted net income attributable to UGI Corporation during the </w:t>
      </w:r>
      <w:r>
        <w:rPr>
          <w:rFonts w:eastAsia="Times New Roman"/>
          <w:color w:val="000000"/>
          <w:sz w:val="20"/>
          <w:szCs w:val="20"/>
        </w:rPr>
        <w:t>2021 three-month period</w:t>
      </w:r>
      <w:r>
        <w:rPr>
          <w:rFonts w:eastAsia="Times New Roman"/>
          <w:color w:val="000000"/>
          <w:sz w:val="20"/>
          <w:szCs w:val="20"/>
          <w:shd w:val="clear" w:color="auto" w:fill="FFFFFF"/>
        </w:rPr>
        <w:t xml:space="preserve"> largely reflects higher earnings contributions from our U</w:t>
      </w:r>
      <w:r>
        <w:rPr>
          <w:rFonts w:eastAsia="Times New Roman"/>
          <w:color w:val="000000"/>
          <w:sz w:val="20"/>
          <w:szCs w:val="20"/>
        </w:rPr>
        <w:t>GI International business segment which benefited from colder weather compared to the prior-ye</w:t>
      </w:r>
      <w:r>
        <w:rPr>
          <w:rFonts w:eastAsia="Times New Roman"/>
          <w:color w:val="000000"/>
          <w:sz w:val="20"/>
          <w:szCs w:val="20"/>
        </w:rPr>
        <w:t xml:space="preserve">ar period resulting in higher LPG volumes. This positive impact was partially offset by a lower benefit under the CARES Act compared to the prior-year period.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AmeriGas Propane’s adjusted net loss attributable to UGI Corporation was $20 million in the 20</w:t>
      </w:r>
      <w:r>
        <w:rPr>
          <w:rFonts w:eastAsia="Times New Roman"/>
          <w:color w:val="000000"/>
          <w:sz w:val="20"/>
          <w:szCs w:val="20"/>
        </w:rPr>
        <w:t xml:space="preserve">21 three-month period compared to $15 million in the prior-year period. This decrease in results was largely attributable to lower total margin due to </w:t>
      </w:r>
    </w:p>
    <w:p w:rsidR="00000000" w:rsidRDefault="005D625B">
      <w:pPr>
        <w:jc w:val="center"/>
        <w:divId w:val="1845438783"/>
        <w:rPr>
          <w:rFonts w:eastAsia="Times New Roman"/>
        </w:rPr>
      </w:pPr>
      <w:r>
        <w:rPr>
          <w:rFonts w:eastAsia="Times New Roman"/>
          <w:color w:val="000000"/>
          <w:sz w:val="20"/>
          <w:szCs w:val="20"/>
        </w:rPr>
        <w:t>41</w:t>
      </w:r>
    </w:p>
    <w:p w:rsidR="00000000" w:rsidRDefault="005D625B">
      <w:pPr>
        <w:rPr>
          <w:rFonts w:eastAsia="Times New Roman"/>
        </w:rPr>
      </w:pPr>
      <w:r>
        <w:rPr>
          <w:rFonts w:eastAsia="Times New Roman"/>
        </w:rPr>
        <w:pict>
          <v:rect id="_x0000_i1067" style="width:0;height:1.5pt" o:hralign="center" o:hrstd="t" o:hr="t" fillcolor="#a0a0a0" stroked="f"/>
        </w:pict>
      </w:r>
    </w:p>
    <w:p w:rsidR="00000000" w:rsidRDefault="005D625B">
      <w:pPr>
        <w:divId w:val="478690903"/>
        <w:rPr>
          <w:rFonts w:eastAsia="Times New Roman"/>
        </w:rPr>
      </w:pPr>
      <w:hyperlink w:anchor="i8e9ae631f70f4c00b4ea140d922613cd_7" w:history="1">
        <w:r>
          <w:rPr>
            <w:rStyle w:val="a3"/>
            <w:rFonts w:eastAsia="Times New Roman"/>
            <w:sz w:val="20"/>
            <w:szCs w:val="20"/>
          </w:rPr>
          <w:t xml:space="preserve">Table </w:t>
        </w:r>
        <w:r>
          <w:rPr>
            <w:rStyle w:val="a3"/>
            <w:rFonts w:eastAsia="Times New Roman"/>
            <w:sz w:val="20"/>
            <w:szCs w:val="20"/>
          </w:rPr>
          <w:t>of Contents</w:t>
        </w:r>
      </w:hyperlink>
    </w:p>
    <w:p w:rsidR="00000000" w:rsidRDefault="005D625B">
      <w:pPr>
        <w:jc w:val="center"/>
        <w:divId w:val="886376285"/>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color w:val="000000"/>
          <w:sz w:val="20"/>
          <w:szCs w:val="20"/>
        </w:rPr>
        <w:t>slightly lower average unit margins resulting from year-over-year changes in customer segment volumes and weather that was warmer than the prior-year period.</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International’s adjusted net income attributabl</w:t>
      </w:r>
      <w:r>
        <w:rPr>
          <w:rFonts w:eastAsia="Times New Roman"/>
          <w:color w:val="000000"/>
          <w:sz w:val="20"/>
          <w:szCs w:val="20"/>
        </w:rPr>
        <w:t>e to UGI Corporation increased $42 million in the 2021 three-month period principally reflecting higher total margin on increased LPG volumes which benefited from colder weather compared to the prior-year period and the translation effects of stronger fore</w:t>
      </w:r>
      <w:r>
        <w:rPr>
          <w:rFonts w:eastAsia="Times New Roman"/>
          <w:color w:val="000000"/>
          <w:sz w:val="20"/>
          <w:szCs w:val="20"/>
        </w:rPr>
        <w:t xml:space="preserve">ign currencies in the 2021 three-month period. These positive factors were partially offset by higher operating and administrative expenses and lower realized gains on foreign currency exchange contracts compared to the prior-year period.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Midstream &amp; Ma</w:t>
      </w:r>
      <w:r>
        <w:rPr>
          <w:rFonts w:eastAsia="Times New Roman"/>
          <w:color w:val="000000"/>
          <w:sz w:val="20"/>
          <w:szCs w:val="20"/>
        </w:rPr>
        <w:t xml:space="preserve">rketing’s adjusted net income attributable to UGI Corporation reflects a slight increase in the 2021 three-month period reflecting, among other things, equity income from its 2021 investment in Pine Run.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Utilities’ adjusted net income attributable t</w:t>
      </w:r>
      <w:r>
        <w:rPr>
          <w:rFonts w:eastAsia="Times New Roman"/>
          <w:color w:val="000000"/>
          <w:sz w:val="20"/>
          <w:szCs w:val="20"/>
        </w:rPr>
        <w:t>o UGI Corporation increased $5 million in the 2021 three-month period compared to the prior-year period. The increase was largely attributable to higher Gas Utility margin reflecting the effects of the increase in base rates that went into effect on Januar</w:t>
      </w:r>
      <w:r>
        <w:rPr>
          <w:rFonts w:eastAsia="Times New Roman"/>
          <w:color w:val="000000"/>
          <w:sz w:val="20"/>
          <w:szCs w:val="20"/>
        </w:rPr>
        <w:t>y 1, 2021, and lower operating and administrative expenses compared to the prior-year period. These positive factors were partially offset by higher depreciation expenses related to continued capital improvement activities compared to the prior-year period</w:t>
      </w:r>
      <w:r>
        <w:rPr>
          <w:rFonts w:eastAsia="Times New Roman"/>
          <w:color w:val="000000"/>
          <w:sz w:val="20"/>
          <w:szCs w:val="20"/>
        </w:rPr>
        <w:t xml:space="preserve">. </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u w:val="single"/>
        </w:rPr>
        <w:t>2021 nine-month period compared with 2020 nine-month period</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shd w:val="clear" w:color="auto" w:fill="FFFFFF"/>
        </w:rPr>
        <w:t>Discussion.</w:t>
      </w:r>
      <w:r>
        <w:rPr>
          <w:rFonts w:eastAsia="Times New Roman"/>
          <w:color w:val="000000"/>
          <w:sz w:val="20"/>
          <w:szCs w:val="20"/>
          <w:shd w:val="clear" w:color="auto" w:fill="FFFFFF"/>
        </w:rPr>
        <w:t xml:space="preserve"> Net income attributable to UGI Corporation for the </w:t>
      </w:r>
      <w:r>
        <w:rPr>
          <w:rFonts w:eastAsia="Times New Roman"/>
          <w:color w:val="000000"/>
          <w:sz w:val="20"/>
          <w:szCs w:val="20"/>
        </w:rPr>
        <w:t>2021 nine-month period</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was $942 million (equal to $4.48 per diluted share) compared to $523 million (equal to $2.49 per dilute</w:t>
      </w:r>
      <w:r>
        <w:rPr>
          <w:rFonts w:eastAsia="Times New Roman"/>
          <w:color w:val="000000"/>
          <w:sz w:val="20"/>
          <w:szCs w:val="20"/>
        </w:rPr>
        <w:t xml:space="preserve">d share) during the 2020 nine-month period. Net income attributable to UGI Corporation </w:t>
      </w:r>
      <w:r>
        <w:rPr>
          <w:rFonts w:eastAsia="Times New Roman"/>
          <w:color w:val="000000"/>
          <w:sz w:val="20"/>
          <w:szCs w:val="20"/>
          <w:shd w:val="clear" w:color="auto" w:fill="FFFFFF"/>
        </w:rPr>
        <w:t xml:space="preserve">in the 2021 and 2020 nine-month periods </w:t>
      </w:r>
      <w:r>
        <w:rPr>
          <w:rFonts w:eastAsia="Times New Roman"/>
          <w:color w:val="000000"/>
          <w:sz w:val="20"/>
          <w:szCs w:val="20"/>
        </w:rPr>
        <w:t xml:space="preserve">reflects </w:t>
      </w:r>
      <w:r>
        <w:rPr>
          <w:rFonts w:eastAsia="Times New Roman"/>
          <w:color w:val="000000"/>
          <w:sz w:val="20"/>
          <w:szCs w:val="20"/>
          <w:shd w:val="clear" w:color="auto" w:fill="FFFFFF"/>
        </w:rPr>
        <w:t>net gains of $364</w:t>
      </w:r>
      <w:r>
        <w:rPr>
          <w:rFonts w:eastAsia="Times New Roman"/>
          <w:color w:val="000000"/>
          <w:sz w:val="20"/>
          <w:szCs w:val="20"/>
          <w:shd w:val="clear" w:color="auto" w:fill="FFFFFF"/>
        </w:rPr>
        <w:t xml:space="preserve"> million and $1 million, respectively, from changes in unrealized commodity derivative instruments and certain foreign currency derivative instruments. Net income attributable to UGI Corporation also reflects business transformation expenses of $42 million</w:t>
      </w:r>
      <w:r>
        <w:rPr>
          <w:rFonts w:eastAsia="Times New Roman"/>
          <w:color w:val="000000"/>
          <w:sz w:val="20"/>
          <w:szCs w:val="20"/>
          <w:shd w:val="clear" w:color="auto" w:fill="FFFFFF"/>
        </w:rPr>
        <w:t xml:space="preserve"> and $30 million, respectively, in the 2021 and 2020 nine-month</w:t>
      </w:r>
      <w:r>
        <w:rPr>
          <w:rFonts w:eastAsia="Times New Roman"/>
          <w:color w:val="000000"/>
          <w:sz w:val="20"/>
          <w:szCs w:val="20"/>
        </w:rPr>
        <w:t xml:space="preserve"> periods. The 2021 nine-month period also </w:t>
      </w:r>
      <w:r>
        <w:rPr>
          <w:rFonts w:eastAsia="Times New Roman"/>
          <w:color w:val="000000"/>
          <w:sz w:val="20"/>
          <w:szCs w:val="20"/>
          <w:shd w:val="clear" w:color="auto" w:fill="FFFFFF"/>
        </w:rPr>
        <w:t xml:space="preserve">includes a $93 million impairment charge related to our investment in PennEast </w:t>
      </w:r>
      <w:r>
        <w:rPr>
          <w:rFonts w:eastAsia="Times New Roman"/>
          <w:color w:val="000000"/>
          <w:sz w:val="20"/>
          <w:szCs w:val="20"/>
        </w:rPr>
        <w:t>as well as a $23 million tax benefit related to an election made in conn</w:t>
      </w:r>
      <w:r>
        <w:rPr>
          <w:rFonts w:eastAsia="Times New Roman"/>
          <w:color w:val="000000"/>
          <w:sz w:val="20"/>
          <w:szCs w:val="20"/>
        </w:rPr>
        <w:t>ection with a tax law change in Italy. The 2020 nine-month period includes a $37 million impairment charge related to held-for-sale assets that were disposed of in September 2020.</w:t>
      </w:r>
    </w:p>
    <w:p w:rsidR="00000000" w:rsidRDefault="005D625B">
      <w:pPr>
        <w:jc w:val="both"/>
        <w:rPr>
          <w:rFonts w:eastAsia="Times New Roman"/>
        </w:rPr>
      </w:pPr>
    </w:p>
    <w:p w:rsidR="00000000" w:rsidRDefault="005D625B">
      <w:pPr>
        <w:jc w:val="both"/>
        <w:divId w:val="265505744"/>
        <w:rPr>
          <w:rFonts w:eastAsia="Times New Roman"/>
        </w:rPr>
      </w:pPr>
      <w:r>
        <w:rPr>
          <w:rFonts w:eastAsia="Times New Roman"/>
          <w:color w:val="000000"/>
          <w:sz w:val="20"/>
          <w:szCs w:val="20"/>
        </w:rPr>
        <w:t>Adjusted net income attributable to UGI Corporation for the 2021 nine-mont</w:t>
      </w:r>
      <w:r>
        <w:rPr>
          <w:rFonts w:eastAsia="Times New Roman"/>
          <w:color w:val="000000"/>
          <w:sz w:val="20"/>
          <w:szCs w:val="20"/>
        </w:rPr>
        <w:t>h period was $693 million (equal to $3.30 per diluted share) compared to $590 million (equal to $2.81 per diluted share) during the 2020 nine-month period. The increase in adjusted net income attributable to UGI Corporation during the 2021 nine-month perio</w:t>
      </w:r>
      <w:r>
        <w:rPr>
          <w:rFonts w:eastAsia="Times New Roman"/>
          <w:color w:val="000000"/>
          <w:sz w:val="20"/>
          <w:szCs w:val="20"/>
        </w:rPr>
        <w:t>d reflects higher earnings contributions from each of our business segments including improved margin at UGI International which benefited from colder weather compared to the prior-year period, the translation effects of stronger foreign currencies, and hi</w:t>
      </w:r>
      <w:r>
        <w:rPr>
          <w:rFonts w:eastAsia="Times New Roman"/>
          <w:color w:val="000000"/>
          <w:sz w:val="20"/>
          <w:szCs w:val="20"/>
        </w:rPr>
        <w:t>gher average LPG unit margins including the continued effects of margin management efforts. The January 1, 2021 increase in base rates at UGI Utilities and the effects of acquisitions and assets placed into service since June 30, 2020 also contributed to t</w:t>
      </w:r>
      <w:r>
        <w:rPr>
          <w:rFonts w:eastAsia="Times New Roman"/>
          <w:color w:val="000000"/>
          <w:sz w:val="20"/>
          <w:szCs w:val="20"/>
        </w:rPr>
        <w:t>he improvement. These positive impacts were partially offset by a lower benefit under the CARES Act compared to the prior-year period.</w:t>
      </w:r>
    </w:p>
    <w:p w:rsidR="00000000" w:rsidRDefault="005D625B">
      <w:pPr>
        <w:jc w:val="both"/>
        <w:divId w:val="107049963"/>
        <w:rPr>
          <w:rFonts w:eastAsia="Times New Roman"/>
        </w:rPr>
      </w:pPr>
      <w:r>
        <w:rPr>
          <w:rFonts w:eastAsia="Times New Roman"/>
          <w:color w:val="000000"/>
          <w:sz w:val="20"/>
          <w:szCs w:val="20"/>
        </w:rPr>
        <w:t>AmeriGas Propane’s adjusted net income attributable to UGI Corporation increased $6 million in the 2021 nine-month period</w:t>
      </w:r>
      <w:r>
        <w:rPr>
          <w:rFonts w:eastAsia="Times New Roman"/>
          <w:color w:val="000000"/>
          <w:sz w:val="20"/>
          <w:szCs w:val="20"/>
        </w:rPr>
        <w:t xml:space="preserve">. This increase principally reflects lower operating and administrative expenses, including partial benefits related to ongoing transformation initiatives, higher fees associated with customer accounts and lower interest expense compared to the prior-year </w:t>
      </w:r>
      <w:r>
        <w:rPr>
          <w:rFonts w:eastAsia="Times New Roman"/>
          <w:color w:val="000000"/>
          <w:sz w:val="20"/>
          <w:szCs w:val="20"/>
        </w:rPr>
        <w:t>period. These positive factors were partially offset by lower retail propane margin primarily attributable to lower volumes.</w:t>
      </w:r>
    </w:p>
    <w:p w:rsidR="00000000" w:rsidRDefault="005D625B">
      <w:pPr>
        <w:jc w:val="both"/>
        <w:divId w:val="461769274"/>
        <w:rPr>
          <w:rFonts w:eastAsia="Times New Roman"/>
        </w:rPr>
      </w:pPr>
      <w:r>
        <w:rPr>
          <w:rFonts w:eastAsia="Times New Roman"/>
          <w:color w:val="000000"/>
          <w:sz w:val="20"/>
          <w:szCs w:val="20"/>
        </w:rPr>
        <w:t>UGI International’s adjusted net income attributable to UGI Corporation increased $85 million in the 2021 nine-month period princip</w:t>
      </w:r>
      <w:r>
        <w:rPr>
          <w:rFonts w:eastAsia="Times New Roman"/>
          <w:color w:val="000000"/>
          <w:sz w:val="20"/>
          <w:szCs w:val="20"/>
        </w:rPr>
        <w:t>ally reflecting increased LPG volumes which benefited from colder weather compared to the prior-year period, higher average LPG unit margins including effective margin management efforts, and the translation effects of stronger foreign currencies. These po</w:t>
      </w:r>
      <w:r>
        <w:rPr>
          <w:rFonts w:eastAsia="Times New Roman"/>
          <w:color w:val="000000"/>
          <w:sz w:val="20"/>
          <w:szCs w:val="20"/>
        </w:rPr>
        <w:t>sitive factors were partially offset by higher operating and administrative expenses reflecting increased maintenance and distribution costs attributable to the stronger LPG volumes compared to the prior-year period, as well as the previously mentioned eff</w:t>
      </w:r>
      <w:r>
        <w:rPr>
          <w:rFonts w:eastAsia="Times New Roman"/>
          <w:color w:val="000000"/>
          <w:sz w:val="20"/>
          <w:szCs w:val="20"/>
        </w:rPr>
        <w:t xml:space="preserve">ects of stronger foreign currencies. </w:t>
      </w:r>
    </w:p>
    <w:p w:rsidR="00000000" w:rsidRDefault="005D625B">
      <w:pPr>
        <w:jc w:val="both"/>
        <w:divId w:val="1532454804"/>
        <w:rPr>
          <w:rFonts w:eastAsia="Times New Roman"/>
        </w:rPr>
      </w:pPr>
      <w:r>
        <w:rPr>
          <w:rFonts w:eastAsia="Times New Roman"/>
          <w:color w:val="000000"/>
          <w:sz w:val="20"/>
          <w:szCs w:val="20"/>
        </w:rPr>
        <w:t>Midstream &amp; Marketing’</w:t>
      </w:r>
      <w:r>
        <w:rPr>
          <w:rFonts w:eastAsia="Times New Roman"/>
          <w:color w:val="000000"/>
          <w:sz w:val="20"/>
          <w:szCs w:val="20"/>
        </w:rPr>
        <w:t>s adjusted net income attributable to UGI Corporation increased $14 million in the 2021 nine-month period largely driven by higher total earnings contributions attributable to capacity management and natural gas activities compared to the prior-year period</w:t>
      </w:r>
      <w:r>
        <w:rPr>
          <w:rFonts w:eastAsia="Times New Roman"/>
          <w:color w:val="000000"/>
          <w:sz w:val="20"/>
          <w:szCs w:val="20"/>
        </w:rPr>
        <w:t xml:space="preserve">. </w:t>
      </w:r>
    </w:p>
    <w:p w:rsidR="00000000" w:rsidRDefault="005D625B">
      <w:pPr>
        <w:jc w:val="both"/>
        <w:rPr>
          <w:rFonts w:eastAsia="Times New Roman"/>
        </w:rPr>
      </w:pPr>
      <w:r>
        <w:rPr>
          <w:rFonts w:eastAsia="Times New Roman"/>
          <w:color w:val="000000"/>
          <w:sz w:val="20"/>
          <w:szCs w:val="20"/>
        </w:rPr>
        <w:t xml:space="preserve">UGI Utilities’ adjusted net income attributable to UGI Corporation increased $10 million in the 2021 nine-month period compared to the prior-year period. The increase was largely attributable to higher Gas Utility margin reflecting increased base rates </w:t>
      </w:r>
      <w:r>
        <w:rPr>
          <w:rFonts w:eastAsia="Times New Roman"/>
          <w:color w:val="000000"/>
          <w:sz w:val="20"/>
          <w:szCs w:val="20"/>
        </w:rPr>
        <w:t>that went into effect on January 1, 2021, and higher margin from Electric Utility related to increased distribution volumes. These positive factors were partially offset by higher depreciation expense related to continued capital improvement activities com</w:t>
      </w:r>
      <w:r>
        <w:rPr>
          <w:rFonts w:eastAsia="Times New Roman"/>
          <w:color w:val="000000"/>
          <w:sz w:val="20"/>
          <w:szCs w:val="20"/>
        </w:rPr>
        <w:t>pared to the prior-year period.</w:t>
      </w:r>
    </w:p>
    <w:p w:rsidR="00000000" w:rsidRDefault="005D625B">
      <w:pPr>
        <w:jc w:val="center"/>
        <w:divId w:val="861166899"/>
        <w:rPr>
          <w:rFonts w:eastAsia="Times New Roman"/>
        </w:rPr>
      </w:pPr>
      <w:r>
        <w:rPr>
          <w:rFonts w:eastAsia="Times New Roman"/>
          <w:color w:val="000000"/>
          <w:sz w:val="20"/>
          <w:szCs w:val="20"/>
        </w:rPr>
        <w:t>42</w:t>
      </w:r>
    </w:p>
    <w:p w:rsidR="00000000" w:rsidRDefault="005D625B">
      <w:pPr>
        <w:rPr>
          <w:rFonts w:eastAsia="Times New Roman"/>
        </w:rPr>
      </w:pPr>
      <w:r>
        <w:rPr>
          <w:rFonts w:eastAsia="Times New Roman"/>
        </w:rPr>
        <w:pict>
          <v:rect id="_x0000_i1068" style="width:0;height:1.5pt" o:hralign="center" o:hrstd="t" o:hr="t" fillcolor="#a0a0a0" stroked="f"/>
        </w:pict>
      </w:r>
    </w:p>
    <w:p w:rsidR="00000000" w:rsidRDefault="005D625B">
      <w:pPr>
        <w:divId w:val="912548064"/>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37960182"/>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p>
    <w:p w:rsidR="00000000" w:rsidRDefault="005D625B">
      <w:pPr>
        <w:divId w:val="1344434358"/>
        <w:rPr>
          <w:rFonts w:eastAsia="Times New Roman"/>
        </w:rPr>
      </w:pPr>
      <w:r>
        <w:rPr>
          <w:rFonts w:eastAsia="Times New Roman"/>
          <w:b/>
          <w:bCs/>
          <w:color w:val="000000"/>
          <w:sz w:val="20"/>
          <w:szCs w:val="20"/>
          <w:u w:val="single"/>
        </w:rPr>
        <w:t>SEGMENT RESULTS OF OPERATIONS</w:t>
      </w:r>
    </w:p>
    <w:p w:rsidR="00000000" w:rsidRDefault="005D625B">
      <w:pPr>
        <w:divId w:val="720399500"/>
        <w:rPr>
          <w:rFonts w:eastAsia="Times New Roman"/>
        </w:rPr>
      </w:pPr>
      <w:r>
        <w:rPr>
          <w:rFonts w:eastAsia="Times New Roman"/>
          <w:b/>
          <w:bCs/>
          <w:color w:val="000000"/>
          <w:sz w:val="20"/>
          <w:szCs w:val="20"/>
        </w:rPr>
        <w:t>2021 Three-Month Period Compared with the 2</w:t>
      </w:r>
      <w:r>
        <w:rPr>
          <w:rFonts w:eastAsia="Times New Roman"/>
          <w:b/>
          <w:bCs/>
          <w:color w:val="000000"/>
          <w:sz w:val="20"/>
          <w:szCs w:val="20"/>
        </w:rPr>
        <w:t>020 Three-Month Period</w:t>
      </w:r>
    </w:p>
    <w:p w:rsidR="00000000" w:rsidRDefault="005D625B">
      <w:pPr>
        <w:divId w:val="1859192619"/>
        <w:rPr>
          <w:rFonts w:eastAsia="Times New Roman"/>
        </w:rPr>
      </w:pPr>
    </w:p>
    <w:p w:rsidR="00000000" w:rsidRDefault="005D625B">
      <w:pPr>
        <w:jc w:val="both"/>
        <w:rPr>
          <w:rFonts w:eastAsia="Times New Roman"/>
        </w:rPr>
      </w:pPr>
      <w:r>
        <w:rPr>
          <w:rFonts w:eastAsia="Times New Roman"/>
          <w:b/>
          <w:bCs/>
          <w:i/>
          <w:iCs/>
          <w:color w:val="000000"/>
          <w:sz w:val="20"/>
          <w:szCs w:val="20"/>
        </w:rPr>
        <w:t>AmeriGas Propane</w:t>
      </w:r>
    </w:p>
    <w:tbl>
      <w:tblPr>
        <w:tblW w:w="4992" w:type="pct"/>
        <w:tblCellMar>
          <w:top w:w="15" w:type="dxa"/>
          <w:left w:w="15" w:type="dxa"/>
          <w:bottom w:w="15" w:type="dxa"/>
          <w:right w:w="15" w:type="dxa"/>
        </w:tblCellMar>
        <w:tblLook w:val="04A0" w:firstRow="1" w:lastRow="0" w:firstColumn="1" w:lastColumn="0" w:noHBand="0" w:noVBand="1"/>
      </w:tblPr>
      <w:tblGrid>
        <w:gridCol w:w="40"/>
        <w:gridCol w:w="3731"/>
        <w:gridCol w:w="39"/>
        <w:gridCol w:w="36"/>
        <w:gridCol w:w="36"/>
        <w:gridCol w:w="36"/>
        <w:gridCol w:w="120"/>
        <w:gridCol w:w="802"/>
        <w:gridCol w:w="187"/>
        <w:gridCol w:w="36"/>
        <w:gridCol w:w="36"/>
        <w:gridCol w:w="36"/>
        <w:gridCol w:w="120"/>
        <w:gridCol w:w="802"/>
        <w:gridCol w:w="187"/>
        <w:gridCol w:w="36"/>
        <w:gridCol w:w="36"/>
        <w:gridCol w:w="36"/>
        <w:gridCol w:w="121"/>
        <w:gridCol w:w="682"/>
        <w:gridCol w:w="37"/>
        <w:gridCol w:w="37"/>
        <w:gridCol w:w="37"/>
        <w:gridCol w:w="36"/>
        <w:gridCol w:w="36"/>
        <w:gridCol w:w="768"/>
        <w:gridCol w:w="187"/>
      </w:tblGrid>
      <w:tr w:rsidR="00000000">
        <w:trPr>
          <w:divId w:val="1564411047"/>
        </w:trPr>
        <w:tc>
          <w:tcPr>
            <w:tcW w:w="50" w:type="pct"/>
            <w:vAlign w:val="center"/>
            <w:hideMark/>
          </w:tcPr>
          <w:p w:rsidR="00000000" w:rsidRDefault="005D625B">
            <w:pPr>
              <w:jc w:val="both"/>
              <w:rPr>
                <w:rFonts w:eastAsia="Times New Roman"/>
              </w:rPr>
            </w:pPr>
          </w:p>
        </w:tc>
        <w:tc>
          <w:tcPr>
            <w:tcW w:w="232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0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564411047"/>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564411047"/>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Increase (Decrease)</w:t>
            </w:r>
          </w:p>
        </w:tc>
      </w:tr>
      <w:tr w:rsidR="00000000">
        <w:trPr>
          <w:divId w:val="156441104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1564411047"/>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526 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451 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64411047"/>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64411047"/>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64411047"/>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income/earnings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64411047"/>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64411047"/>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Heating degree days—% colder than normal (b)</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5D625B">
      <w:pPr>
        <w:ind w:hanging="360"/>
        <w:jc w:val="both"/>
        <w:rPr>
          <w:rFonts w:eastAsia="Times New Roman"/>
        </w:rPr>
      </w:pPr>
      <w:r>
        <w:rPr>
          <w:rFonts w:eastAsia="Times New Roman"/>
          <w:color w:val="000000"/>
          <w:sz w:val="20"/>
          <w:szCs w:val="20"/>
        </w:rPr>
        <w:t>(b)Beginning in Fiscal 2021, deviation from average heating</w:t>
      </w:r>
      <w:r>
        <w:rPr>
          <w:rFonts w:eastAsia="Times New Roman"/>
          <w:color w:val="000000"/>
          <w:sz w:val="20"/>
          <w:szCs w:val="20"/>
        </w:rPr>
        <w:t xml:space="preserve"> degree days is determined on a rolling 10-year period utilizing volume-weighted weather data based on weather statistics provided by NOAA for 344 regions in the United States, excluding Alaska and Hawaii. Prior-period amounts have been restated to conform</w:t>
      </w:r>
      <w:r>
        <w:rPr>
          <w:rFonts w:eastAsia="Times New Roman"/>
          <w:color w:val="000000"/>
          <w:sz w:val="20"/>
          <w:szCs w:val="20"/>
        </w:rPr>
        <w:t xml:space="preserve"> to the current-period presentation.</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Average temperatures during the 2021 three-month period were 2.5% colder than normal but 12.3% warmer than the prior-year period. Total retail gallons sold increased slightly during the 2021 three-month period princip</w:t>
      </w:r>
      <w:r>
        <w:rPr>
          <w:rFonts w:eastAsia="Times New Roman"/>
          <w:color w:val="000000"/>
          <w:sz w:val="20"/>
          <w:szCs w:val="20"/>
        </w:rPr>
        <w:t>ally reflecting higher national account volumes, partially offset by lower cylinder exchange volumes compared to the significant volume increase experienced in the prior-year period, lower residential volumes and the continued effects of structural conserv</w:t>
      </w:r>
      <w:r>
        <w:rPr>
          <w:rFonts w:eastAsia="Times New Roman"/>
          <w:color w:val="000000"/>
          <w:sz w:val="20"/>
          <w:szCs w:val="20"/>
        </w:rPr>
        <w:t xml:space="preserve">ation and other residual volume loss.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Total revenues increased $75 million during the 2021 three-month period largely reflecting higher average retail and wholesale propane selling prices ($63 million) and higher wholesale propane volumes ($11 million) </w:t>
      </w:r>
      <w:r>
        <w:rPr>
          <w:rFonts w:eastAsia="Times New Roman"/>
          <w:color w:val="000000"/>
          <w:sz w:val="20"/>
          <w:szCs w:val="20"/>
        </w:rPr>
        <w:t>compared to the prior-year period. Average daily wholesale propane commodity prices at Mont Belvieu, Texas, one of the major supply points in the U.S., were significantly higher during the 2021 three-month period (approximately 112%) compared to such price</w:t>
      </w:r>
      <w:r>
        <w:rPr>
          <w:rFonts w:eastAsia="Times New Roman"/>
          <w:color w:val="000000"/>
          <w:sz w:val="20"/>
          <w:szCs w:val="20"/>
        </w:rPr>
        <w:t>s during the prior-year period. Total cost of sales increased $89 million during the 2021 three-month period principally reflecting the higher average total propane product costs ($78 million) and higher wholesale propane volumes ($10 million).</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AmeriGas </w:t>
      </w:r>
      <w:r>
        <w:rPr>
          <w:rFonts w:eastAsia="Times New Roman"/>
          <w:color w:val="000000"/>
          <w:sz w:val="20"/>
          <w:szCs w:val="20"/>
        </w:rPr>
        <w:t>Propane total margin decreased $14 million in the 2021 three-month period largely attributable to lower average retail unit margins ($14 million) due to the lower cylinder exchange volumes partially offset by the growth in national account volumes. These y</w:t>
      </w:r>
      <w:r>
        <w:rPr>
          <w:rFonts w:eastAsia="Times New Roman"/>
          <w:color w:val="000000"/>
          <w:sz w:val="20"/>
          <w:szCs w:val="20"/>
        </w:rPr>
        <w:t xml:space="preserve">ear-over-year changes in customer segment volumes resulted in slightly lower average retail unit margins compared to the prior-year period. This impact was partially offset by the higher retail propane volumes ($2 million).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Operating income and earnings</w:t>
      </w:r>
      <w:r>
        <w:rPr>
          <w:rFonts w:eastAsia="Times New Roman"/>
          <w:color w:val="000000"/>
          <w:sz w:val="20"/>
          <w:szCs w:val="20"/>
        </w:rPr>
        <w:t xml:space="preserve"> before interest expense and income taxes both decreased $8 million during the 2021 three-month period principally reflecting the decrease in total margin partially offset by higher other income from fees associated with customer accounts and gains related</w:t>
      </w:r>
      <w:r>
        <w:rPr>
          <w:rFonts w:eastAsia="Times New Roman"/>
          <w:color w:val="000000"/>
          <w:sz w:val="20"/>
          <w:szCs w:val="20"/>
        </w:rPr>
        <w:t xml:space="preserve"> to the sale of select assets. Operating and administrative expenses were slightly higher in the 2021 three-month period reflecting, among other things, higher vehicle fuel, operating, and lease expenses ($3 million), increased advertising costs ($2 millio</w:t>
      </w:r>
      <w:r>
        <w:rPr>
          <w:rFonts w:eastAsia="Times New Roman"/>
          <w:color w:val="000000"/>
          <w:sz w:val="20"/>
          <w:szCs w:val="20"/>
        </w:rPr>
        <w:t>n), and higher general insurance costs ($2 million), partially offset by lower employee-related costs ($3 million). Operating and administrative expenses continue to reflect the partial benefits related to the previously mentioned ongoing business transfor</w:t>
      </w:r>
      <w:r>
        <w:rPr>
          <w:rFonts w:eastAsia="Times New Roman"/>
          <w:color w:val="000000"/>
          <w:sz w:val="20"/>
          <w:szCs w:val="20"/>
        </w:rPr>
        <w:t>mation initiatives.</w:t>
      </w:r>
    </w:p>
    <w:p w:rsidR="00000000" w:rsidRDefault="005D625B">
      <w:pPr>
        <w:jc w:val="center"/>
        <w:divId w:val="1917930464"/>
        <w:rPr>
          <w:rFonts w:eastAsia="Times New Roman"/>
        </w:rPr>
      </w:pPr>
      <w:r>
        <w:rPr>
          <w:rFonts w:eastAsia="Times New Roman"/>
          <w:color w:val="000000"/>
          <w:sz w:val="20"/>
          <w:szCs w:val="20"/>
        </w:rPr>
        <w:t>43</w:t>
      </w:r>
    </w:p>
    <w:p w:rsidR="00000000" w:rsidRDefault="005D625B">
      <w:pPr>
        <w:rPr>
          <w:rFonts w:eastAsia="Times New Roman"/>
        </w:rPr>
      </w:pPr>
      <w:r>
        <w:rPr>
          <w:rFonts w:eastAsia="Times New Roman"/>
        </w:rPr>
        <w:pict>
          <v:rect id="_x0000_i1069" style="width:0;height:1.5pt" o:hralign="center" o:hrstd="t" o:hr="t" fillcolor="#a0a0a0" stroked="f"/>
        </w:pict>
      </w:r>
    </w:p>
    <w:p w:rsidR="00000000" w:rsidRDefault="005D625B">
      <w:pPr>
        <w:divId w:val="598606929"/>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814761756"/>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p>
    <w:p w:rsidR="00000000" w:rsidRDefault="005D625B">
      <w:pPr>
        <w:jc w:val="both"/>
        <w:divId w:val="526916511"/>
        <w:rPr>
          <w:rFonts w:eastAsia="Times New Roman"/>
        </w:rPr>
      </w:pPr>
      <w:r>
        <w:rPr>
          <w:rFonts w:eastAsia="Times New Roman"/>
          <w:b/>
          <w:bCs/>
          <w:i/>
          <w:iCs/>
          <w:color w:val="000000"/>
          <w:sz w:val="20"/>
          <w:szCs w:val="20"/>
        </w:rPr>
        <w:t>UGI International</w:t>
      </w:r>
    </w:p>
    <w:tbl>
      <w:tblPr>
        <w:tblW w:w="5000" w:type="pct"/>
        <w:tblCellMar>
          <w:top w:w="15" w:type="dxa"/>
          <w:left w:w="15" w:type="dxa"/>
          <w:bottom w:w="15" w:type="dxa"/>
          <w:right w:w="15" w:type="dxa"/>
        </w:tblCellMar>
        <w:tblLook w:val="04A0" w:firstRow="1" w:lastRow="0" w:firstColumn="1" w:lastColumn="0" w:noHBand="0" w:noVBand="1"/>
      </w:tblPr>
      <w:tblGrid>
        <w:gridCol w:w="39"/>
        <w:gridCol w:w="3953"/>
        <w:gridCol w:w="38"/>
        <w:gridCol w:w="36"/>
        <w:gridCol w:w="36"/>
        <w:gridCol w:w="36"/>
        <w:gridCol w:w="120"/>
        <w:gridCol w:w="804"/>
        <w:gridCol w:w="187"/>
        <w:gridCol w:w="36"/>
        <w:gridCol w:w="36"/>
        <w:gridCol w:w="36"/>
        <w:gridCol w:w="120"/>
        <w:gridCol w:w="804"/>
        <w:gridCol w:w="187"/>
        <w:gridCol w:w="36"/>
        <w:gridCol w:w="36"/>
        <w:gridCol w:w="36"/>
        <w:gridCol w:w="120"/>
        <w:gridCol w:w="658"/>
        <w:gridCol w:w="36"/>
        <w:gridCol w:w="36"/>
        <w:gridCol w:w="36"/>
        <w:gridCol w:w="36"/>
        <w:gridCol w:w="38"/>
        <w:gridCol w:w="583"/>
        <w:gridCol w:w="187"/>
      </w:tblGrid>
      <w:tr w:rsidR="00000000">
        <w:tc>
          <w:tcPr>
            <w:tcW w:w="50" w:type="pct"/>
            <w:vAlign w:val="center"/>
            <w:hideMark/>
          </w:tcPr>
          <w:p w:rsidR="00000000" w:rsidRDefault="005D625B">
            <w:pPr>
              <w:jc w:val="both"/>
              <w:rPr>
                <w:rFonts w:eastAsia="Times New Roman"/>
              </w:rPr>
            </w:pPr>
          </w:p>
        </w:tc>
        <w:tc>
          <w:tcPr>
            <w:tcW w:w="245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9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7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Increase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572 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Heating degree days—% colder (warmer) than normal (b)</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ind w:hanging="360"/>
        <w:jc w:val="both"/>
        <w:rPr>
          <w:rFonts w:eastAsia="Times New Roman"/>
        </w:rPr>
      </w:pPr>
      <w:r>
        <w:rPr>
          <w:rFonts w:eastAsia="Times New Roman"/>
          <w:color w:val="000000"/>
          <w:sz w:val="20"/>
          <w:szCs w:val="20"/>
        </w:rPr>
        <w:t>(a)Total ma</w:t>
      </w:r>
      <w:r>
        <w:rPr>
          <w:rFonts w:eastAsia="Times New Roman"/>
          <w:color w:val="000000"/>
          <w:sz w:val="20"/>
          <w:szCs w:val="20"/>
        </w:rPr>
        <w:t>rgin represents revenues less cost of sales and, in the 2020 three-month period, LPG cylinder filling costs of $7 million. For financial statement purposes, LPG cylinder filling costs in the 2020 three-month period are included in “Operating and administra</w:t>
      </w:r>
      <w:r>
        <w:rPr>
          <w:rFonts w:eastAsia="Times New Roman"/>
          <w:color w:val="000000"/>
          <w:sz w:val="20"/>
          <w:szCs w:val="20"/>
        </w:rPr>
        <w:t xml:space="preserve">tive expenses” on the 2020 Condensed Consolidated Statement of Income (but are excluded from operating and administrative expenses presented above). LPG cylinder filling costs are included in “Cost of sales” on the 2021 Condensed Consolidated Statement of </w:t>
      </w:r>
      <w:r>
        <w:rPr>
          <w:rFonts w:eastAsia="Times New Roman"/>
          <w:color w:val="000000"/>
          <w:sz w:val="20"/>
          <w:szCs w:val="20"/>
        </w:rPr>
        <w:t>Income.</w:t>
      </w:r>
    </w:p>
    <w:p w:rsidR="00000000" w:rsidRDefault="005D625B">
      <w:pPr>
        <w:ind w:hanging="360"/>
        <w:jc w:val="both"/>
        <w:rPr>
          <w:rFonts w:eastAsia="Times New Roman"/>
        </w:rPr>
      </w:pPr>
      <w:r>
        <w:rPr>
          <w:rFonts w:eastAsia="Times New Roman"/>
          <w:color w:val="000000"/>
          <w:sz w:val="20"/>
          <w:szCs w:val="20"/>
        </w:rPr>
        <w:t>(b)Beginning in Fiscal 2021, deviation from average heating degree days is determined on a rolling 10-year period utilizing volume-weighted weather data at locations in our UGI International service territories. Prior-period amounts have been resta</w:t>
      </w:r>
      <w:r>
        <w:rPr>
          <w:rFonts w:eastAsia="Times New Roman"/>
          <w:color w:val="000000"/>
          <w:sz w:val="20"/>
          <w:szCs w:val="20"/>
        </w:rPr>
        <w:t>ted to conform to the current-period presentation.</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Average temperatures during the 2021 three-month period were 24.4% colder than normal and 54.7% colder than the prior-year period. Total LPG retail gallons sold during the 2021 three-month period increas</w:t>
      </w:r>
      <w:r>
        <w:rPr>
          <w:rFonts w:eastAsia="Times New Roman"/>
          <w:color w:val="000000"/>
          <w:sz w:val="20"/>
          <w:szCs w:val="20"/>
        </w:rPr>
        <w:t>ed 21% reflecting higher bulk volumes attributable to the colder weather and higher cylinder volumes compared to the prior-year period. These volume improvements also reflect the recovery of certain volume decreases attributable to COVID-19 during the prio</w:t>
      </w:r>
      <w:r>
        <w:rPr>
          <w:rFonts w:eastAsia="Times New Roman"/>
          <w:color w:val="000000"/>
          <w:sz w:val="20"/>
          <w:szCs w:val="20"/>
        </w:rPr>
        <w:t>r-year period. Average wholesale prices for propane and butane during the 2021 three-month period in northwest Europe were approximately 81% and 76% higher, respectively, compared with the prior-year period.</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International base-currency results are tr</w:t>
      </w:r>
      <w:r>
        <w:rPr>
          <w:rFonts w:eastAsia="Times New Roman"/>
          <w:color w:val="000000"/>
          <w:sz w:val="20"/>
          <w:szCs w:val="20"/>
        </w:rPr>
        <w:t>anslated into U.S. dollars based upon exchange rates experienced during the reporting periods. The functional currency of a significant portion of our UGI International results is the euro and, to a much lesser extent, the British pound sterling. During th</w:t>
      </w:r>
      <w:r>
        <w:rPr>
          <w:rFonts w:eastAsia="Times New Roman"/>
          <w:color w:val="000000"/>
          <w:sz w:val="20"/>
          <w:szCs w:val="20"/>
        </w:rPr>
        <w:t>e 2021 and 2020 three-month periods, the average unweighted euro-to-dollar translation rates were approximately $1.21 and $1.10, respectively, and the average unweighted British pound sterling-to-dollar translation rates were approximately $1.40 and $1.24,</w:t>
      </w:r>
      <w:r>
        <w:rPr>
          <w:rFonts w:eastAsia="Times New Roman"/>
          <w:color w:val="000000"/>
          <w:sz w:val="20"/>
          <w:szCs w:val="20"/>
        </w:rPr>
        <w:t xml:space="preserve"> respectively. Fluctuations in these foreign currency exchange rates can have a significant impact on the individual financial statement components discussed below. The net effect of changes in foreign currency exchange rates on UGI International’s earning</w:t>
      </w:r>
      <w:r>
        <w:rPr>
          <w:rFonts w:eastAsia="Times New Roman"/>
          <w:color w:val="000000"/>
          <w:sz w:val="20"/>
          <w:szCs w:val="20"/>
        </w:rPr>
        <w:t>s before interest expense and income taxes resulted in a net benefit of $4 million in the 2021 three-month period. However, the impact of these changes is mitigated by the effects of forward foreign currency exchange contracts entered into over a multi-yea</w:t>
      </w:r>
      <w:r>
        <w:rPr>
          <w:rFonts w:eastAsia="Times New Roman"/>
          <w:color w:val="000000"/>
          <w:sz w:val="20"/>
          <w:szCs w:val="20"/>
        </w:rPr>
        <w:t xml:space="preserve">r period intended to substantially offset this volatility. These forward foreign currency exchange contracts resulted in a slight realized net loss in the 2021 three-month period compared to realized net gains of $2 million in the 2020 three-month period.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International revenues and cost of sales increased $201 million and $150 million, respectively, during the 2021 three-month period. The increase in both revenues and cost of sales principally reflects the translation effects of stronger foreign curr</w:t>
      </w:r>
      <w:r>
        <w:rPr>
          <w:rFonts w:eastAsia="Times New Roman"/>
          <w:color w:val="000000"/>
          <w:sz w:val="20"/>
          <w:szCs w:val="20"/>
        </w:rPr>
        <w:t xml:space="preserve">encies (approximately $53 million and $33 million, respectively), the effects of higher average LPG selling prices and product costs compared to the prior-year period, and the previously mentioned increase in both retail and wholesale LPG volumes compared </w:t>
      </w:r>
      <w:r>
        <w:rPr>
          <w:rFonts w:eastAsia="Times New Roman"/>
          <w:color w:val="000000"/>
          <w:sz w:val="20"/>
          <w:szCs w:val="20"/>
        </w:rPr>
        <w:t>to the prior-year period. Energy marketing activities also contributed to the increased revenues and cost of sales during the 2021 three-month period due to higher natural gas volumes resulting from the colder weather and the recovery of certain volumes de</w:t>
      </w:r>
      <w:r>
        <w:rPr>
          <w:rFonts w:eastAsia="Times New Roman"/>
          <w:color w:val="000000"/>
          <w:sz w:val="20"/>
          <w:szCs w:val="20"/>
        </w:rPr>
        <w:t>creases attributable to COVID-19 during the prior-year period.</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International total margin increased $51 million during the 2021 three-month period largely reflecting the translation effects of stronger foreign currencies (approximately $20 million) a</w:t>
      </w:r>
      <w:r>
        <w:rPr>
          <w:rFonts w:eastAsia="Times New Roman"/>
          <w:color w:val="000000"/>
          <w:sz w:val="20"/>
          <w:szCs w:val="20"/>
        </w:rPr>
        <w:t>nd the increase in bulk and cylinder volumes compared to the prior-year period. These positive impacts were partially offset by a slight decrease in average LPG unit margins.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International operating income and earnings before interest expense and inc</w:t>
      </w:r>
      <w:r>
        <w:rPr>
          <w:rFonts w:eastAsia="Times New Roman"/>
          <w:color w:val="000000"/>
          <w:sz w:val="20"/>
          <w:szCs w:val="20"/>
        </w:rPr>
        <w:t>ome taxes increased $23 million and $20 million, respectively, during the 2021 three-month period compared to the prior-year period. The increase in operating income principally reflects the increase in total margin partially offset by higher operating and</w:t>
      </w:r>
      <w:r>
        <w:rPr>
          <w:rFonts w:eastAsia="Times New Roman"/>
          <w:color w:val="000000"/>
          <w:sz w:val="20"/>
          <w:szCs w:val="20"/>
        </w:rPr>
        <w:t xml:space="preserve"> administrative expenses ($23 million) which reflects, among other things, the effects of stronger foreign currencies (approximately $13 million) compared to the </w:t>
      </w:r>
    </w:p>
    <w:p w:rsidR="00000000" w:rsidRDefault="005D625B">
      <w:pPr>
        <w:jc w:val="center"/>
        <w:divId w:val="1835951341"/>
        <w:rPr>
          <w:rFonts w:eastAsia="Times New Roman"/>
        </w:rPr>
      </w:pPr>
      <w:r>
        <w:rPr>
          <w:rFonts w:eastAsia="Times New Roman"/>
          <w:color w:val="000000"/>
          <w:sz w:val="20"/>
          <w:szCs w:val="20"/>
        </w:rPr>
        <w:t>44</w:t>
      </w:r>
    </w:p>
    <w:p w:rsidR="00000000" w:rsidRDefault="005D625B">
      <w:pPr>
        <w:rPr>
          <w:rFonts w:eastAsia="Times New Roman"/>
        </w:rPr>
      </w:pPr>
      <w:r>
        <w:rPr>
          <w:rFonts w:eastAsia="Times New Roman"/>
        </w:rPr>
        <w:pict>
          <v:rect id="_x0000_i1070" style="width:0;height:1.5pt" o:hralign="center" o:hrstd="t" o:hr="t" fillcolor="#a0a0a0" stroked="f"/>
        </w:pict>
      </w:r>
    </w:p>
    <w:p w:rsidR="00000000" w:rsidRDefault="005D625B">
      <w:pPr>
        <w:divId w:val="1765301562"/>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668756393"/>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color w:val="000000"/>
          <w:sz w:val="20"/>
          <w:szCs w:val="20"/>
        </w:rPr>
        <w:t>prior-year period, higher maintenance and distribution costs related to the increased volumes, and increased employee costs. The increase in earnings before interest expense and income taxes in the 202</w:t>
      </w:r>
      <w:r>
        <w:rPr>
          <w:rFonts w:eastAsia="Times New Roman"/>
          <w:color w:val="000000"/>
          <w:sz w:val="20"/>
          <w:szCs w:val="20"/>
        </w:rPr>
        <w:t>1 three-month period largely reflects the higher operating income partially offset by lower realized gains on foreign currency exchange contracts entered into in order to reduce volatility in UGI International earnings resulting from the effects of changes</w:t>
      </w:r>
      <w:r>
        <w:rPr>
          <w:rFonts w:eastAsia="Times New Roman"/>
          <w:color w:val="000000"/>
          <w:sz w:val="20"/>
          <w:szCs w:val="20"/>
        </w:rPr>
        <w:t xml:space="preserve"> in foreign currency exchange rates ($2 million). </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Midstream &amp; Marketing</w:t>
      </w:r>
    </w:p>
    <w:tbl>
      <w:tblPr>
        <w:tblW w:w="4992" w:type="pct"/>
        <w:tblCellMar>
          <w:top w:w="15" w:type="dxa"/>
          <w:left w:w="15" w:type="dxa"/>
          <w:bottom w:w="15" w:type="dxa"/>
          <w:right w:w="15" w:type="dxa"/>
        </w:tblCellMar>
        <w:tblLook w:val="04A0" w:firstRow="1" w:lastRow="0" w:firstColumn="1" w:lastColumn="0" w:noHBand="0" w:noVBand="1"/>
      </w:tblPr>
      <w:tblGrid>
        <w:gridCol w:w="39"/>
        <w:gridCol w:w="3667"/>
        <w:gridCol w:w="38"/>
        <w:gridCol w:w="36"/>
        <w:gridCol w:w="36"/>
        <w:gridCol w:w="36"/>
        <w:gridCol w:w="120"/>
        <w:gridCol w:w="858"/>
        <w:gridCol w:w="36"/>
        <w:gridCol w:w="36"/>
        <w:gridCol w:w="36"/>
        <w:gridCol w:w="36"/>
        <w:gridCol w:w="120"/>
        <w:gridCol w:w="858"/>
        <w:gridCol w:w="36"/>
        <w:gridCol w:w="36"/>
        <w:gridCol w:w="36"/>
        <w:gridCol w:w="36"/>
        <w:gridCol w:w="120"/>
        <w:gridCol w:w="858"/>
        <w:gridCol w:w="36"/>
        <w:gridCol w:w="36"/>
        <w:gridCol w:w="36"/>
        <w:gridCol w:w="36"/>
        <w:gridCol w:w="37"/>
        <w:gridCol w:w="851"/>
        <w:gridCol w:w="187"/>
      </w:tblGrid>
      <w:tr w:rsidR="00000000">
        <w:tc>
          <w:tcPr>
            <w:tcW w:w="50" w:type="pct"/>
            <w:vAlign w:val="center"/>
            <w:hideMark/>
          </w:tcPr>
          <w:p w:rsidR="00000000" w:rsidRDefault="005D625B">
            <w:pPr>
              <w:jc w:val="both"/>
              <w:rPr>
                <w:rFonts w:eastAsia="Times New Roman"/>
              </w:rPr>
            </w:pPr>
          </w:p>
        </w:tc>
        <w:tc>
          <w:tcPr>
            <w:tcW w:w="225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Increase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 xml:space="preserve">Revenues </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bl>
    <w:p w:rsidR="00000000" w:rsidRDefault="005D625B">
      <w:pPr>
        <w:ind w:hanging="360"/>
        <w:jc w:val="both"/>
        <w:rPr>
          <w:rFonts w:eastAsia="Times New Roman"/>
        </w:rPr>
      </w:pPr>
      <w:r>
        <w:rPr>
          <w:rFonts w:eastAsia="Times New Roman"/>
          <w:color w:val="000000"/>
          <w:sz w:val="20"/>
          <w:szCs w:val="20"/>
        </w:rPr>
        <w:t>(a)Total margin represents revenues less cost of sales.</w:t>
      </w:r>
    </w:p>
    <w:p w:rsidR="00000000" w:rsidRDefault="005D625B">
      <w:pPr>
        <w:divId w:val="921597986"/>
        <w:rPr>
          <w:rFonts w:eastAsia="Times New Roman"/>
        </w:rPr>
      </w:pPr>
    </w:p>
    <w:p w:rsidR="00000000" w:rsidRDefault="005D625B">
      <w:pPr>
        <w:jc w:val="both"/>
        <w:rPr>
          <w:rFonts w:eastAsia="Times New Roman"/>
        </w:rPr>
      </w:pPr>
      <w:r>
        <w:rPr>
          <w:rFonts w:eastAsia="Times New Roman"/>
          <w:color w:val="000000"/>
          <w:sz w:val="20"/>
          <w:szCs w:val="20"/>
        </w:rPr>
        <w:t>Average temperatures across Midstream &amp; Marketing’s energy marketing territory duri</w:t>
      </w:r>
      <w:r>
        <w:rPr>
          <w:rFonts w:eastAsia="Times New Roman"/>
          <w:color w:val="000000"/>
          <w:sz w:val="20"/>
          <w:szCs w:val="20"/>
        </w:rPr>
        <w:t xml:space="preserve">ng the 2021 three-month period were 1.5% warmer than normal and 18.6% warmer than the prior-year period. Beginning in Fiscal 2021, deviation from average heating degree days is determined on a rolling 10-year period utilizing volume-weighted weather data. </w:t>
      </w:r>
      <w:r>
        <w:rPr>
          <w:rFonts w:eastAsia="Times New Roman"/>
          <w:color w:val="000000"/>
          <w:sz w:val="20"/>
          <w:szCs w:val="20"/>
        </w:rPr>
        <w:t>Prior-period amounts have been restated to conform to the current-period presentation. Midstream &amp; Marketing’s prior year results include contributions from its HVAC business and ownership interest in Conemaugh, both of which were sold in September 2020.</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Midstream &amp; Marketing revenues for the 2021 three-month period were $39 million higher than the prior-year period principally reflecting increased revenues from natural gas marketing and gathering activities ($37 million), renewable energy marketing activ</w:t>
      </w:r>
      <w:r>
        <w:rPr>
          <w:rFonts w:eastAsia="Times New Roman"/>
          <w:color w:val="000000"/>
          <w:sz w:val="20"/>
          <w:szCs w:val="20"/>
        </w:rPr>
        <w:t xml:space="preserve">ities ($5 million), and capacity management activities ($4 million). These revenue increases were partially offset by the absence of revenues attributable to its former HVAC business and ownership interest in Conemaugh ($14 million). Midstream &amp; Marketing </w:t>
      </w:r>
      <w:r>
        <w:rPr>
          <w:rFonts w:eastAsia="Times New Roman"/>
          <w:color w:val="000000"/>
          <w:sz w:val="20"/>
          <w:szCs w:val="20"/>
        </w:rPr>
        <w:t>cost of sales were $196 million in the 2021 three-month period compared to $158 million in the prior-year period. This $38 million increase largely reflects increased cost of sales attributable to natural gas ($34 million) and renewable energy ($4 million)</w:t>
      </w:r>
      <w:r>
        <w:rPr>
          <w:rFonts w:eastAsia="Times New Roman"/>
          <w:color w:val="000000"/>
          <w:sz w:val="20"/>
          <w:szCs w:val="20"/>
        </w:rPr>
        <w:t xml:space="preserve"> marketing activities, partially offset by the absence of costs attributable to HVAC and Conemaugh ($6 million). The significant increases in both natural gas revenues and cost of sales during the 2021 three-month period are largely attributable to higher </w:t>
      </w:r>
      <w:r>
        <w:rPr>
          <w:rFonts w:eastAsia="Times New Roman"/>
          <w:color w:val="000000"/>
          <w:sz w:val="20"/>
          <w:szCs w:val="20"/>
        </w:rPr>
        <w:t xml:space="preserve">average natural gas prices compared to the prior-year period partially offset by lower volumes.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Midstream &amp; Marketing total margin increased slightly in the 2021 three-month period reflecting, among other things, improved margin from capacity management</w:t>
      </w:r>
      <w:r>
        <w:rPr>
          <w:rFonts w:eastAsia="Times New Roman"/>
          <w:color w:val="000000"/>
          <w:sz w:val="20"/>
          <w:szCs w:val="20"/>
        </w:rPr>
        <w:t>, gas gathering, and renewable energy marketing activities compared to the prior-year period. These positive factors, which include the impact of acquisitions and new assets placed into service since June 30, 2020, were largely offset by the absence of mar</w:t>
      </w:r>
      <w:r>
        <w:rPr>
          <w:rFonts w:eastAsia="Times New Roman"/>
          <w:color w:val="000000"/>
          <w:sz w:val="20"/>
          <w:szCs w:val="20"/>
        </w:rPr>
        <w:t xml:space="preserve">gins attributable to HVAC and Conemaugh in 2021 three-month period.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Midstream &amp; Marketing operating income and earnings before interest expense and income taxes both increased slightly during the 2021 three-month period principally reflecting the increa</w:t>
      </w:r>
      <w:r>
        <w:rPr>
          <w:rFonts w:eastAsia="Times New Roman"/>
          <w:color w:val="000000"/>
          <w:sz w:val="20"/>
          <w:szCs w:val="20"/>
        </w:rPr>
        <w:t>se in total margin compared to the prior-year period and, with regard to earnings before interest expense and income taxes, incremental equity income from its 2021 investment in Pine Run. Operating and administrative expenses were consistent with the prior</w:t>
      </w:r>
      <w:r>
        <w:rPr>
          <w:rFonts w:eastAsia="Times New Roman"/>
          <w:color w:val="000000"/>
          <w:sz w:val="20"/>
          <w:szCs w:val="20"/>
        </w:rPr>
        <w:t>-year period as the absence of expenses related to the previously mentioned divested assets was largely offset by increased employee and benefits-related costs compared to the prior-year period and higher expenses attributable to acquisitions and new asset</w:t>
      </w:r>
      <w:r>
        <w:rPr>
          <w:rFonts w:eastAsia="Times New Roman"/>
          <w:color w:val="000000"/>
          <w:sz w:val="20"/>
          <w:szCs w:val="20"/>
        </w:rPr>
        <w:t>s placed into service.</w:t>
      </w:r>
    </w:p>
    <w:p w:rsidR="00000000" w:rsidRDefault="005D625B">
      <w:pPr>
        <w:jc w:val="both"/>
        <w:rPr>
          <w:rFonts w:eastAsia="Times New Roman"/>
        </w:rPr>
      </w:pPr>
    </w:p>
    <w:p w:rsidR="00000000" w:rsidRDefault="005D625B">
      <w:pPr>
        <w:jc w:val="center"/>
        <w:divId w:val="1380325417"/>
        <w:rPr>
          <w:rFonts w:eastAsia="Times New Roman"/>
        </w:rPr>
      </w:pPr>
      <w:r>
        <w:rPr>
          <w:rFonts w:eastAsia="Times New Roman"/>
          <w:color w:val="000000"/>
          <w:sz w:val="20"/>
          <w:szCs w:val="20"/>
        </w:rPr>
        <w:t>45</w:t>
      </w:r>
    </w:p>
    <w:p w:rsidR="00000000" w:rsidRDefault="005D625B">
      <w:pPr>
        <w:rPr>
          <w:rFonts w:eastAsia="Times New Roman"/>
        </w:rPr>
      </w:pPr>
      <w:r>
        <w:rPr>
          <w:rFonts w:eastAsia="Times New Roman"/>
        </w:rPr>
        <w:pict>
          <v:rect id="_x0000_i1071" style="width:0;height:1.5pt" o:hralign="center" o:hrstd="t" o:hr="t" fillcolor="#a0a0a0" stroked="f"/>
        </w:pict>
      </w:r>
    </w:p>
    <w:p w:rsidR="00000000" w:rsidRDefault="005D625B">
      <w:pPr>
        <w:divId w:val="219368351"/>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614941583"/>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b/>
          <w:bCs/>
          <w:i/>
          <w:iCs/>
          <w:color w:val="000000"/>
          <w:sz w:val="20"/>
          <w:szCs w:val="20"/>
        </w:rPr>
        <w:t>UGI Utilities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061"/>
        <w:gridCol w:w="38"/>
        <w:gridCol w:w="36"/>
        <w:gridCol w:w="36"/>
        <w:gridCol w:w="36"/>
        <w:gridCol w:w="120"/>
        <w:gridCol w:w="718"/>
        <w:gridCol w:w="187"/>
        <w:gridCol w:w="36"/>
        <w:gridCol w:w="36"/>
        <w:gridCol w:w="36"/>
        <w:gridCol w:w="120"/>
        <w:gridCol w:w="730"/>
        <w:gridCol w:w="187"/>
        <w:gridCol w:w="36"/>
        <w:gridCol w:w="36"/>
        <w:gridCol w:w="36"/>
        <w:gridCol w:w="121"/>
        <w:gridCol w:w="672"/>
        <w:gridCol w:w="36"/>
        <w:gridCol w:w="36"/>
        <w:gridCol w:w="36"/>
        <w:gridCol w:w="36"/>
        <w:gridCol w:w="40"/>
        <w:gridCol w:w="593"/>
        <w:gridCol w:w="187"/>
      </w:tblGrid>
      <w:tr w:rsidR="00000000">
        <w:trPr>
          <w:jc w:val="center"/>
        </w:trPr>
        <w:tc>
          <w:tcPr>
            <w:tcW w:w="50" w:type="pct"/>
            <w:vAlign w:val="center"/>
            <w:hideMark/>
          </w:tcPr>
          <w:p w:rsidR="00000000" w:rsidRDefault="005D625B">
            <w:pPr>
              <w:jc w:val="both"/>
              <w:rPr>
                <w:rFonts w:eastAsia="Times New Roman"/>
              </w:rPr>
            </w:pPr>
          </w:p>
        </w:tc>
        <w:tc>
          <w:tcPr>
            <w:tcW w:w="252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0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 the three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Increase (Decrease)</w:t>
            </w: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Gas Utility system throughput—bcf</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Core market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Gas Utility heating degree days—% colder than normal (b)</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ind w:hanging="360"/>
        <w:jc w:val="both"/>
        <w:rPr>
          <w:rFonts w:eastAsia="Times New Roman"/>
        </w:rPr>
      </w:pPr>
      <w:r>
        <w:rPr>
          <w:rFonts w:eastAsia="Times New Roman"/>
          <w:color w:val="000000"/>
          <w:sz w:val="20"/>
          <w:szCs w:val="20"/>
        </w:rPr>
        <w:t>(a)Total margin represents revenues less cost of sales and revenue-related taxes (i.e., Electric Utility gross receipts taxes) of $1 million during both the 2021 and 2020 three-month periods. For financial statement purposes, revenue-</w:t>
      </w:r>
      <w:r>
        <w:rPr>
          <w:rFonts w:eastAsia="Times New Roman"/>
          <w:color w:val="000000"/>
          <w:sz w:val="20"/>
          <w:szCs w:val="20"/>
        </w:rPr>
        <w:t>related taxes are included in “Operating and administrative expenses” on the Condensed Consolidated Statements of Income (but are excluded from operating and administrative expenses presented above).</w:t>
      </w:r>
    </w:p>
    <w:p w:rsidR="00000000" w:rsidRDefault="005D625B">
      <w:pPr>
        <w:ind w:hanging="360"/>
        <w:jc w:val="both"/>
        <w:rPr>
          <w:rFonts w:eastAsia="Times New Roman"/>
        </w:rPr>
      </w:pPr>
      <w:r>
        <w:rPr>
          <w:rFonts w:eastAsia="Times New Roman"/>
          <w:color w:val="000000"/>
          <w:sz w:val="20"/>
          <w:szCs w:val="20"/>
        </w:rPr>
        <w:t>(b)Beginning in Fiscal 2021, deviation from average heat</w:t>
      </w:r>
      <w:r>
        <w:rPr>
          <w:rFonts w:eastAsia="Times New Roman"/>
          <w:color w:val="000000"/>
          <w:sz w:val="20"/>
          <w:szCs w:val="20"/>
        </w:rPr>
        <w:t>ing degree days is determined on a rolling 10-year period utilizing volume-weighted weather data based on weather statistics provided by NOAA for airports located within Gas Utility’s service territory. Prior-period amounts have been restated to conform to</w:t>
      </w:r>
      <w:r>
        <w:rPr>
          <w:rFonts w:eastAsia="Times New Roman"/>
          <w:color w:val="000000"/>
          <w:sz w:val="20"/>
          <w:szCs w:val="20"/>
        </w:rPr>
        <w:t xml:space="preserve"> the current-period presentation. </w:t>
      </w:r>
    </w:p>
    <w:p w:rsidR="00000000" w:rsidRDefault="005D625B">
      <w:pPr>
        <w:jc w:val="both"/>
        <w:rPr>
          <w:rFonts w:eastAsia="Times New Roman"/>
        </w:rPr>
      </w:pPr>
    </w:p>
    <w:p w:rsidR="00000000" w:rsidRDefault="005D625B">
      <w:pPr>
        <w:jc w:val="both"/>
        <w:divId w:val="1124496239"/>
        <w:rPr>
          <w:rFonts w:eastAsia="Times New Roman"/>
        </w:rPr>
      </w:pPr>
      <w:r>
        <w:rPr>
          <w:rFonts w:eastAsia="Times New Roman"/>
          <w:color w:val="000000"/>
          <w:sz w:val="20"/>
          <w:szCs w:val="20"/>
        </w:rPr>
        <w:t>Temperatures in Gas Utility’s service territory during the 2021 three-month period were 5.0% colder than normal but 16.2% warmer than the prior-year period. Gas Utility core market volumes decreased 17% (2 bcf) during t</w:t>
      </w:r>
      <w:r>
        <w:rPr>
          <w:rFonts w:eastAsia="Times New Roman"/>
          <w:color w:val="000000"/>
          <w:sz w:val="20"/>
          <w:szCs w:val="20"/>
        </w:rPr>
        <w:t>he 2021 three-month period largely related to the effects of warmer weather compared with the prior-year period, partially offset by growth in the number of core market customers. Total Gas Utility distribution system throughput increased slightly during t</w:t>
      </w:r>
      <w:r>
        <w:rPr>
          <w:rFonts w:eastAsia="Times New Roman"/>
          <w:color w:val="000000"/>
          <w:sz w:val="20"/>
          <w:szCs w:val="20"/>
        </w:rPr>
        <w:t>he 2021 three-month period (1 bcf) reflecting higher large delivery services volumes largely offset by the decreased core market volumes. Electric Utility distribution sales volumes increased during the 2021 three-month period largely related to warmer wea</w:t>
      </w:r>
      <w:r>
        <w:rPr>
          <w:rFonts w:eastAsia="Times New Roman"/>
          <w:color w:val="000000"/>
          <w:sz w:val="20"/>
          <w:szCs w:val="20"/>
        </w:rPr>
        <w:t>ther during the cooling season.</w:t>
      </w:r>
    </w:p>
    <w:p w:rsidR="00000000" w:rsidRDefault="005D625B">
      <w:pPr>
        <w:jc w:val="both"/>
        <w:rPr>
          <w:rFonts w:eastAsia="Times New Roman"/>
        </w:rPr>
      </w:pPr>
      <w:r>
        <w:rPr>
          <w:rFonts w:eastAsia="Times New Roman"/>
          <w:color w:val="000000"/>
          <w:sz w:val="20"/>
          <w:szCs w:val="20"/>
        </w:rPr>
        <w:t>UGI Utilities revenues increased $2 million in the 2021 three-month period primarily attributable to an increase in Electric Utility revenues due to the increased distribution sales volumes compared to the prior-year period.</w:t>
      </w:r>
      <w:r>
        <w:rPr>
          <w:rFonts w:eastAsia="Times New Roman"/>
          <w:color w:val="000000"/>
          <w:sz w:val="20"/>
          <w:szCs w:val="20"/>
        </w:rPr>
        <w:t xml:space="preserve"> Gas Utility revenues were consistent with the prior-year period as higher revenues associated with off-system sales, large delivery service sales, and the increase in base rates that went into effect on January 1, 2021 were offset by the decrease in core </w:t>
      </w:r>
      <w:r>
        <w:rPr>
          <w:rFonts w:eastAsia="Times New Roman"/>
          <w:color w:val="000000"/>
          <w:sz w:val="20"/>
          <w:szCs w:val="20"/>
        </w:rPr>
        <w:t>market volumes.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Utilities cost of sales was $67 million in the 2021 three-month period compared with $68 million in the prior-year period. The slight decrease reflects lower Gas Utility core market volumes partially offset by higher costs associated with off-system sa</w:t>
      </w:r>
      <w:r>
        <w:rPr>
          <w:rFonts w:eastAsia="Times New Roman"/>
          <w:color w:val="000000"/>
          <w:sz w:val="20"/>
          <w:szCs w:val="20"/>
        </w:rPr>
        <w:t>les.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Utilities total margin increased $3 million during the 2021 three-month period reflecting slight improvements in both Gas Utility and Electric Utility margins compared to the prior-year period. This increase in Gas Utility margin reflects the in</w:t>
      </w:r>
      <w:r>
        <w:rPr>
          <w:rFonts w:eastAsia="Times New Roman"/>
          <w:color w:val="000000"/>
          <w:sz w:val="20"/>
          <w:szCs w:val="20"/>
        </w:rPr>
        <w:t>crease in base rates that went into effect on January 1, 2021 and higher customer account fees, partially offset by the decrease in core market volumes. The increase in Electric Utility margin is largely attributable to the increase in distribution sales v</w:t>
      </w:r>
      <w:r>
        <w:rPr>
          <w:rFonts w:eastAsia="Times New Roman"/>
          <w:color w:val="000000"/>
          <w:sz w:val="20"/>
          <w:szCs w:val="20"/>
        </w:rPr>
        <w:t>olumes compared to the prior-year period.</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Utilities operating income and earnings before interest expense and income taxes increased $3 million and $4 million, respectively, during the 2021 three-month period. These improvements reflect the previousl</w:t>
      </w:r>
      <w:r>
        <w:rPr>
          <w:rFonts w:eastAsia="Times New Roman"/>
          <w:color w:val="000000"/>
          <w:sz w:val="20"/>
          <w:szCs w:val="20"/>
        </w:rPr>
        <w:t>y mentioned increase in total margin and lower operating and administrative expenses ($2 million), partially offset by higher depreciation expense ($3 million) compared to the prior-year period. The increase in depreciation expense relates to continued dis</w:t>
      </w:r>
      <w:r>
        <w:rPr>
          <w:rFonts w:eastAsia="Times New Roman"/>
          <w:color w:val="000000"/>
          <w:sz w:val="20"/>
          <w:szCs w:val="20"/>
        </w:rPr>
        <w:t>tribution system and IT capital expenditure activity. The decrease in operating and administrative expenses reflects, among other things, lower uncollectible accounts expense, lower payroll taxes, and lower environmental expenses compared to the prior-year</w:t>
      </w:r>
      <w:r>
        <w:rPr>
          <w:rFonts w:eastAsia="Times New Roman"/>
          <w:color w:val="000000"/>
          <w:sz w:val="20"/>
          <w:szCs w:val="20"/>
        </w:rPr>
        <w:t xml:space="preserve"> period. These positive impacts were partially offset by higher contracted labor costs. </w:t>
      </w:r>
    </w:p>
    <w:p w:rsidR="00000000" w:rsidRDefault="005D625B">
      <w:pPr>
        <w:jc w:val="both"/>
        <w:rPr>
          <w:rFonts w:eastAsia="Times New Roman"/>
        </w:rPr>
      </w:pPr>
    </w:p>
    <w:p w:rsidR="00000000" w:rsidRDefault="005D625B">
      <w:pPr>
        <w:jc w:val="center"/>
        <w:divId w:val="93676969"/>
        <w:rPr>
          <w:rFonts w:eastAsia="Times New Roman"/>
        </w:rPr>
      </w:pPr>
      <w:r>
        <w:rPr>
          <w:rFonts w:eastAsia="Times New Roman"/>
          <w:color w:val="000000"/>
          <w:sz w:val="20"/>
          <w:szCs w:val="20"/>
        </w:rPr>
        <w:t>46</w:t>
      </w:r>
    </w:p>
    <w:p w:rsidR="00000000" w:rsidRDefault="005D625B">
      <w:pPr>
        <w:rPr>
          <w:rFonts w:eastAsia="Times New Roman"/>
        </w:rPr>
      </w:pPr>
      <w:r>
        <w:rPr>
          <w:rFonts w:eastAsia="Times New Roman"/>
        </w:rPr>
        <w:pict>
          <v:rect id="_x0000_i1072" style="width:0;height:1.5pt" o:hralign="center" o:hrstd="t" o:hr="t" fillcolor="#a0a0a0" stroked="f"/>
        </w:pict>
      </w:r>
    </w:p>
    <w:p w:rsidR="00000000" w:rsidRDefault="005D625B">
      <w:pPr>
        <w:divId w:val="1565021734"/>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470681578"/>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b/>
          <w:bCs/>
          <w:i/>
          <w:iCs/>
          <w:color w:val="000000"/>
          <w:sz w:val="20"/>
          <w:szCs w:val="20"/>
        </w:rPr>
        <w:t xml:space="preserve">Interest Expense </w:t>
      </w:r>
      <w:r>
        <w:rPr>
          <w:rFonts w:eastAsia="Times New Roman"/>
          <w:b/>
          <w:bCs/>
          <w:i/>
          <w:iCs/>
          <w:color w:val="000000"/>
          <w:sz w:val="20"/>
          <w:szCs w:val="20"/>
        </w:rPr>
        <w:t>and Income Taxes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Our consolidated interest expense during the 2021 three-month period was $77 million, compared to $80 million during the 2020 three-month period. The decrease in interest expense principally reflects lower average short-term borrowings o</w:t>
      </w:r>
      <w:r>
        <w:rPr>
          <w:rFonts w:eastAsia="Times New Roman"/>
          <w:color w:val="000000"/>
          <w:sz w:val="20"/>
          <w:szCs w:val="20"/>
        </w:rPr>
        <w:t>utstanding compared to the prior-year period.</w:t>
      </w:r>
    </w:p>
    <w:p w:rsidR="00000000" w:rsidRDefault="005D625B">
      <w:pPr>
        <w:jc w:val="both"/>
        <w:rPr>
          <w:rFonts w:eastAsia="Times New Roman"/>
        </w:rPr>
      </w:pPr>
    </w:p>
    <w:p w:rsidR="00000000" w:rsidRDefault="005D625B">
      <w:pPr>
        <w:jc w:val="both"/>
        <w:divId w:val="531697330"/>
        <w:rPr>
          <w:rFonts w:eastAsia="Times New Roman"/>
        </w:rPr>
      </w:pPr>
      <w:r>
        <w:rPr>
          <w:rFonts w:eastAsia="Times New Roman"/>
          <w:color w:val="000000"/>
          <w:sz w:val="20"/>
          <w:szCs w:val="20"/>
        </w:rPr>
        <w:t>The higher effective income tax rate for the 2021 three-month period is largely attributable to a lower NOL carryback benefit under the CARES Act compared to the prior-year period and an increase in foreign r</w:t>
      </w:r>
      <w:r>
        <w:rPr>
          <w:rFonts w:eastAsia="Times New Roman"/>
          <w:color w:val="000000"/>
          <w:sz w:val="20"/>
          <w:szCs w:val="20"/>
        </w:rPr>
        <w:t>ate differential due to a shift in domestic versus foreign earnings, partially offset by lower U.S. tax on foreign source income including the effects of regulations issued in July 2020 related to the high-tax exception on GILTI income. The increase in the</w:t>
      </w:r>
      <w:r>
        <w:rPr>
          <w:rFonts w:eastAsia="Times New Roman"/>
          <w:color w:val="000000"/>
          <w:sz w:val="20"/>
          <w:szCs w:val="20"/>
        </w:rPr>
        <w:t xml:space="preserve"> effective income tax rate also reflects the effects of discrete tax items on lower pre-tax income during the prior year period. </w:t>
      </w:r>
    </w:p>
    <w:p w:rsidR="00000000" w:rsidRDefault="005D625B">
      <w:pPr>
        <w:jc w:val="both"/>
        <w:divId w:val="1241982158"/>
        <w:rPr>
          <w:rFonts w:eastAsia="Times New Roman"/>
        </w:rPr>
      </w:pPr>
      <w:r>
        <w:rPr>
          <w:rFonts w:eastAsia="Times New Roman"/>
          <w:color w:val="000000"/>
          <w:sz w:val="20"/>
          <w:szCs w:val="20"/>
        </w:rPr>
        <w:t>The Company continues to evaluate the elections available under current regulations, recent government stimulus efforts including the anticipated benefits mentioned above related to the election made in connection with the tax law change in Italy, the modi</w:t>
      </w:r>
      <w:r>
        <w:rPr>
          <w:rFonts w:eastAsia="Times New Roman"/>
          <w:color w:val="000000"/>
          <w:sz w:val="20"/>
          <w:szCs w:val="20"/>
        </w:rPr>
        <w:t>fied GILTI provisions, and the CARES Act. Accordingly, the impacts on the Company’s income tax provisions and taxes payable or refundable related to these items are subject to change.</w:t>
      </w:r>
    </w:p>
    <w:p w:rsidR="00000000" w:rsidRDefault="005D625B">
      <w:pPr>
        <w:divId w:val="252251839"/>
        <w:rPr>
          <w:rFonts w:eastAsia="Times New Roman"/>
        </w:rPr>
      </w:pPr>
      <w:r>
        <w:rPr>
          <w:rFonts w:eastAsia="Times New Roman"/>
          <w:b/>
          <w:bCs/>
          <w:color w:val="000000"/>
          <w:sz w:val="20"/>
          <w:szCs w:val="20"/>
        </w:rPr>
        <w:t>2021 Nine-Month Period Compared with the 2020 Nine-Month Period</w:t>
      </w:r>
    </w:p>
    <w:p w:rsidR="00000000" w:rsidRDefault="005D625B">
      <w:pPr>
        <w:divId w:val="1202400752"/>
        <w:rPr>
          <w:rFonts w:eastAsia="Times New Roman"/>
        </w:rPr>
      </w:pPr>
      <w:r>
        <w:rPr>
          <w:rFonts w:eastAsia="Times New Roman"/>
          <w:b/>
          <w:bCs/>
          <w:i/>
          <w:iCs/>
          <w:color w:val="000000"/>
          <w:sz w:val="20"/>
          <w:szCs w:val="20"/>
        </w:rPr>
        <w:t>AmeriGas</w:t>
      </w:r>
      <w:r>
        <w:rPr>
          <w:rFonts w:eastAsia="Times New Roman"/>
          <w:b/>
          <w:bCs/>
          <w:i/>
          <w:iCs/>
          <w:color w:val="000000"/>
          <w:sz w:val="20"/>
          <w:szCs w:val="20"/>
        </w:rPr>
        <w:t xml:space="preserve"> Propane</w:t>
      </w:r>
    </w:p>
    <w:tbl>
      <w:tblPr>
        <w:tblW w:w="4992" w:type="pct"/>
        <w:tblCellMar>
          <w:top w:w="15" w:type="dxa"/>
          <w:left w:w="15" w:type="dxa"/>
          <w:bottom w:w="15" w:type="dxa"/>
          <w:right w:w="15" w:type="dxa"/>
        </w:tblCellMar>
        <w:tblLook w:val="04A0" w:firstRow="1" w:lastRow="0" w:firstColumn="1" w:lastColumn="0" w:noHBand="0" w:noVBand="1"/>
      </w:tblPr>
      <w:tblGrid>
        <w:gridCol w:w="40"/>
        <w:gridCol w:w="3731"/>
        <w:gridCol w:w="39"/>
        <w:gridCol w:w="36"/>
        <w:gridCol w:w="36"/>
        <w:gridCol w:w="36"/>
        <w:gridCol w:w="120"/>
        <w:gridCol w:w="802"/>
        <w:gridCol w:w="187"/>
        <w:gridCol w:w="36"/>
        <w:gridCol w:w="36"/>
        <w:gridCol w:w="36"/>
        <w:gridCol w:w="120"/>
        <w:gridCol w:w="802"/>
        <w:gridCol w:w="187"/>
        <w:gridCol w:w="36"/>
        <w:gridCol w:w="36"/>
        <w:gridCol w:w="36"/>
        <w:gridCol w:w="121"/>
        <w:gridCol w:w="682"/>
        <w:gridCol w:w="37"/>
        <w:gridCol w:w="37"/>
        <w:gridCol w:w="37"/>
        <w:gridCol w:w="36"/>
        <w:gridCol w:w="36"/>
        <w:gridCol w:w="768"/>
        <w:gridCol w:w="187"/>
      </w:tblGrid>
      <w:tr w:rsidR="00000000">
        <w:tc>
          <w:tcPr>
            <w:tcW w:w="50" w:type="pct"/>
            <w:vAlign w:val="center"/>
            <w:hideMark/>
          </w:tcPr>
          <w:p w:rsidR="00000000" w:rsidRDefault="005D625B">
            <w:pPr>
              <w:rPr>
                <w:rFonts w:eastAsia="Times New Roman"/>
              </w:rPr>
            </w:pPr>
          </w:p>
        </w:tc>
        <w:tc>
          <w:tcPr>
            <w:tcW w:w="232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0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 the nine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2,132 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1,983 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1,162 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1,191 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680 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income/earnings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391 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815 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827 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Heating degree days—% warmer than normal (b)</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5D625B">
      <w:pPr>
        <w:ind w:hanging="360"/>
        <w:jc w:val="both"/>
        <w:rPr>
          <w:rFonts w:eastAsia="Times New Roman"/>
        </w:rPr>
      </w:pPr>
      <w:r>
        <w:rPr>
          <w:rFonts w:eastAsia="Times New Roman"/>
          <w:color w:val="000000"/>
          <w:sz w:val="20"/>
          <w:szCs w:val="20"/>
        </w:rPr>
        <w:t>(b)Beginning in Fiscal 2021, deviation from average heating</w:t>
      </w:r>
      <w:r>
        <w:rPr>
          <w:rFonts w:eastAsia="Times New Roman"/>
          <w:color w:val="000000"/>
          <w:sz w:val="20"/>
          <w:szCs w:val="20"/>
        </w:rPr>
        <w:t xml:space="preserve"> degree days is determined on a rolling 10-year period utilizing volume-weighted weather data based on weather statistics provided by NOAA for 344 regions in the United States, excluding Alaska and Hawaii. Prior-period amounts have been restated to conform</w:t>
      </w:r>
      <w:r>
        <w:rPr>
          <w:rFonts w:eastAsia="Times New Roman"/>
          <w:color w:val="000000"/>
          <w:sz w:val="20"/>
          <w:szCs w:val="20"/>
        </w:rPr>
        <w:t xml:space="preserve"> to the current-period presentation.</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Average temperatures during the 2021 nine-month period were 2.6% warmer than normal and 1.6% warmer than the prior-year period. Total retail gallons sold decreased slightly during the 2021 nine-month period principally reflecting structural conservation an</w:t>
      </w:r>
      <w:r>
        <w:rPr>
          <w:rFonts w:eastAsia="Times New Roman"/>
          <w:color w:val="000000"/>
          <w:sz w:val="20"/>
          <w:szCs w:val="20"/>
        </w:rPr>
        <w:t xml:space="preserve">d other residual volume loss and the greater impact of COVID-19 on commercial volumes compared to the prior-year period. These decreases were partially offset by higher resale and motor fuel volumes during the 2021 nine-month period.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Total revenues incr</w:t>
      </w:r>
      <w:r>
        <w:rPr>
          <w:rFonts w:eastAsia="Times New Roman"/>
          <w:color w:val="000000"/>
          <w:sz w:val="20"/>
          <w:szCs w:val="20"/>
        </w:rPr>
        <w:t>eased $149 million during the 2021 nine-month period largely reflecting higher average propane selling prices ($165 million) partially offset by the lower retail propane volumes ($24 million) compared to the prior-year period. Average daily wholesale propa</w:t>
      </w:r>
      <w:r>
        <w:rPr>
          <w:rFonts w:eastAsia="Times New Roman"/>
          <w:color w:val="000000"/>
          <w:sz w:val="20"/>
          <w:szCs w:val="20"/>
        </w:rPr>
        <w:t>ne commodity prices during the 2021 nine-month period at Mont Belvieu, Texas, one of the major supply points in the U.S., were approximately 83% higher than such prices during the 2020 nine-month period. Total cost of sales increased $178 million during th</w:t>
      </w:r>
      <w:r>
        <w:rPr>
          <w:rFonts w:eastAsia="Times New Roman"/>
          <w:color w:val="000000"/>
          <w:sz w:val="20"/>
          <w:szCs w:val="20"/>
        </w:rPr>
        <w:t>e 2021 nine-month period largely attributable to the higher average propane product costs ($172 million) and higher wholesale propane volumes ($12 million).</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AmeriGas Propane total margin decreased $29 million in the 2021 nine-month period largely attribu</w:t>
      </w:r>
      <w:r>
        <w:rPr>
          <w:rFonts w:eastAsia="Times New Roman"/>
          <w:color w:val="000000"/>
          <w:sz w:val="20"/>
          <w:szCs w:val="20"/>
        </w:rPr>
        <w:t xml:space="preserve">table to the lower retail propane volumes ($14 million), lower average retail unit margins ($6 million) and decreased non-propane margin ($9 million) principally reflecting lower fees and services partially offset by increased cylinder sales. Total margin </w:t>
      </w:r>
      <w:r>
        <w:rPr>
          <w:rFonts w:eastAsia="Times New Roman"/>
          <w:color w:val="000000"/>
          <w:sz w:val="20"/>
          <w:szCs w:val="20"/>
        </w:rPr>
        <w:t xml:space="preserve">for the current-year period also includes the continued impact of effective margin management efforts.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Operating income and earnings before interest expense and income taxes increased slightly during the 2021 nine-month period reflecting lower operating</w:t>
      </w:r>
      <w:r>
        <w:rPr>
          <w:rFonts w:eastAsia="Times New Roman"/>
          <w:color w:val="000000"/>
          <w:sz w:val="20"/>
          <w:szCs w:val="20"/>
        </w:rPr>
        <w:t xml:space="preserve"> and administrative expenses ($14 million) compared to the prior-year period, higher other income ($12 million) attributable to customer fees and gains on the early settlement of certain commodity derivative instruments during the 2021 nine-month period, a</w:t>
      </w:r>
      <w:r>
        <w:rPr>
          <w:rFonts w:eastAsia="Times New Roman"/>
          <w:color w:val="000000"/>
          <w:sz w:val="20"/>
          <w:szCs w:val="20"/>
        </w:rPr>
        <w:t xml:space="preserve">nd lower depreciation and amortization expense ($4 million). These positive impacts were </w:t>
      </w:r>
    </w:p>
    <w:p w:rsidR="00000000" w:rsidRDefault="005D625B">
      <w:pPr>
        <w:jc w:val="center"/>
        <w:divId w:val="227305232"/>
        <w:rPr>
          <w:rFonts w:eastAsia="Times New Roman"/>
        </w:rPr>
      </w:pPr>
      <w:r>
        <w:rPr>
          <w:rFonts w:eastAsia="Times New Roman"/>
          <w:color w:val="000000"/>
          <w:sz w:val="20"/>
          <w:szCs w:val="20"/>
        </w:rPr>
        <w:t>47</w:t>
      </w:r>
    </w:p>
    <w:p w:rsidR="00000000" w:rsidRDefault="005D625B">
      <w:pPr>
        <w:rPr>
          <w:rFonts w:eastAsia="Times New Roman"/>
        </w:rPr>
      </w:pPr>
      <w:r>
        <w:rPr>
          <w:rFonts w:eastAsia="Times New Roman"/>
        </w:rPr>
        <w:pict>
          <v:rect id="_x0000_i1073" style="width:0;height:1.5pt" o:hralign="center" o:hrstd="t" o:hr="t" fillcolor="#a0a0a0" stroked="f"/>
        </w:pict>
      </w:r>
    </w:p>
    <w:p w:rsidR="00000000" w:rsidRDefault="005D625B">
      <w:pPr>
        <w:divId w:val="29190288"/>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215750852"/>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color w:val="000000"/>
          <w:sz w:val="20"/>
          <w:szCs w:val="20"/>
        </w:rPr>
        <w:t>largely offset by</w:t>
      </w:r>
      <w:r>
        <w:rPr>
          <w:rFonts w:eastAsia="Times New Roman"/>
          <w:color w:val="000000"/>
          <w:sz w:val="20"/>
          <w:szCs w:val="20"/>
        </w:rPr>
        <w:t xml:space="preserve"> the previously mentioned decrease in total margin ($29 million). The decrease in operating and administrative expenses in the 2021 nine-month period reflects, among other things, lower employee compensation and benefits-related costs ($11 million), decrea</w:t>
      </w:r>
      <w:r>
        <w:rPr>
          <w:rFonts w:eastAsia="Times New Roman"/>
          <w:color w:val="000000"/>
          <w:sz w:val="20"/>
          <w:szCs w:val="20"/>
        </w:rPr>
        <w:t>sed vehicle and equipment operating and maintenance expenses ($8 million), and lower general insurance costs ($7 million) compared to the prior-year period. These decreases were partially offset by increased advertising expenses ($4 million), higher teleco</w:t>
      </w:r>
      <w:r>
        <w:rPr>
          <w:rFonts w:eastAsia="Times New Roman"/>
          <w:color w:val="000000"/>
          <w:sz w:val="20"/>
          <w:szCs w:val="20"/>
        </w:rPr>
        <w:t>mmunications expenses ($4 million), and higher allocated corporate costs ($3 million) compared to the prior-year period. The lower operating and administrative expenses reflect the partial benefits related to the previously mentioned ongoing business trans</w:t>
      </w:r>
      <w:r>
        <w:rPr>
          <w:rFonts w:eastAsia="Times New Roman"/>
          <w:color w:val="000000"/>
          <w:sz w:val="20"/>
          <w:szCs w:val="20"/>
        </w:rPr>
        <w:t>formation initiatives.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UGI International</w:t>
      </w:r>
    </w:p>
    <w:tbl>
      <w:tblPr>
        <w:tblW w:w="5000" w:type="pct"/>
        <w:tblCellMar>
          <w:top w:w="15" w:type="dxa"/>
          <w:left w:w="15" w:type="dxa"/>
          <w:bottom w:w="15" w:type="dxa"/>
          <w:right w:w="15" w:type="dxa"/>
        </w:tblCellMar>
        <w:tblLook w:val="04A0" w:firstRow="1" w:lastRow="0" w:firstColumn="1" w:lastColumn="0" w:noHBand="0" w:noVBand="1"/>
      </w:tblPr>
      <w:tblGrid>
        <w:gridCol w:w="39"/>
        <w:gridCol w:w="3953"/>
        <w:gridCol w:w="38"/>
        <w:gridCol w:w="36"/>
        <w:gridCol w:w="36"/>
        <w:gridCol w:w="36"/>
        <w:gridCol w:w="120"/>
        <w:gridCol w:w="804"/>
        <w:gridCol w:w="187"/>
        <w:gridCol w:w="36"/>
        <w:gridCol w:w="36"/>
        <w:gridCol w:w="36"/>
        <w:gridCol w:w="120"/>
        <w:gridCol w:w="804"/>
        <w:gridCol w:w="187"/>
        <w:gridCol w:w="36"/>
        <w:gridCol w:w="36"/>
        <w:gridCol w:w="36"/>
        <w:gridCol w:w="120"/>
        <w:gridCol w:w="658"/>
        <w:gridCol w:w="36"/>
        <w:gridCol w:w="36"/>
        <w:gridCol w:w="36"/>
        <w:gridCol w:w="36"/>
        <w:gridCol w:w="37"/>
        <w:gridCol w:w="584"/>
        <w:gridCol w:w="187"/>
      </w:tblGrid>
      <w:tr w:rsidR="00000000">
        <w:trPr>
          <w:divId w:val="1559903119"/>
        </w:trPr>
        <w:tc>
          <w:tcPr>
            <w:tcW w:w="50" w:type="pct"/>
            <w:vAlign w:val="center"/>
            <w:hideMark/>
          </w:tcPr>
          <w:p w:rsidR="00000000" w:rsidRDefault="005D625B">
            <w:pPr>
              <w:jc w:val="both"/>
              <w:rPr>
                <w:rFonts w:eastAsia="Times New Roman"/>
              </w:rPr>
            </w:pPr>
          </w:p>
        </w:tc>
        <w:tc>
          <w:tcPr>
            <w:tcW w:w="245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9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7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559903119"/>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 the nine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Increase</w:t>
            </w:r>
          </w:p>
        </w:tc>
      </w:tr>
      <w:tr w:rsidR="00000000">
        <w:trPr>
          <w:divId w:val="155990311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1559903119"/>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2,106 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1,726 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380 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59903119"/>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877 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737 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59903119"/>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465 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419 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59903119"/>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322 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59903119"/>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326 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59903119"/>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644 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559903119"/>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Heating degree days—</w:t>
            </w:r>
            <w:r>
              <w:rPr>
                <w:rFonts w:eastAsia="Times New Roman"/>
                <w:color w:val="000000"/>
                <w:sz w:val="20"/>
                <w:szCs w:val="20"/>
              </w:rPr>
              <w:t>% colder (warmer) than normal (b)</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ind w:hanging="360"/>
        <w:jc w:val="both"/>
        <w:rPr>
          <w:rFonts w:eastAsia="Times New Roman"/>
        </w:rPr>
      </w:pPr>
      <w:r>
        <w:rPr>
          <w:rFonts w:eastAsia="Times New Roman"/>
          <w:color w:val="000000"/>
          <w:sz w:val="20"/>
          <w:szCs w:val="20"/>
        </w:rPr>
        <w:t>(a)Total ma</w:t>
      </w:r>
      <w:r>
        <w:rPr>
          <w:rFonts w:eastAsia="Times New Roman"/>
          <w:color w:val="000000"/>
          <w:sz w:val="20"/>
          <w:szCs w:val="20"/>
        </w:rPr>
        <w:t>rgin represents revenues less cost of sales and, in the 2020 nine-month period, LPG cylinder filling costs of $21 million. For financial statement purposes, LPG cylinder filling costs in the 2020 nine-month period are included in “Operating and administrat</w:t>
      </w:r>
      <w:r>
        <w:rPr>
          <w:rFonts w:eastAsia="Times New Roman"/>
          <w:color w:val="000000"/>
          <w:sz w:val="20"/>
          <w:szCs w:val="20"/>
        </w:rPr>
        <w:t>ive expenses” on the 2020 Condensed Consolidated Statement of Income (but are excluded from operating and administrative expenses presented above). LPG cylinder filling costs are included in “Cost of sales” on the 2021 Condensed Consolidated Statement of I</w:t>
      </w:r>
      <w:r>
        <w:rPr>
          <w:rFonts w:eastAsia="Times New Roman"/>
          <w:color w:val="000000"/>
          <w:sz w:val="20"/>
          <w:szCs w:val="20"/>
        </w:rPr>
        <w:t>ncome.</w:t>
      </w:r>
    </w:p>
    <w:p w:rsidR="00000000" w:rsidRDefault="005D625B">
      <w:pPr>
        <w:ind w:hanging="360"/>
        <w:jc w:val="both"/>
        <w:rPr>
          <w:rFonts w:eastAsia="Times New Roman"/>
        </w:rPr>
      </w:pPr>
      <w:r>
        <w:rPr>
          <w:rFonts w:eastAsia="Times New Roman"/>
          <w:color w:val="000000"/>
          <w:sz w:val="20"/>
          <w:szCs w:val="20"/>
        </w:rPr>
        <w:t>(b)Beginning in Fiscal 2021, deviation from average heating degree days is determined on a rolling 10-year period utilizing volume-weighted weather data at locations in our UGI International service territories. Prior-period amounts have been restat</w:t>
      </w:r>
      <w:r>
        <w:rPr>
          <w:rFonts w:eastAsia="Times New Roman"/>
          <w:color w:val="000000"/>
          <w:sz w:val="20"/>
          <w:szCs w:val="20"/>
        </w:rPr>
        <w:t>ed to conform to the current-period presentation.</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Average temperatures during the 2021 nine-month period were 1.4% colder than normal and 15.2% colder than the prior-year period. Total LPG retail gallons sold during the 2021 nine-month period increased 5</w:t>
      </w:r>
      <w:r>
        <w:rPr>
          <w:rFonts w:eastAsia="Times New Roman"/>
          <w:color w:val="000000"/>
          <w:sz w:val="20"/>
          <w:szCs w:val="20"/>
        </w:rPr>
        <w:t>% compared to the prior-year period largely attributable to higher bulk volumes reflecting the effects of the colder weather on heating-related bulk sales, crop drying volumes, and cylinder volumes compared to the prior-year period. These volume improvemen</w:t>
      </w:r>
      <w:r>
        <w:rPr>
          <w:rFonts w:eastAsia="Times New Roman"/>
          <w:color w:val="000000"/>
          <w:sz w:val="20"/>
          <w:szCs w:val="20"/>
        </w:rPr>
        <w:t>ts also reflect the recovery of certain volume decreases attributable to COVID-19 during the prior-year period, and were partially offset by the termination of a high-volume, low-margin autogas contract in Italy during the prior year. Average wholesale pri</w:t>
      </w:r>
      <w:r>
        <w:rPr>
          <w:rFonts w:eastAsia="Times New Roman"/>
          <w:color w:val="000000"/>
          <w:sz w:val="20"/>
          <w:szCs w:val="20"/>
        </w:rPr>
        <w:t>ces for propane and butane during the 2021 nine-month period in northwest Europe were approximately 34% and 17% higher, respectively, compared with the prior-year period.</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International base-currency results are translated into U.S. dollars based upon</w:t>
      </w:r>
      <w:r>
        <w:rPr>
          <w:rFonts w:eastAsia="Times New Roman"/>
          <w:color w:val="000000"/>
          <w:sz w:val="20"/>
          <w:szCs w:val="20"/>
        </w:rPr>
        <w:t xml:space="preserve"> exchange rates experienced during the reporting periods. The functional currency of a significant portion of our UGI International results is the euro and, to a much lesser extent, the British pound sterling. During the 2021 and 2020 nine-month periods, t</w:t>
      </w:r>
      <w:r>
        <w:rPr>
          <w:rFonts w:eastAsia="Times New Roman"/>
          <w:color w:val="000000"/>
          <w:sz w:val="20"/>
          <w:szCs w:val="20"/>
        </w:rPr>
        <w:t>he average unweighted euro-to-dollar translation rates were approximately $1.20 and $1.10, respectively, and the average unweighted British pound sterling-to-dollar translation rates were approximately $1.37 and $1.27, respectively. Fluctuations in these f</w:t>
      </w:r>
      <w:r>
        <w:rPr>
          <w:rFonts w:eastAsia="Times New Roman"/>
          <w:color w:val="000000"/>
          <w:sz w:val="20"/>
          <w:szCs w:val="20"/>
        </w:rPr>
        <w:t>oreign currency exchange rates can have a significant impact on the individual financial statement components discussed below. The net effect of changes in foreign currency exchange rates on UGI International’s earnings before interest expense and income t</w:t>
      </w:r>
      <w:r>
        <w:rPr>
          <w:rFonts w:eastAsia="Times New Roman"/>
          <w:color w:val="000000"/>
          <w:sz w:val="20"/>
          <w:szCs w:val="20"/>
        </w:rPr>
        <w:t>axes resulted in a net benefit of $26 million in the 2021 nine-month period. However, the impact of these changes is mitigated by the effects of forward foreign currency exchange contracts entered into over a multi-year period intended to substantially off</w:t>
      </w:r>
      <w:r>
        <w:rPr>
          <w:rFonts w:eastAsia="Times New Roman"/>
          <w:color w:val="000000"/>
          <w:sz w:val="20"/>
          <w:szCs w:val="20"/>
        </w:rPr>
        <w:t xml:space="preserve">set this volatility. These forward foreign currency exchange contracts resulted in realized net gains of $2 million and $15 million, respectively, in the 2021 and 2020 nine-month periods.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International revenues and cost of sales increased $380 milli</w:t>
      </w:r>
      <w:r>
        <w:rPr>
          <w:rFonts w:eastAsia="Times New Roman"/>
          <w:color w:val="000000"/>
          <w:sz w:val="20"/>
          <w:szCs w:val="20"/>
        </w:rPr>
        <w:t>on and $240 million, respectively, during the 2021 nine-month period compared to the prior-year period. The increase in revenues and cost of sales principally reflects the translation effects of stronger foreign currencies (approximately $166 million and $</w:t>
      </w:r>
      <w:r>
        <w:rPr>
          <w:rFonts w:eastAsia="Times New Roman"/>
          <w:color w:val="000000"/>
          <w:sz w:val="20"/>
          <w:szCs w:val="20"/>
        </w:rPr>
        <w:t>96 million, respectively), the effects of higher average butane and propane selling prices and product costs compared to the prior-year period, and the previously mentioned increases in bulk, crop drying and cylinder volumes. Energy marketing activities al</w:t>
      </w:r>
      <w:r>
        <w:rPr>
          <w:rFonts w:eastAsia="Times New Roman"/>
          <w:color w:val="000000"/>
          <w:sz w:val="20"/>
          <w:szCs w:val="20"/>
        </w:rPr>
        <w:t>so contributed to the increased revenues and cost of sales during the 2021 nine-month period largely related to higher natural gas volumes and prices.</w:t>
      </w:r>
    </w:p>
    <w:p w:rsidR="00000000" w:rsidRDefault="005D625B">
      <w:pPr>
        <w:jc w:val="both"/>
        <w:rPr>
          <w:rFonts w:eastAsia="Times New Roman"/>
        </w:rPr>
      </w:pPr>
    </w:p>
    <w:p w:rsidR="00000000" w:rsidRDefault="005D625B">
      <w:pPr>
        <w:jc w:val="center"/>
        <w:divId w:val="2034266046"/>
        <w:rPr>
          <w:rFonts w:eastAsia="Times New Roman"/>
        </w:rPr>
      </w:pPr>
      <w:r>
        <w:rPr>
          <w:rFonts w:eastAsia="Times New Roman"/>
          <w:color w:val="000000"/>
          <w:sz w:val="20"/>
          <w:szCs w:val="20"/>
        </w:rPr>
        <w:t>48</w:t>
      </w:r>
    </w:p>
    <w:p w:rsidR="00000000" w:rsidRDefault="005D625B">
      <w:pPr>
        <w:rPr>
          <w:rFonts w:eastAsia="Times New Roman"/>
        </w:rPr>
      </w:pPr>
      <w:r>
        <w:rPr>
          <w:rFonts w:eastAsia="Times New Roman"/>
        </w:rPr>
        <w:pict>
          <v:rect id="_x0000_i1074" style="width:0;height:1.5pt" o:hralign="center" o:hrstd="t" o:hr="t" fillcolor="#a0a0a0" stroked="f"/>
        </w:pict>
      </w:r>
    </w:p>
    <w:p w:rsidR="00000000" w:rsidRDefault="005D625B">
      <w:pPr>
        <w:divId w:val="1106121526"/>
        <w:rPr>
          <w:rFonts w:eastAsia="Times New Roman"/>
        </w:rPr>
      </w:pPr>
      <w:hyperlink w:anchor="i8e9ae631f70f4c00b4ea140d922613cd_7" w:history="1">
        <w:r>
          <w:rPr>
            <w:rStyle w:val="a3"/>
            <w:rFonts w:eastAsia="Times New Roman"/>
            <w:sz w:val="20"/>
            <w:szCs w:val="20"/>
          </w:rPr>
          <w:t xml:space="preserve">Table </w:t>
        </w:r>
        <w:r>
          <w:rPr>
            <w:rStyle w:val="a3"/>
            <w:rFonts w:eastAsia="Times New Roman"/>
            <w:sz w:val="20"/>
            <w:szCs w:val="20"/>
          </w:rPr>
          <w:t>of Contents</w:t>
        </w:r>
      </w:hyperlink>
    </w:p>
    <w:p w:rsidR="00000000" w:rsidRDefault="005D625B">
      <w:pPr>
        <w:jc w:val="center"/>
        <w:divId w:val="2068649722"/>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color w:val="000000"/>
          <w:sz w:val="20"/>
          <w:szCs w:val="20"/>
        </w:rPr>
        <w:t>UGI International total margin increased $140 million during the 2021 nine-month period reflecting the translation effects of stronger foreign currencies (approximately $70 million), the previously mentioned increase in total LPG volumes, lower costs assoc</w:t>
      </w:r>
      <w:r>
        <w:rPr>
          <w:rFonts w:eastAsia="Times New Roman"/>
          <w:color w:val="000000"/>
          <w:sz w:val="20"/>
          <w:szCs w:val="20"/>
        </w:rPr>
        <w:t>iated with energy conservation certificates including adjustments related to the current compliance period, and higher average LPG unit margins including the continued effects of margin management efforts. These margin improvements include the impact of LP</w:t>
      </w:r>
      <w:r>
        <w:rPr>
          <w:rFonts w:eastAsia="Times New Roman"/>
          <w:color w:val="000000"/>
          <w:sz w:val="20"/>
          <w:szCs w:val="20"/>
        </w:rPr>
        <w:t>G assets acquired in the current-year period and higher margin from energy marketing activities principally reflecting increased natural gas volumes.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International operating income and earnings before interest expense and income taxes increased $92 m</w:t>
      </w:r>
      <w:r>
        <w:rPr>
          <w:rFonts w:eastAsia="Times New Roman"/>
          <w:color w:val="000000"/>
          <w:sz w:val="20"/>
          <w:szCs w:val="20"/>
        </w:rPr>
        <w:t>illion and $79 million, respectively, during the 2021 nine-month period compared to the prior-year period. The increase in operating income principally reflects the increase in total margin partially offset by higher operating and administrative expenses (</w:t>
      </w:r>
      <w:r>
        <w:rPr>
          <w:rFonts w:eastAsia="Times New Roman"/>
          <w:color w:val="000000"/>
          <w:sz w:val="20"/>
          <w:szCs w:val="20"/>
        </w:rPr>
        <w:t>$46 million) which was largely attributable to the effects of stronger foreign currencies ($36 million) compared to the prior-year period. The increase in operating and administrative expenses also reflects higher maintenance and distribution costs attribu</w:t>
      </w:r>
      <w:r>
        <w:rPr>
          <w:rFonts w:eastAsia="Times New Roman"/>
          <w:color w:val="000000"/>
          <w:sz w:val="20"/>
          <w:szCs w:val="20"/>
        </w:rPr>
        <w:t>table to the increased volumes. The increase in earnings before interest expense and income taxes in the 2021 nine-month period largely reflects the increase in operating income partially offset by lower realized gains on foreign currency exchange contract</w:t>
      </w:r>
      <w:r>
        <w:rPr>
          <w:rFonts w:eastAsia="Times New Roman"/>
          <w:color w:val="000000"/>
          <w:sz w:val="20"/>
          <w:szCs w:val="20"/>
        </w:rPr>
        <w:t xml:space="preserve">s entered into in order to reduce volatility in UGI International earnings resulting from the effects of changes in foreign currency exchange rates ($13 million). </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Midstream &amp; Marketing</w:t>
      </w:r>
    </w:p>
    <w:tbl>
      <w:tblPr>
        <w:tblW w:w="4992" w:type="pct"/>
        <w:tblCellMar>
          <w:top w:w="15" w:type="dxa"/>
          <w:left w:w="15" w:type="dxa"/>
          <w:bottom w:w="15" w:type="dxa"/>
          <w:right w:w="15" w:type="dxa"/>
        </w:tblCellMar>
        <w:tblLook w:val="04A0" w:firstRow="1" w:lastRow="0" w:firstColumn="1" w:lastColumn="0" w:noHBand="0" w:noVBand="1"/>
      </w:tblPr>
      <w:tblGrid>
        <w:gridCol w:w="39"/>
        <w:gridCol w:w="3666"/>
        <w:gridCol w:w="38"/>
        <w:gridCol w:w="36"/>
        <w:gridCol w:w="36"/>
        <w:gridCol w:w="36"/>
        <w:gridCol w:w="120"/>
        <w:gridCol w:w="858"/>
        <w:gridCol w:w="36"/>
        <w:gridCol w:w="36"/>
        <w:gridCol w:w="36"/>
        <w:gridCol w:w="36"/>
        <w:gridCol w:w="120"/>
        <w:gridCol w:w="858"/>
        <w:gridCol w:w="36"/>
        <w:gridCol w:w="36"/>
        <w:gridCol w:w="36"/>
        <w:gridCol w:w="36"/>
        <w:gridCol w:w="121"/>
        <w:gridCol w:w="858"/>
        <w:gridCol w:w="37"/>
        <w:gridCol w:w="37"/>
        <w:gridCol w:w="37"/>
        <w:gridCol w:w="36"/>
        <w:gridCol w:w="36"/>
        <w:gridCol w:w="849"/>
        <w:gridCol w:w="187"/>
      </w:tblGrid>
      <w:tr w:rsidR="00000000">
        <w:trPr>
          <w:divId w:val="1245066941"/>
        </w:trPr>
        <w:tc>
          <w:tcPr>
            <w:tcW w:w="50" w:type="pct"/>
            <w:vAlign w:val="center"/>
            <w:hideMark/>
          </w:tcPr>
          <w:p w:rsidR="00000000" w:rsidRDefault="005D625B">
            <w:pPr>
              <w:jc w:val="both"/>
              <w:rPr>
                <w:rFonts w:eastAsia="Times New Roman"/>
              </w:rPr>
            </w:pPr>
          </w:p>
        </w:tc>
        <w:tc>
          <w:tcPr>
            <w:tcW w:w="225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8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245066941"/>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 the nine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Increase (Decrease)</w:t>
            </w:r>
          </w:p>
        </w:tc>
      </w:tr>
      <w:tr w:rsidR="00000000">
        <w:trPr>
          <w:divId w:val="124506694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1245066941"/>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 xml:space="preserve">Revenues </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1,086 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1,017 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245066941"/>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310 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245066941"/>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245066941"/>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1245066941"/>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bl>
    <w:p w:rsidR="00000000" w:rsidRDefault="005D625B">
      <w:pPr>
        <w:ind w:hanging="360"/>
        <w:jc w:val="both"/>
        <w:rPr>
          <w:rFonts w:eastAsia="Times New Roman"/>
        </w:rPr>
      </w:pPr>
      <w:r>
        <w:rPr>
          <w:rFonts w:eastAsia="Times New Roman"/>
          <w:color w:val="000000"/>
          <w:sz w:val="20"/>
          <w:szCs w:val="20"/>
        </w:rPr>
        <w:t>(a)Total margin represents revenues less cost of sales.</w:t>
      </w:r>
    </w:p>
    <w:p w:rsidR="00000000" w:rsidRDefault="005D625B">
      <w:pPr>
        <w:divId w:val="209921265"/>
        <w:rPr>
          <w:rFonts w:eastAsia="Times New Roman"/>
        </w:rPr>
      </w:pPr>
    </w:p>
    <w:p w:rsidR="00000000" w:rsidRDefault="005D625B">
      <w:pPr>
        <w:jc w:val="both"/>
        <w:rPr>
          <w:rFonts w:eastAsia="Times New Roman"/>
        </w:rPr>
      </w:pPr>
      <w:r>
        <w:rPr>
          <w:rFonts w:eastAsia="Times New Roman"/>
          <w:color w:val="000000"/>
          <w:sz w:val="20"/>
          <w:szCs w:val="20"/>
        </w:rPr>
        <w:t>Average temperatures across Midstream &amp; Marketing’s energy marketing territory duri</w:t>
      </w:r>
      <w:r>
        <w:rPr>
          <w:rFonts w:eastAsia="Times New Roman"/>
          <w:color w:val="000000"/>
          <w:sz w:val="20"/>
          <w:szCs w:val="20"/>
        </w:rPr>
        <w:t>ng the 2021 nine-month period were 6.4% warmer than normal and 1.8% warmer than the prior-year period. Beginning in Fiscal 2021, deviation from average heating degree days is determined on a rolling 10-year period utilizing volume-weighted weather data. Pr</w:t>
      </w:r>
      <w:r>
        <w:rPr>
          <w:rFonts w:eastAsia="Times New Roman"/>
          <w:color w:val="000000"/>
          <w:sz w:val="20"/>
          <w:szCs w:val="20"/>
        </w:rPr>
        <w:t>ior-period amounts have been restated to conform to the current-period presentation. Midstream &amp; Marketing’s prior year results include contributions from its HVAC business and ownership interest in Conemaugh, both of which were sold in September 2020.</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M</w:t>
      </w:r>
      <w:r>
        <w:rPr>
          <w:rFonts w:eastAsia="Times New Roman"/>
          <w:color w:val="000000"/>
          <w:sz w:val="20"/>
          <w:szCs w:val="20"/>
        </w:rPr>
        <w:t>idstream &amp; Marketing revenues for the 2021 nine-month period increased $69 million compared to the prior-year period principally reflecting increased revenues from natural gas ($53 million) and renewable energy ($27 million) marketing activities, higher ca</w:t>
      </w:r>
      <w:r>
        <w:rPr>
          <w:rFonts w:eastAsia="Times New Roman"/>
          <w:color w:val="000000"/>
          <w:sz w:val="20"/>
          <w:szCs w:val="20"/>
        </w:rPr>
        <w:t>pacity management revenues ($18 million), and higher natural gas gathering revenues ($10 million). These revenue increases were partially offset by the absence of revenues attributable to its former HVAC business and ownership interest in Conemaugh ($44 mi</w:t>
      </w:r>
      <w:r>
        <w:rPr>
          <w:rFonts w:eastAsia="Times New Roman"/>
          <w:color w:val="000000"/>
          <w:sz w:val="20"/>
          <w:szCs w:val="20"/>
        </w:rPr>
        <w:t>llion). Midstream &amp; Marketing cost of sales were $776 million in the 2021 nine-month period compared to $721 million in the prior-year period. The $55 million increase principally reflects higher cost of sales related to natural gas ($48 million) and renew</w:t>
      </w:r>
      <w:r>
        <w:rPr>
          <w:rFonts w:eastAsia="Times New Roman"/>
          <w:color w:val="000000"/>
          <w:sz w:val="20"/>
          <w:szCs w:val="20"/>
        </w:rPr>
        <w:t>able energy marketing activities ($21 million), partially offset by the absence of costs attributable to HVAC and Conemaugh ($22 million). The increases in both natural gas revenues and cost of sales during the 2021 nine-month period are largely attributab</w:t>
      </w:r>
      <w:r>
        <w:rPr>
          <w:rFonts w:eastAsia="Times New Roman"/>
          <w:color w:val="000000"/>
          <w:sz w:val="20"/>
          <w:szCs w:val="20"/>
        </w:rPr>
        <w:t xml:space="preserve">le to higher average natural gas prices compared to the prior-year period partially offset by lower volumes attributable to weather that was warmer than the prior-year period.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Midstream &amp; Marketing total margin increased $14 million in the 2021 nine-mon</w:t>
      </w:r>
      <w:r>
        <w:rPr>
          <w:rFonts w:eastAsia="Times New Roman"/>
          <w:color w:val="000000"/>
          <w:sz w:val="20"/>
          <w:szCs w:val="20"/>
        </w:rPr>
        <w:t>th period reflecting improved capacity management margin ($18 million), higher margin from renewable energy ($6 million) and natural gas ($5 million) marketing activities, and higher margin from natural gas gathering activities ($5 million). These margin i</w:t>
      </w:r>
      <w:r>
        <w:rPr>
          <w:rFonts w:eastAsia="Times New Roman"/>
          <w:color w:val="000000"/>
          <w:sz w:val="20"/>
          <w:szCs w:val="20"/>
        </w:rPr>
        <w:t>mprovements include the impact of acquisitions and new assets placed into service since June 30, 2020, and were partially offset by the absence of margins attributable to HVAC and Conemaugh ($22 million).</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Midstream &amp; Marketing operating income and earnin</w:t>
      </w:r>
      <w:r>
        <w:rPr>
          <w:rFonts w:eastAsia="Times New Roman"/>
          <w:color w:val="000000"/>
          <w:sz w:val="20"/>
          <w:szCs w:val="20"/>
        </w:rPr>
        <w:t>gs before interest expense and income taxes during the 2021 nine-month period increased $17 million and $19 million, respectively, compared to the prior-year period. The improvement in operating income reflects the increase in total margin and lower operat</w:t>
      </w:r>
      <w:r>
        <w:rPr>
          <w:rFonts w:eastAsia="Times New Roman"/>
          <w:color w:val="000000"/>
          <w:sz w:val="20"/>
          <w:szCs w:val="20"/>
        </w:rPr>
        <w:t>ing and administrative expenses ($9 million) compared to the prior-year period, partially offset by an adjustment to the contingent consideration related to the GHI acquisition ($8 million). The decrease in operating and administrative expenses was largely</w:t>
      </w:r>
      <w:r>
        <w:rPr>
          <w:rFonts w:eastAsia="Times New Roman"/>
          <w:color w:val="000000"/>
          <w:sz w:val="20"/>
          <w:szCs w:val="20"/>
        </w:rPr>
        <w:t xml:space="preserve"> related to the absence of the previously mentioned divested assets partially offset by an increase in employee and benefits-related costs and increases related to new assets placed into </w:t>
      </w:r>
    </w:p>
    <w:p w:rsidR="00000000" w:rsidRDefault="005D625B">
      <w:pPr>
        <w:jc w:val="center"/>
        <w:divId w:val="1433427677"/>
        <w:rPr>
          <w:rFonts w:eastAsia="Times New Roman"/>
        </w:rPr>
      </w:pPr>
      <w:r>
        <w:rPr>
          <w:rFonts w:eastAsia="Times New Roman"/>
          <w:color w:val="000000"/>
          <w:sz w:val="20"/>
          <w:szCs w:val="20"/>
        </w:rPr>
        <w:t>49</w:t>
      </w:r>
    </w:p>
    <w:p w:rsidR="00000000" w:rsidRDefault="005D625B">
      <w:pPr>
        <w:rPr>
          <w:rFonts w:eastAsia="Times New Roman"/>
        </w:rPr>
      </w:pPr>
      <w:r>
        <w:rPr>
          <w:rFonts w:eastAsia="Times New Roman"/>
        </w:rPr>
        <w:pict>
          <v:rect id="_x0000_i1075" style="width:0;height:1.5pt" o:hralign="center" o:hrstd="t" o:hr="t" fillcolor="#a0a0a0" stroked="f"/>
        </w:pict>
      </w:r>
    </w:p>
    <w:p w:rsidR="00000000" w:rsidRDefault="005D625B">
      <w:pPr>
        <w:divId w:val="1090001454"/>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503663091"/>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color w:val="000000"/>
          <w:sz w:val="20"/>
          <w:szCs w:val="20"/>
        </w:rPr>
        <w:t>service. The increase in earnings before interest expense and income taxes reflects the improvement in operating income and incremental equity meth</w:t>
      </w:r>
      <w:r>
        <w:rPr>
          <w:rFonts w:eastAsia="Times New Roman"/>
          <w:color w:val="000000"/>
          <w:sz w:val="20"/>
          <w:szCs w:val="20"/>
        </w:rPr>
        <w:t>od earnings related to the investment in Pine Run.</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UGI Utilities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4061"/>
        <w:gridCol w:w="38"/>
        <w:gridCol w:w="36"/>
        <w:gridCol w:w="36"/>
        <w:gridCol w:w="36"/>
        <w:gridCol w:w="120"/>
        <w:gridCol w:w="718"/>
        <w:gridCol w:w="187"/>
        <w:gridCol w:w="36"/>
        <w:gridCol w:w="36"/>
        <w:gridCol w:w="36"/>
        <w:gridCol w:w="120"/>
        <w:gridCol w:w="731"/>
        <w:gridCol w:w="187"/>
        <w:gridCol w:w="36"/>
        <w:gridCol w:w="36"/>
        <w:gridCol w:w="36"/>
        <w:gridCol w:w="120"/>
        <w:gridCol w:w="672"/>
        <w:gridCol w:w="36"/>
        <w:gridCol w:w="36"/>
        <w:gridCol w:w="36"/>
        <w:gridCol w:w="36"/>
        <w:gridCol w:w="38"/>
        <w:gridCol w:w="595"/>
        <w:gridCol w:w="187"/>
      </w:tblGrid>
      <w:tr w:rsidR="00000000">
        <w:trPr>
          <w:divId w:val="220557455"/>
        </w:trPr>
        <w:tc>
          <w:tcPr>
            <w:tcW w:w="50" w:type="pct"/>
            <w:vAlign w:val="center"/>
            <w:hideMark/>
          </w:tcPr>
          <w:p w:rsidR="00000000" w:rsidRDefault="005D625B">
            <w:pPr>
              <w:jc w:val="both"/>
              <w:rPr>
                <w:rFonts w:eastAsia="Times New Roman"/>
              </w:rPr>
            </w:pPr>
          </w:p>
        </w:tc>
        <w:tc>
          <w:tcPr>
            <w:tcW w:w="252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0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8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220557455"/>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 the nine months ended June 30,</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Increase</w:t>
            </w:r>
          </w:p>
        </w:tc>
      </w:tr>
      <w:tr w:rsidR="00000000">
        <w:trPr>
          <w:divId w:val="22055745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rPr>
          <w:divId w:val="22055745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923 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901 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220557455"/>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494 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22055745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220557455"/>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22055745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220557455"/>
        </w:trPr>
        <w:tc>
          <w:tcPr>
            <w:tcW w:w="0" w:type="auto"/>
            <w:gridSpan w:val="3"/>
            <w:shd w:val="clear" w:color="auto" w:fill="FFFF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Gas Utility system throughput—bcf</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220557455"/>
        </w:trPr>
        <w:tc>
          <w:tcPr>
            <w:tcW w:w="0" w:type="auto"/>
            <w:gridSpan w:val="3"/>
            <w:shd w:val="clear" w:color="auto" w:fill="CCEE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Core market</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220557455"/>
        </w:trPr>
        <w:tc>
          <w:tcPr>
            <w:tcW w:w="0" w:type="auto"/>
            <w:gridSpan w:val="3"/>
            <w:shd w:val="clear" w:color="auto" w:fill="FFFFFF"/>
            <w:tcMar>
              <w:top w:w="30" w:type="dxa"/>
              <w:left w:w="38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220557455"/>
        </w:trPr>
        <w:tc>
          <w:tcPr>
            <w:tcW w:w="0" w:type="auto"/>
            <w:gridSpan w:val="3"/>
            <w:shd w:val="clear" w:color="auto" w:fill="CCEEFF"/>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743 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724 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r>
      <w:tr w:rsidR="00000000">
        <w:trPr>
          <w:divId w:val="220557455"/>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Gas Utility heating degree days—% warmer than normal (b)</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ind w:hanging="360"/>
        <w:jc w:val="both"/>
        <w:rPr>
          <w:rFonts w:eastAsia="Times New Roman"/>
        </w:rPr>
      </w:pPr>
      <w:r>
        <w:rPr>
          <w:rFonts w:eastAsia="Times New Roman"/>
          <w:color w:val="000000"/>
          <w:sz w:val="20"/>
          <w:szCs w:val="20"/>
        </w:rPr>
        <w:t>(a)Total margin represents revenues less cost of sales and revenue-related taxes (i.e., Electric Utility gross receipts taxes</w:t>
      </w:r>
      <w:r>
        <w:rPr>
          <w:rFonts w:eastAsia="Times New Roman"/>
          <w:color w:val="000000"/>
          <w:sz w:val="20"/>
          <w:szCs w:val="20"/>
        </w:rPr>
        <w:t>) of $4 million and $3 million during the 2021 and 2020 nine-month periods, respectively. For financial statement purposes, revenue-related taxes are included in “Operating and administrative expenses” on the Condensed Consolidated Statements of Income (bu</w:t>
      </w:r>
      <w:r>
        <w:rPr>
          <w:rFonts w:eastAsia="Times New Roman"/>
          <w:color w:val="000000"/>
          <w:sz w:val="20"/>
          <w:szCs w:val="20"/>
        </w:rPr>
        <w:t>t are excluded from operating and administrative expenses presented above).</w:t>
      </w:r>
    </w:p>
    <w:p w:rsidR="00000000" w:rsidRDefault="005D625B">
      <w:pPr>
        <w:ind w:hanging="360"/>
        <w:jc w:val="both"/>
        <w:rPr>
          <w:rFonts w:eastAsia="Times New Roman"/>
        </w:rPr>
      </w:pPr>
      <w:r>
        <w:rPr>
          <w:rFonts w:eastAsia="Times New Roman"/>
          <w:color w:val="000000"/>
          <w:sz w:val="20"/>
          <w:szCs w:val="20"/>
        </w:rPr>
        <w:t>(b)Beginning in Fiscal 2021, deviation from average heating degree days is determined on a rolling 10-year period utilizing volume-weighted weather data based on weather statistics</w:t>
      </w:r>
      <w:r>
        <w:rPr>
          <w:rFonts w:eastAsia="Times New Roman"/>
          <w:color w:val="000000"/>
          <w:sz w:val="20"/>
          <w:szCs w:val="20"/>
        </w:rPr>
        <w:t xml:space="preserve"> provided by NOAA for airports located within Gas Utility’s service territory. Prior-period amounts have been restated to conform to the current-period presentation. </w:t>
      </w:r>
    </w:p>
    <w:p w:rsidR="00000000" w:rsidRDefault="005D625B">
      <w:pPr>
        <w:jc w:val="both"/>
        <w:rPr>
          <w:rFonts w:eastAsia="Times New Roman"/>
        </w:rPr>
      </w:pPr>
    </w:p>
    <w:p w:rsidR="00000000" w:rsidRDefault="005D625B">
      <w:pPr>
        <w:jc w:val="both"/>
        <w:divId w:val="1307129165"/>
        <w:rPr>
          <w:rFonts w:eastAsia="Times New Roman"/>
        </w:rPr>
      </w:pPr>
      <w:r>
        <w:rPr>
          <w:rFonts w:eastAsia="Times New Roman"/>
          <w:color w:val="000000"/>
          <w:sz w:val="20"/>
          <w:szCs w:val="20"/>
        </w:rPr>
        <w:t>Temperatures in Gas Utility’</w:t>
      </w:r>
      <w:r>
        <w:rPr>
          <w:rFonts w:eastAsia="Times New Roman"/>
          <w:color w:val="000000"/>
          <w:sz w:val="20"/>
          <w:szCs w:val="20"/>
        </w:rPr>
        <w:t>s service territory during the 2021 nine-month period were 7.3% warmer than normal and comparable to temperatures in the prior-year period. Gas Utility core market volumes increased slightly during the 2021 nine-month period (1 bcf) reflecting growth in th</w:t>
      </w:r>
      <w:r>
        <w:rPr>
          <w:rFonts w:eastAsia="Times New Roman"/>
          <w:color w:val="000000"/>
          <w:sz w:val="20"/>
          <w:szCs w:val="20"/>
        </w:rPr>
        <w:t>e number of core market customers. Total Gas Utility distribution system throughput also reflects a slight increase (2 bcf) during the 2021 nine-month period attributable to the increased core market volumes and higher large delivery service volumes. Elect</w:t>
      </w:r>
      <w:r>
        <w:rPr>
          <w:rFonts w:eastAsia="Times New Roman"/>
          <w:color w:val="000000"/>
          <w:sz w:val="20"/>
          <w:szCs w:val="20"/>
        </w:rPr>
        <w:t>ric Utility distribution sales volumes increased during the 2021 nine-month period primarily attributable to warmer weather during the cooling season.</w:t>
      </w:r>
    </w:p>
    <w:p w:rsidR="00000000" w:rsidRDefault="005D625B">
      <w:pPr>
        <w:jc w:val="both"/>
        <w:rPr>
          <w:rFonts w:eastAsia="Times New Roman"/>
        </w:rPr>
      </w:pPr>
      <w:r>
        <w:rPr>
          <w:rFonts w:eastAsia="Times New Roman"/>
          <w:color w:val="000000"/>
          <w:sz w:val="20"/>
          <w:szCs w:val="20"/>
        </w:rPr>
        <w:t>UGI Utilities revenues increased $22 million in the 2021 nine-month period reflecting increases of $16 mi</w:t>
      </w:r>
      <w:r>
        <w:rPr>
          <w:rFonts w:eastAsia="Times New Roman"/>
          <w:color w:val="000000"/>
          <w:sz w:val="20"/>
          <w:szCs w:val="20"/>
        </w:rPr>
        <w:t>llion and $6 million attributable to Gas Utility and Electric Utility, respectively. The increase in Gas Utility revenues principally reflects the increase in base rates that went into effect on January 1, 2021, higher off system sales, and higher large de</w:t>
      </w:r>
      <w:r>
        <w:rPr>
          <w:rFonts w:eastAsia="Times New Roman"/>
          <w:color w:val="000000"/>
          <w:sz w:val="20"/>
          <w:szCs w:val="20"/>
        </w:rPr>
        <w:t>livery service sales, partially offset by lower PGC rates compared to the prior-year period. The increase in Electric Utility revenues during the 2021 nine-month period reflects the increased distribution sales volumes and higher DS rates compared to the p</w:t>
      </w:r>
      <w:r>
        <w:rPr>
          <w:rFonts w:eastAsia="Times New Roman"/>
          <w:color w:val="000000"/>
          <w:sz w:val="20"/>
          <w:szCs w:val="20"/>
        </w:rPr>
        <w:t>rior-year period.</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UGI Utilities cost of sales was $401 million in the 2021 nine-month period compared with $404 million in the prior-year period. </w:t>
      </w:r>
      <w:r>
        <w:rPr>
          <w:rFonts w:eastAsia="Times New Roman"/>
          <w:color w:val="000000"/>
          <w:sz w:val="20"/>
          <w:szCs w:val="20"/>
        </w:rPr>
        <w:t>Gas Utility cost of sales decreased during the 2021 nine-month period ($6 million) reflecting lower PGC rates partially offset by higher cost of sales associated with off system sales. Electric Utility cost of sales increased during the 2021 nine-month per</w:t>
      </w:r>
      <w:r>
        <w:rPr>
          <w:rFonts w:eastAsia="Times New Roman"/>
          <w:color w:val="000000"/>
          <w:sz w:val="20"/>
          <w:szCs w:val="20"/>
        </w:rPr>
        <w:t xml:space="preserve">iod ($3 million) reflecting the increased volumes and higher average DS rates compared to the prior-year period.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Utilities total margin increased $24 million during the 2021 nine-month period principally reflecting higher margin from Gas Utility ($2</w:t>
      </w:r>
      <w:r>
        <w:rPr>
          <w:rFonts w:eastAsia="Times New Roman"/>
          <w:color w:val="000000"/>
          <w:sz w:val="20"/>
          <w:szCs w:val="20"/>
        </w:rPr>
        <w:t>2 million). This increase largely reflects higher margin from core market customers ($15 million) primarily attributable to the increase in base rates that went into effect on January 1, 2021, as well as increased margin related to large delivery service c</w:t>
      </w:r>
      <w:r>
        <w:rPr>
          <w:rFonts w:eastAsia="Times New Roman"/>
          <w:color w:val="000000"/>
          <w:sz w:val="20"/>
          <w:szCs w:val="20"/>
        </w:rPr>
        <w:t xml:space="preserve">ustomer growth and higher customer account fees. The increase in Electric Utility margin is largely attributable to the increase in distribution sales volumes compared to the prior-year period.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UGI Utilities operating income and earnings before interest</w:t>
      </w:r>
      <w:r>
        <w:rPr>
          <w:rFonts w:eastAsia="Times New Roman"/>
          <w:color w:val="000000"/>
          <w:sz w:val="20"/>
          <w:szCs w:val="20"/>
        </w:rPr>
        <w:t xml:space="preserve"> expense and income taxes increased $14 million and $16 million, respectively, during the 2021 nine-month period. These increases largely reflect the previously mentioned increase in total margin partially offset by higher depreciation expense ($9 million)</w:t>
      </w:r>
      <w:r>
        <w:rPr>
          <w:rFonts w:eastAsia="Times New Roman"/>
          <w:color w:val="000000"/>
          <w:sz w:val="20"/>
          <w:szCs w:val="20"/>
        </w:rPr>
        <w:t xml:space="preserve"> and slightly higher operating and administrative expenses compared to the prior-year period. The increase in depreciation expense relates to continued distribution system and IT capital expenditure activity. The slight increase in operating and administra</w:t>
      </w:r>
      <w:r>
        <w:rPr>
          <w:rFonts w:eastAsia="Times New Roman"/>
          <w:color w:val="000000"/>
          <w:sz w:val="20"/>
          <w:szCs w:val="20"/>
        </w:rPr>
        <w:t xml:space="preserve">tive expenses reflects, among other things, higher allocations of corporate expenses largely offset by lower uncollectible accounts expense and payroll taxes compared to the prior-year period. </w:t>
      </w:r>
    </w:p>
    <w:p w:rsidR="00000000" w:rsidRDefault="005D625B">
      <w:pPr>
        <w:jc w:val="center"/>
        <w:divId w:val="1488664221"/>
        <w:rPr>
          <w:rFonts w:eastAsia="Times New Roman"/>
        </w:rPr>
      </w:pPr>
      <w:r>
        <w:rPr>
          <w:rFonts w:eastAsia="Times New Roman"/>
          <w:color w:val="000000"/>
          <w:sz w:val="20"/>
          <w:szCs w:val="20"/>
        </w:rPr>
        <w:t>50</w:t>
      </w:r>
    </w:p>
    <w:p w:rsidR="00000000" w:rsidRDefault="005D625B">
      <w:pPr>
        <w:rPr>
          <w:rFonts w:eastAsia="Times New Roman"/>
        </w:rPr>
      </w:pPr>
      <w:r>
        <w:rPr>
          <w:rFonts w:eastAsia="Times New Roman"/>
        </w:rPr>
        <w:pict>
          <v:rect id="_x0000_i1076" style="width:0;height:1.5pt" o:hralign="center" o:hrstd="t" o:hr="t" fillcolor="#a0a0a0" stroked="f"/>
        </w:pict>
      </w:r>
    </w:p>
    <w:p w:rsidR="00000000" w:rsidRDefault="005D625B">
      <w:pPr>
        <w:divId w:val="1235622366"/>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561021266"/>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Interest Expense and Income Taxes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Our consolidated interest expense during the 2021 nine-month period was $233 million compared to $247 million during the 2020 nine-</w:t>
      </w:r>
      <w:r>
        <w:rPr>
          <w:rFonts w:eastAsia="Times New Roman"/>
          <w:color w:val="000000"/>
          <w:sz w:val="20"/>
          <w:szCs w:val="20"/>
        </w:rPr>
        <w:t>month period. The decrease in interest expense principally reflects lower average short-term borrowings outstanding compared to the prior-year period.</w:t>
      </w:r>
    </w:p>
    <w:p w:rsidR="00000000" w:rsidRDefault="005D625B">
      <w:pPr>
        <w:jc w:val="both"/>
        <w:rPr>
          <w:rFonts w:eastAsia="Times New Roman"/>
        </w:rPr>
      </w:pPr>
    </w:p>
    <w:p w:rsidR="00000000" w:rsidRDefault="005D625B">
      <w:pPr>
        <w:jc w:val="both"/>
        <w:divId w:val="877202433"/>
        <w:rPr>
          <w:rFonts w:eastAsia="Times New Roman"/>
        </w:rPr>
      </w:pPr>
      <w:r>
        <w:rPr>
          <w:rFonts w:eastAsia="Times New Roman"/>
          <w:color w:val="000000"/>
          <w:sz w:val="20"/>
          <w:szCs w:val="20"/>
        </w:rPr>
        <w:t>The effective income tax rate for the 2021 nine-month period increased slightly compared to the prior-y</w:t>
      </w:r>
      <w:r>
        <w:rPr>
          <w:rFonts w:eastAsia="Times New Roman"/>
          <w:color w:val="000000"/>
          <w:sz w:val="20"/>
          <w:szCs w:val="20"/>
        </w:rPr>
        <w:t>ear period. This increase was impacted by a lower NOL carryback benefit under the CARES Act and an increase in foreign rate differential due to a shift in domestic versus foreign earnings compared to the prior-year period. These items were largely offset b</w:t>
      </w:r>
      <w:r>
        <w:rPr>
          <w:rFonts w:eastAsia="Times New Roman"/>
          <w:color w:val="000000"/>
          <w:sz w:val="20"/>
          <w:szCs w:val="20"/>
        </w:rPr>
        <w:t>y lower U.S. tax on foreign source income attributable to regulations issued in July 2020 related to the high-tax exception on GILTI income not available in the prior-year period, and an election made available under a tax law change in Italy which allowed</w:t>
      </w:r>
      <w:r>
        <w:rPr>
          <w:rFonts w:eastAsia="Times New Roman"/>
          <w:color w:val="000000"/>
          <w:sz w:val="20"/>
          <w:szCs w:val="20"/>
        </w:rPr>
        <w:t xml:space="preserve"> the Company to step up its tax basis on certain assets in exchange for paying a three percent substitute tax in connection with such election. This election resulted in a $23 million net benefit in the current period resulting in incremental tax basis tha</w:t>
      </w:r>
      <w:r>
        <w:rPr>
          <w:rFonts w:eastAsia="Times New Roman"/>
          <w:color w:val="000000"/>
          <w:sz w:val="20"/>
          <w:szCs w:val="20"/>
        </w:rPr>
        <w:t xml:space="preserve">t will be deductible in future periods. </w:t>
      </w:r>
    </w:p>
    <w:p w:rsidR="00000000" w:rsidRDefault="005D625B">
      <w:pPr>
        <w:jc w:val="both"/>
        <w:divId w:val="344403199"/>
        <w:rPr>
          <w:rFonts w:eastAsia="Times New Roman"/>
        </w:rPr>
      </w:pPr>
      <w:r>
        <w:rPr>
          <w:rFonts w:eastAsia="Times New Roman"/>
          <w:color w:val="000000"/>
          <w:sz w:val="20"/>
          <w:szCs w:val="20"/>
        </w:rPr>
        <w:t>The Company continues to evaluate the elections available under current regulations, recent government stimulus efforts including the anticipated benefits mentioned above related to the election made in connection w</w:t>
      </w:r>
      <w:r>
        <w:rPr>
          <w:rFonts w:eastAsia="Times New Roman"/>
          <w:color w:val="000000"/>
          <w:sz w:val="20"/>
          <w:szCs w:val="20"/>
        </w:rPr>
        <w:t>ith the tax law change in Italy, the modified GILTI provisions, and the CARES Act. Accordingly, the impacts on the Company’s income tax provisions and taxes payable or refundable related to these items are subject to change.</w:t>
      </w:r>
    </w:p>
    <w:p w:rsidR="00000000" w:rsidRDefault="005D625B">
      <w:pPr>
        <w:jc w:val="center"/>
        <w:rPr>
          <w:rFonts w:eastAsia="Times New Roman"/>
        </w:rPr>
      </w:pPr>
    </w:p>
    <w:p w:rsidR="00000000" w:rsidRDefault="005D625B">
      <w:pPr>
        <w:jc w:val="center"/>
        <w:rPr>
          <w:rFonts w:eastAsia="Times New Roman"/>
        </w:rPr>
      </w:pPr>
      <w:r>
        <w:rPr>
          <w:rFonts w:eastAsia="Times New Roman"/>
          <w:b/>
          <w:bCs/>
          <w:color w:val="000000"/>
          <w:sz w:val="20"/>
          <w:szCs w:val="20"/>
          <w:u w:val="single"/>
        </w:rPr>
        <w:t>FINANCIAL CONDITION AND LIQUI</w:t>
      </w:r>
      <w:r>
        <w:rPr>
          <w:rFonts w:eastAsia="Times New Roman"/>
          <w:b/>
          <w:bCs/>
          <w:color w:val="000000"/>
          <w:sz w:val="20"/>
          <w:szCs w:val="20"/>
          <w:u w:val="single"/>
        </w:rPr>
        <w:t>DITY</w:t>
      </w:r>
    </w:p>
    <w:p w:rsidR="00000000" w:rsidRDefault="005D625B">
      <w:pPr>
        <w:jc w:val="center"/>
        <w:rPr>
          <w:rFonts w:eastAsia="Times New Roman"/>
        </w:rPr>
      </w:pPr>
    </w:p>
    <w:p w:rsidR="00000000" w:rsidRDefault="005D625B">
      <w:pPr>
        <w:jc w:val="both"/>
        <w:rPr>
          <w:rFonts w:eastAsia="Times New Roman"/>
        </w:rPr>
      </w:pPr>
      <w:r>
        <w:rPr>
          <w:rFonts w:eastAsia="Times New Roman"/>
          <w:color w:val="000000"/>
          <w:sz w:val="20"/>
          <w:szCs w:val="20"/>
        </w:rPr>
        <w:t>The Company expects to have sufficient liquidity including cash on hand and available borrowing capacity to continue to support long-term commitments and ongoing operations despite uncertainties associated with the outbreak and continued spread of C</w:t>
      </w:r>
      <w:r>
        <w:rPr>
          <w:rFonts w:eastAsia="Times New Roman"/>
          <w:color w:val="000000"/>
          <w:sz w:val="20"/>
          <w:szCs w:val="20"/>
        </w:rPr>
        <w:t>OVID-19. Our total available liquidity balance, comprising cash and cash equivalents, undrawn upon senior note and term loan commitments, and available borrowing capacity on our revolving credit facilities, totaled approximately $2.4 billion and $1.5 billi</w:t>
      </w:r>
      <w:r>
        <w:rPr>
          <w:rFonts w:eastAsia="Times New Roman"/>
          <w:color w:val="000000"/>
          <w:sz w:val="20"/>
          <w:szCs w:val="20"/>
        </w:rPr>
        <w:t xml:space="preserve">on at June 30, 2021 and September 30, 2020, respectively. The Company does not have any near-term senior note or term loan maturities. While the Company’s operations and financial performance has been impacted by COVID-19 in the 2021 three- and nine-month </w:t>
      </w:r>
      <w:r>
        <w:rPr>
          <w:rFonts w:eastAsia="Times New Roman"/>
          <w:color w:val="000000"/>
          <w:sz w:val="20"/>
          <w:szCs w:val="20"/>
        </w:rPr>
        <w:t xml:space="preserve">periods, it is a rapidly evolving situation and the Company cannot predict the ultimate impact that COVID-19 will have on its liquidity, debt covenants, financial condition or the timing of capital expenditures. UGI and its subsidiaries were in compliance </w:t>
      </w:r>
      <w:r>
        <w:rPr>
          <w:rFonts w:eastAsia="Times New Roman"/>
          <w:color w:val="000000"/>
          <w:sz w:val="20"/>
          <w:szCs w:val="20"/>
        </w:rPr>
        <w:t>with all debt covenants as of June 30, 2021.</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We depend on both internal and external sources of liquidity to provide funds for working capital and to fund capital requirements. Our short-term cash requirements not met by cash from operations are generall</w:t>
      </w:r>
      <w:r>
        <w:rPr>
          <w:rFonts w:eastAsia="Times New Roman"/>
          <w:color w:val="000000"/>
          <w:sz w:val="20"/>
          <w:szCs w:val="20"/>
        </w:rPr>
        <w:t>y satisfied with borrowings under credit facilities and, in the case of Midstream &amp; Marketing, also from a Receivables Facility. Long-term cash requirements are generally met through the issuance of long-term debt or equity securities. We believe that each</w:t>
      </w:r>
      <w:r>
        <w:rPr>
          <w:rFonts w:eastAsia="Times New Roman"/>
          <w:color w:val="000000"/>
          <w:sz w:val="20"/>
          <w:szCs w:val="20"/>
        </w:rPr>
        <w:t xml:space="preserve"> of our business units has sufficient liquidity in the forms of cash and cash equivalents on hand; cash expected to be generated from operations; credit facility and Receivables Facility borrowing capacity; and the ability to obtain long-term financing to </w:t>
      </w:r>
      <w:r>
        <w:rPr>
          <w:rFonts w:eastAsia="Times New Roman"/>
          <w:color w:val="000000"/>
          <w:sz w:val="20"/>
          <w:szCs w:val="20"/>
        </w:rPr>
        <w:t>meet anticipated contractual and projected cash commitments. Issuances of debt and equity securities in the capital markets and additional credit facilities may not, however, be available to us on acceptable terms.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 primary sources of UGI’s cash and c</w:t>
      </w:r>
      <w:r>
        <w:rPr>
          <w:rFonts w:eastAsia="Times New Roman"/>
          <w:color w:val="000000"/>
          <w:sz w:val="20"/>
          <w:szCs w:val="20"/>
        </w:rPr>
        <w:t>ash equivalents are the dividends and other cash payments made to UGI or its corporate subsidiaries by its principal business units. Our cash and cash equivalents totaled $545 million at June 30, 2021, compared with $336 million at September 30, 2020. Excl</w:t>
      </w:r>
      <w:r>
        <w:rPr>
          <w:rFonts w:eastAsia="Times New Roman"/>
          <w:color w:val="000000"/>
          <w:sz w:val="20"/>
          <w:szCs w:val="20"/>
        </w:rPr>
        <w:t>uding cash and cash equivalents that reside at UGI’s operating subsidiaries, at June 30, 2021 and September 30, 2020, UGI had $134 million and $112 million of cash and cash equivalents, respectively. Such cash is available to pay dividends on UGI Common St</w:t>
      </w:r>
      <w:r>
        <w:rPr>
          <w:rFonts w:eastAsia="Times New Roman"/>
          <w:color w:val="000000"/>
          <w:sz w:val="20"/>
          <w:szCs w:val="20"/>
        </w:rPr>
        <w:t>ock and for investment purposes.</w:t>
      </w:r>
    </w:p>
    <w:p w:rsidR="00000000" w:rsidRDefault="005D625B">
      <w:pPr>
        <w:jc w:val="both"/>
        <w:rPr>
          <w:rFonts w:eastAsia="Times New Roman"/>
        </w:rPr>
      </w:pPr>
    </w:p>
    <w:p w:rsidR="00000000" w:rsidRDefault="005D625B">
      <w:pPr>
        <w:jc w:val="center"/>
        <w:divId w:val="1320576556"/>
        <w:rPr>
          <w:rFonts w:eastAsia="Times New Roman"/>
        </w:rPr>
      </w:pPr>
      <w:r>
        <w:rPr>
          <w:rFonts w:eastAsia="Times New Roman"/>
          <w:color w:val="000000"/>
          <w:sz w:val="20"/>
          <w:szCs w:val="20"/>
        </w:rPr>
        <w:t>51</w:t>
      </w:r>
    </w:p>
    <w:p w:rsidR="00000000" w:rsidRDefault="005D625B">
      <w:pPr>
        <w:rPr>
          <w:rFonts w:eastAsia="Times New Roman"/>
        </w:rPr>
      </w:pPr>
      <w:r>
        <w:rPr>
          <w:rFonts w:eastAsia="Times New Roman"/>
        </w:rPr>
        <w:pict>
          <v:rect id="_x0000_i1077" style="width:0;height:1.5pt" o:hralign="center" o:hrstd="t" o:hr="t" fillcolor="#a0a0a0" stroked="f"/>
        </w:pict>
      </w:r>
    </w:p>
    <w:p w:rsidR="00000000" w:rsidRDefault="005D625B">
      <w:pPr>
        <w:divId w:val="707532524"/>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970670262"/>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b/>
          <w:bCs/>
          <w:color w:val="000000"/>
          <w:sz w:val="20"/>
          <w:szCs w:val="20"/>
        </w:rPr>
        <w:t>Long-term Debt and Credit Facilities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Long-term Debt</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The Company’s debt outstanding at June 30, 2021 and Sep</w:t>
      </w:r>
      <w:r>
        <w:rPr>
          <w:rFonts w:eastAsia="Times New Roman"/>
          <w:color w:val="000000"/>
          <w:sz w:val="20"/>
          <w:szCs w:val="20"/>
        </w:rPr>
        <w:t>tember 30, 2020, comprises the following:</w:t>
      </w:r>
    </w:p>
    <w:tbl>
      <w:tblPr>
        <w:tblW w:w="4846" w:type="pct"/>
        <w:jc w:val="center"/>
        <w:tblCellMar>
          <w:top w:w="15" w:type="dxa"/>
          <w:left w:w="15" w:type="dxa"/>
          <w:bottom w:w="15" w:type="dxa"/>
          <w:right w:w="15" w:type="dxa"/>
        </w:tblCellMar>
        <w:tblLook w:val="04A0" w:firstRow="1" w:lastRow="0" w:firstColumn="1" w:lastColumn="0" w:noHBand="0" w:noVBand="1"/>
      </w:tblPr>
      <w:tblGrid>
        <w:gridCol w:w="58"/>
        <w:gridCol w:w="1380"/>
        <w:gridCol w:w="38"/>
        <w:gridCol w:w="121"/>
        <w:gridCol w:w="766"/>
        <w:gridCol w:w="36"/>
        <w:gridCol w:w="36"/>
        <w:gridCol w:w="36"/>
        <w:gridCol w:w="36"/>
        <w:gridCol w:w="121"/>
        <w:gridCol w:w="964"/>
        <w:gridCol w:w="36"/>
        <w:gridCol w:w="36"/>
        <w:gridCol w:w="36"/>
        <w:gridCol w:w="36"/>
        <w:gridCol w:w="121"/>
        <w:gridCol w:w="823"/>
        <w:gridCol w:w="36"/>
        <w:gridCol w:w="36"/>
        <w:gridCol w:w="36"/>
        <w:gridCol w:w="36"/>
        <w:gridCol w:w="121"/>
        <w:gridCol w:w="605"/>
        <w:gridCol w:w="36"/>
        <w:gridCol w:w="36"/>
        <w:gridCol w:w="36"/>
        <w:gridCol w:w="36"/>
        <w:gridCol w:w="120"/>
        <w:gridCol w:w="350"/>
        <w:gridCol w:w="36"/>
        <w:gridCol w:w="36"/>
        <w:gridCol w:w="36"/>
        <w:gridCol w:w="36"/>
        <w:gridCol w:w="120"/>
        <w:gridCol w:w="500"/>
        <w:gridCol w:w="36"/>
        <w:gridCol w:w="36"/>
        <w:gridCol w:w="36"/>
        <w:gridCol w:w="36"/>
        <w:gridCol w:w="121"/>
        <w:gridCol w:w="821"/>
        <w:gridCol w:w="36"/>
      </w:tblGrid>
      <w:tr w:rsidR="00000000">
        <w:trPr>
          <w:divId w:val="801387441"/>
          <w:jc w:val="center"/>
        </w:trPr>
        <w:tc>
          <w:tcPr>
            <w:tcW w:w="50" w:type="pct"/>
            <w:vAlign w:val="center"/>
            <w:hideMark/>
          </w:tcPr>
          <w:p w:rsidR="00000000" w:rsidRDefault="005D625B">
            <w:pPr>
              <w:jc w:val="both"/>
              <w:rPr>
                <w:rFonts w:eastAsia="Times New Roman"/>
              </w:rPr>
            </w:pPr>
          </w:p>
        </w:tc>
        <w:tc>
          <w:tcPr>
            <w:tcW w:w="1083"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3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4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4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2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14"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39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60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801387441"/>
          <w:jc w:val="center"/>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September 30, 2020</w:t>
            </w:r>
          </w:p>
        </w:tc>
      </w:tr>
      <w:tr w:rsidR="00000000">
        <w:trPr>
          <w:divId w:val="801387441"/>
          <w:jc w:val="center"/>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(Millions of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AmeriGas Propane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UGI International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 xml:space="preserve">Midstream &amp; </w:t>
            </w:r>
            <w:r>
              <w:rPr>
                <w:rFonts w:eastAsia="Times New Roman"/>
                <w:color w:val="000000"/>
                <w:sz w:val="20"/>
                <w:szCs w:val="20"/>
              </w:rPr>
              <w:t>Marketing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UGI Utilities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Corp &amp; 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Total</w:t>
            </w:r>
          </w:p>
        </w:tc>
      </w:tr>
      <w:tr w:rsidR="005D625B">
        <w:trPr>
          <w:divId w:val="801387441"/>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Short-term borrowings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01387441"/>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801387441"/>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Long-term debt (including current maturities):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5D625B">
        <w:trPr>
          <w:divId w:val="801387441"/>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Senior notes</w:t>
            </w: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2,575 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1,075 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4,065 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3,960 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01387441"/>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Term loans</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686 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1,735 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1,741 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01387441"/>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Other long-term debt</w:t>
            </w: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801387441"/>
          <w:jc w:val="center"/>
        </w:trPr>
        <w:tc>
          <w:tcPr>
            <w:tcW w:w="0" w:type="auto"/>
            <w:gridSpan w:val="3"/>
            <w:shd w:val="clear" w:color="auto" w:fill="CCEE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Unamortized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divId w:val="801387441"/>
          <w:jc w:val="center"/>
        </w:trPr>
        <w:tc>
          <w:tcPr>
            <w:tcW w:w="0" w:type="auto"/>
            <w:gridSpan w:val="3"/>
            <w:shd w:val="clear" w:color="auto" w:fill="FFFFFF"/>
            <w:tcMar>
              <w:top w:w="30" w:type="dxa"/>
              <w:left w:w="24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Total long-term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6,034 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5D625B">
        <w:trPr>
          <w:divId w:val="801387441"/>
          <w:jc w:val="center"/>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Total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1,314 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6,054 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6,381 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Credit Facilities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Additional information related to the Company’s credit agreements can be found in Item 7, “Management’s Discussion and Analysis of Financial Condition and Results of Operations,” and Note 6 to Consolidated Financial Statements in the Company’s 2020 Annual </w:t>
      </w:r>
      <w:r>
        <w:rPr>
          <w:rFonts w:eastAsia="Times New Roman"/>
          <w:color w:val="000000"/>
          <w:sz w:val="20"/>
          <w:szCs w:val="20"/>
        </w:rPr>
        <w:t>Report.</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Information about the Company’s principal credit agreements (excluding the Energy Services Receivables Facility discussed below) as of June 30, 2021 and 2020, is presented in the table below.</w:t>
      </w:r>
    </w:p>
    <w:tbl>
      <w:tblPr>
        <w:tblW w:w="4992" w:type="pct"/>
        <w:tblCellMar>
          <w:top w:w="15" w:type="dxa"/>
          <w:left w:w="15" w:type="dxa"/>
          <w:bottom w:w="15" w:type="dxa"/>
          <w:right w:w="15" w:type="dxa"/>
        </w:tblCellMar>
        <w:tblLook w:val="04A0" w:firstRow="1" w:lastRow="0" w:firstColumn="1" w:lastColumn="0" w:noHBand="0" w:noVBand="1"/>
      </w:tblPr>
      <w:tblGrid>
        <w:gridCol w:w="39"/>
        <w:gridCol w:w="3871"/>
        <w:gridCol w:w="38"/>
        <w:gridCol w:w="36"/>
        <w:gridCol w:w="36"/>
        <w:gridCol w:w="36"/>
        <w:gridCol w:w="121"/>
        <w:gridCol w:w="820"/>
        <w:gridCol w:w="36"/>
        <w:gridCol w:w="36"/>
        <w:gridCol w:w="36"/>
        <w:gridCol w:w="36"/>
        <w:gridCol w:w="121"/>
        <w:gridCol w:w="837"/>
        <w:gridCol w:w="36"/>
        <w:gridCol w:w="36"/>
        <w:gridCol w:w="36"/>
        <w:gridCol w:w="36"/>
        <w:gridCol w:w="121"/>
        <w:gridCol w:w="837"/>
        <w:gridCol w:w="36"/>
        <w:gridCol w:w="36"/>
        <w:gridCol w:w="36"/>
        <w:gridCol w:w="36"/>
        <w:gridCol w:w="121"/>
        <w:gridCol w:w="791"/>
        <w:gridCol w:w="36"/>
      </w:tblGrid>
      <w:tr w:rsidR="00000000">
        <w:trPr>
          <w:divId w:val="1213035722"/>
        </w:trPr>
        <w:tc>
          <w:tcPr>
            <w:tcW w:w="50" w:type="pct"/>
            <w:vAlign w:val="center"/>
            <w:hideMark/>
          </w:tcPr>
          <w:p w:rsidR="00000000" w:rsidRDefault="005D625B">
            <w:pPr>
              <w:jc w:val="both"/>
              <w:rPr>
                <w:rFonts w:eastAsia="Times New Roman"/>
              </w:rPr>
            </w:pPr>
          </w:p>
        </w:tc>
        <w:tc>
          <w:tcPr>
            <w:tcW w:w="236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213035722"/>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(Currency in millions)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Total Capacity</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Borrowings Outstanding</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Letters of Credit and Guarantees Outstanding</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Available Borrowing Capacity</w:t>
            </w:r>
          </w:p>
        </w:tc>
      </w:tr>
      <w:tr w:rsidR="00000000">
        <w:trPr>
          <w:divId w:val="121303572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As of June 30, 2021</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13035722"/>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433 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213035722"/>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International, LLC (a)</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213035722"/>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Energy Services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213035722"/>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213035722"/>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Corporation (b)</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213035722"/>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As of June 30, 2020</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13035722"/>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213035722"/>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International, LLC (a)</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213035722"/>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213035722"/>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1213035722"/>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Energy Services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213035722"/>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310 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1213035722"/>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Corporation (b)</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ind w:hanging="360"/>
        <w:jc w:val="both"/>
        <w:rPr>
          <w:rFonts w:eastAsia="Times New Roman"/>
        </w:rPr>
      </w:pPr>
      <w:r>
        <w:rPr>
          <w:rFonts w:eastAsia="Times New Roman"/>
          <w:color w:val="000000"/>
          <w:sz w:val="20"/>
          <w:szCs w:val="20"/>
        </w:rPr>
        <w:t>(a)Permits UGI International, LLC to borrow in euros or dollars. At June 30, 2020, the amount borrowed co</w:t>
      </w:r>
      <w:r>
        <w:rPr>
          <w:rFonts w:eastAsia="Times New Roman"/>
          <w:color w:val="000000"/>
          <w:sz w:val="20"/>
          <w:szCs w:val="20"/>
        </w:rPr>
        <w:t>nsisted of USD-denominated borrowings of $180 million.</w:t>
      </w:r>
    </w:p>
    <w:p w:rsidR="00000000" w:rsidRDefault="005D625B">
      <w:pPr>
        <w:ind w:hanging="360"/>
        <w:jc w:val="both"/>
        <w:rPr>
          <w:rFonts w:eastAsia="Times New Roman"/>
        </w:rPr>
      </w:pPr>
      <w:r>
        <w:rPr>
          <w:rFonts w:eastAsia="Times New Roman"/>
          <w:color w:val="000000"/>
          <w:sz w:val="20"/>
          <w:szCs w:val="20"/>
        </w:rPr>
        <w:t>(b)Borrowings outstanding have been classified as “Long-term debt” on the Condensed Consolidated Balance Sheets. In July 2021, the Company repaid $15 million of such borrowings and classified these rep</w:t>
      </w:r>
      <w:r>
        <w:rPr>
          <w:rFonts w:eastAsia="Times New Roman"/>
          <w:color w:val="000000"/>
          <w:sz w:val="20"/>
          <w:szCs w:val="20"/>
        </w:rPr>
        <w:t>ayments as “Current maturities of long-term debt” on the June 30, 2021 Condensed Consolidated Balance Sheet.</w:t>
      </w:r>
    </w:p>
    <w:p w:rsidR="00000000" w:rsidRDefault="005D625B">
      <w:pPr>
        <w:divId w:val="220529781"/>
        <w:rPr>
          <w:rFonts w:eastAsia="Times New Roman"/>
        </w:rPr>
      </w:pPr>
    </w:p>
    <w:p w:rsidR="00000000" w:rsidRDefault="005D625B">
      <w:pPr>
        <w:jc w:val="center"/>
        <w:divId w:val="60908156"/>
        <w:rPr>
          <w:rFonts w:eastAsia="Times New Roman"/>
        </w:rPr>
      </w:pPr>
      <w:r>
        <w:rPr>
          <w:rFonts w:eastAsia="Times New Roman"/>
          <w:color w:val="000000"/>
          <w:sz w:val="20"/>
          <w:szCs w:val="20"/>
        </w:rPr>
        <w:t>52</w:t>
      </w:r>
    </w:p>
    <w:p w:rsidR="00000000" w:rsidRDefault="005D625B">
      <w:pPr>
        <w:rPr>
          <w:rFonts w:eastAsia="Times New Roman"/>
        </w:rPr>
      </w:pPr>
      <w:r>
        <w:rPr>
          <w:rFonts w:eastAsia="Times New Roman"/>
        </w:rPr>
        <w:pict>
          <v:rect id="_x0000_i1078" style="width:0;height:1.5pt" o:hralign="center" o:hrstd="t" o:hr="t" fillcolor="#a0a0a0" stroked="f"/>
        </w:pict>
      </w:r>
    </w:p>
    <w:p w:rsidR="00000000" w:rsidRDefault="005D625B">
      <w:pPr>
        <w:divId w:val="1543444736"/>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322776651"/>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color w:val="000000"/>
          <w:sz w:val="20"/>
          <w:szCs w:val="20"/>
        </w:rPr>
        <w:t>The average daily and peak short-term borrowings under the Company’s principal credit agreements are as follows:</w:t>
      </w:r>
    </w:p>
    <w:tbl>
      <w:tblPr>
        <w:tblW w:w="4992" w:type="pct"/>
        <w:tblCellMar>
          <w:top w:w="15" w:type="dxa"/>
          <w:left w:w="15" w:type="dxa"/>
          <w:bottom w:w="15" w:type="dxa"/>
          <w:right w:w="15" w:type="dxa"/>
        </w:tblCellMar>
        <w:tblLook w:val="04A0" w:firstRow="1" w:lastRow="0" w:firstColumn="1" w:lastColumn="0" w:noHBand="0" w:noVBand="1"/>
      </w:tblPr>
      <w:tblGrid>
        <w:gridCol w:w="39"/>
        <w:gridCol w:w="3871"/>
        <w:gridCol w:w="38"/>
        <w:gridCol w:w="36"/>
        <w:gridCol w:w="36"/>
        <w:gridCol w:w="36"/>
        <w:gridCol w:w="121"/>
        <w:gridCol w:w="820"/>
        <w:gridCol w:w="37"/>
        <w:gridCol w:w="36"/>
        <w:gridCol w:w="36"/>
        <w:gridCol w:w="36"/>
        <w:gridCol w:w="120"/>
        <w:gridCol w:w="821"/>
        <w:gridCol w:w="36"/>
        <w:gridCol w:w="36"/>
        <w:gridCol w:w="36"/>
        <w:gridCol w:w="36"/>
        <w:gridCol w:w="121"/>
        <w:gridCol w:w="822"/>
        <w:gridCol w:w="37"/>
        <w:gridCol w:w="36"/>
        <w:gridCol w:w="36"/>
        <w:gridCol w:w="36"/>
        <w:gridCol w:w="120"/>
        <w:gridCol w:w="822"/>
        <w:gridCol w:w="36"/>
      </w:tblGrid>
      <w:tr w:rsidR="00000000">
        <w:trPr>
          <w:divId w:val="408428883"/>
        </w:trPr>
        <w:tc>
          <w:tcPr>
            <w:tcW w:w="50" w:type="pct"/>
            <w:vAlign w:val="center"/>
            <w:hideMark/>
          </w:tcPr>
          <w:p w:rsidR="00000000" w:rsidRDefault="005D625B">
            <w:pPr>
              <w:jc w:val="both"/>
              <w:rPr>
                <w:rFonts w:eastAsia="Times New Roman"/>
              </w:rPr>
            </w:pPr>
          </w:p>
        </w:tc>
        <w:tc>
          <w:tcPr>
            <w:tcW w:w="236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5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408428883"/>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5D625B">
            <w:pPr>
              <w:spacing w:after="100"/>
              <w:jc w:val="center"/>
              <w:rPr>
                <w:rFonts w:eastAsia="Times New Roman"/>
              </w:rPr>
            </w:pPr>
            <w:r>
              <w:rPr>
                <w:rFonts w:eastAsia="Times New Roman"/>
                <w:color w:val="000000"/>
                <w:sz w:val="18"/>
                <w:szCs w:val="18"/>
              </w:rPr>
              <w:t xml:space="preserve">For the nine months ended </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5D625B">
            <w:pPr>
              <w:spacing w:after="100"/>
              <w:jc w:val="center"/>
              <w:rPr>
                <w:rFonts w:eastAsia="Times New Roman"/>
              </w:rPr>
            </w:pPr>
            <w:r>
              <w:rPr>
                <w:rFonts w:eastAsia="Times New Roman"/>
                <w:color w:val="000000"/>
                <w:sz w:val="18"/>
                <w:szCs w:val="18"/>
              </w:rPr>
              <w:t xml:space="preserve">For the nine months ended </w:t>
            </w:r>
          </w:p>
        </w:tc>
      </w:tr>
      <w:tr w:rsidR="00000000">
        <w:trPr>
          <w:divId w:val="408428883"/>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5D625B">
            <w:pPr>
              <w:spacing w:after="100"/>
              <w:jc w:val="center"/>
              <w:rPr>
                <w:rFonts w:eastAsia="Times New Roman"/>
              </w:rPr>
            </w:pPr>
            <w:r>
              <w:rPr>
                <w:rFonts w:eastAsia="Times New Roman"/>
                <w:color w:val="000000"/>
                <w:sz w:val="18"/>
                <w:szCs w:val="18"/>
              </w:rPr>
              <w:t>June 30, 2021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5D625B">
            <w:pPr>
              <w:spacing w:after="100"/>
              <w:jc w:val="center"/>
              <w:rPr>
                <w:rFonts w:eastAsia="Times New Roman"/>
              </w:rPr>
            </w:pPr>
            <w:r>
              <w:rPr>
                <w:rFonts w:eastAsia="Times New Roman"/>
                <w:color w:val="000000"/>
                <w:sz w:val="18"/>
                <w:szCs w:val="18"/>
              </w:rPr>
              <w:t>June 30, 2020</w:t>
            </w:r>
          </w:p>
        </w:tc>
      </w:tr>
      <w:tr w:rsidR="00000000">
        <w:trPr>
          <w:divId w:val="408428883"/>
        </w:trPr>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8"/>
                <w:szCs w:val="18"/>
              </w:rPr>
              <w:t>(Millions of dollars or euros)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Peak</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18"/>
                <w:szCs w:val="18"/>
              </w:rPr>
              <w:t>Peak</w:t>
            </w:r>
          </w:p>
        </w:tc>
      </w:tr>
      <w:tr w:rsidR="00000000">
        <w:trPr>
          <w:divId w:val="40842888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408428883"/>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International, LLC</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408428883"/>
        </w:trPr>
        <w:tc>
          <w:tcPr>
            <w:tcW w:w="0" w:type="auto"/>
            <w:gridSpan w:val="3"/>
            <w:vAlign w:val="center"/>
            <w:hideMark/>
          </w:tcPr>
          <w:p w:rsidR="00000000" w:rsidRDefault="005D625B">
            <w:pPr>
              <w:spacing w:after="100"/>
              <w:jc w:val="right"/>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408428883"/>
        </w:trPr>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c>
          <w:tcPr>
            <w:tcW w:w="0" w:type="auto"/>
            <w:gridSpan w:val="3"/>
            <w:vAlign w:val="center"/>
            <w:hideMark/>
          </w:tcPr>
          <w:p w:rsidR="00000000" w:rsidRDefault="005D625B">
            <w:pPr>
              <w:spacing w:after="100"/>
              <w:rPr>
                <w:rFonts w:eastAsia="Times New Roman"/>
                <w:sz w:val="20"/>
                <w:szCs w:val="20"/>
              </w:rPr>
            </w:pPr>
          </w:p>
        </w:tc>
      </w:tr>
      <w:tr w:rsidR="00000000">
        <w:trPr>
          <w:divId w:val="408428883"/>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Energy Services</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408428883"/>
        </w:trPr>
        <w:tc>
          <w:tcPr>
            <w:tcW w:w="0" w:type="auto"/>
            <w:gridSpan w:val="3"/>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206 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rPr>
          <w:divId w:val="408428883"/>
        </w:trPr>
        <w:tc>
          <w:tcPr>
            <w:tcW w:w="0" w:type="auto"/>
            <w:gridSpan w:val="3"/>
            <w:shd w:val="clear" w:color="auto" w:fill="FFFF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UGI Corporation</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 xml:space="preserve">Receivables Facility. </w:t>
      </w:r>
      <w:r>
        <w:rPr>
          <w:rFonts w:eastAsia="Times New Roman"/>
          <w:color w:val="000000"/>
          <w:sz w:val="20"/>
          <w:szCs w:val="20"/>
        </w:rPr>
        <w:t xml:space="preserve">Energy Services has a Receivables Facility with an issuer of receivables-backed commercial paper currently scheduled to expire in October 22, 2021. At June 30, 2021, the outstanding balance of ESFC trade receivables was $48 million, none of which was sold </w:t>
      </w:r>
      <w:r>
        <w:rPr>
          <w:rFonts w:eastAsia="Times New Roman"/>
          <w:color w:val="000000"/>
          <w:sz w:val="20"/>
          <w:szCs w:val="20"/>
        </w:rPr>
        <w:t>to the bank. At June 30, 2020, the outstanding balance of ESFC trade receivables was $86 million, of which $43 million was sold to the bank. Amounts sold to the bank are reflected as “Short-term borrowings” on the Condensed Consolidated Balance Sheets. Dur</w:t>
      </w:r>
      <w:r>
        <w:rPr>
          <w:rFonts w:eastAsia="Times New Roman"/>
          <w:color w:val="000000"/>
          <w:sz w:val="20"/>
          <w:szCs w:val="20"/>
        </w:rPr>
        <w:t>ing the nine months ended June 30, 2021 and 2020, peak sales of receivables were $87 million and $97 million, respectively, and average daily amounts sold were $27 million and $55 million, respectively.</w:t>
      </w:r>
    </w:p>
    <w:p w:rsidR="00000000" w:rsidRDefault="005D625B">
      <w:pPr>
        <w:divId w:val="246504142"/>
        <w:rPr>
          <w:rFonts w:eastAsia="Times New Roman"/>
        </w:rPr>
      </w:pPr>
    </w:p>
    <w:p w:rsidR="00000000" w:rsidRDefault="005D625B">
      <w:pPr>
        <w:jc w:val="both"/>
        <w:rPr>
          <w:rFonts w:eastAsia="Times New Roman"/>
        </w:rPr>
      </w:pPr>
      <w:r>
        <w:rPr>
          <w:rFonts w:eastAsia="Times New Roman"/>
          <w:b/>
          <w:bCs/>
          <w:color w:val="000000"/>
          <w:sz w:val="20"/>
          <w:szCs w:val="20"/>
        </w:rPr>
        <w:t xml:space="preserve">Significant Financing Activities </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2021 UGI Corpor</w:t>
      </w:r>
      <w:r>
        <w:rPr>
          <w:rFonts w:eastAsia="Times New Roman"/>
          <w:b/>
          <w:bCs/>
          <w:i/>
          <w:iCs/>
          <w:color w:val="000000"/>
          <w:sz w:val="20"/>
          <w:szCs w:val="20"/>
        </w:rPr>
        <w:t xml:space="preserve">ation Senior Credit Facility. </w:t>
      </w:r>
      <w:r>
        <w:rPr>
          <w:rFonts w:eastAsia="Times New Roman"/>
          <w:color w:val="000000"/>
          <w:sz w:val="20"/>
          <w:szCs w:val="20"/>
        </w:rPr>
        <w:t>On May 4, 2021, UGI amended the existing UGI Corporation Senior Credit Facility. The 2021 UGI Corporation Senior Credit Facility (1) extends the maturity date of the previous three-year $300 million term loan included in the e</w:t>
      </w:r>
      <w:r>
        <w:rPr>
          <w:rFonts w:eastAsia="Times New Roman"/>
          <w:color w:val="000000"/>
          <w:sz w:val="20"/>
          <w:szCs w:val="20"/>
        </w:rPr>
        <w:t>xisting UGI Corporation Senior Credit Facility, which is now due in May 2025; and (2) includes a new four-year term loan commitment, which effective June 9, 2021, was reduced from $300 million to $215 million pursuant to the terms of the 2021 UGI Corporati</w:t>
      </w:r>
      <w:r>
        <w:rPr>
          <w:rFonts w:eastAsia="Times New Roman"/>
          <w:color w:val="000000"/>
          <w:sz w:val="20"/>
          <w:szCs w:val="20"/>
        </w:rPr>
        <w:t>on Senior Credit Facility. Proceeds from new borrowings under the 2021 UGI Corporation Senior Credit Facility may be used to finance a portion of the Mountaineer Acquisition and for general corporate purposes.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New borrowings under the 2021 UGI Corporatio</w:t>
      </w:r>
      <w:r>
        <w:rPr>
          <w:rFonts w:eastAsia="Times New Roman"/>
          <w:color w:val="000000"/>
          <w:sz w:val="20"/>
          <w:szCs w:val="20"/>
        </w:rPr>
        <w:t>n Senior Credit Facility bear interest subject to our election, at either (1) the associated prime rate plus a margin or (2) an adjusted LIBOR or an alternate benchmark rate plus a margin and are due in their entirety at the maturity date. The applicable m</w:t>
      </w:r>
      <w:r>
        <w:rPr>
          <w:rFonts w:eastAsia="Times New Roman"/>
          <w:color w:val="000000"/>
          <w:sz w:val="20"/>
          <w:szCs w:val="20"/>
        </w:rPr>
        <w:t>argin on the new borrowings, which is dependent upon a ratio of consolidated net indebtedness to consolidated EBITDA, as defined, or UGI’s credit ratings, ranges from 0.125% to 1.50% if the prime rate option is elected and 1.125% to 2.50% if the LIBOR opti</w:t>
      </w:r>
      <w:r>
        <w:rPr>
          <w:rFonts w:eastAsia="Times New Roman"/>
          <w:color w:val="000000"/>
          <w:sz w:val="20"/>
          <w:szCs w:val="20"/>
        </w:rPr>
        <w:t>on is elected.</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During the nine months ended June 30, 2021, the Company repaid $285 million of borrowings on its five-year $300 million revolving credit facility under the 2021 UGI Corporation Senior Credit Facility. A portion of these repayments were fun</w:t>
      </w:r>
      <w:r>
        <w:rPr>
          <w:rFonts w:eastAsia="Times New Roman"/>
          <w:color w:val="000000"/>
          <w:sz w:val="20"/>
          <w:szCs w:val="20"/>
        </w:rPr>
        <w:t>ded by the proceeds from the issuance of Equity Units discussed in Note 8. In July 2021, the Company repaid the remaining $15 million of borrowings outstanding on this revolving credit facility. As a result of this repayment in July, the Company classified</w:t>
      </w:r>
      <w:r>
        <w:rPr>
          <w:rFonts w:eastAsia="Times New Roman"/>
          <w:color w:val="000000"/>
          <w:sz w:val="20"/>
          <w:szCs w:val="20"/>
        </w:rPr>
        <w:t xml:space="preserve"> these repayments as “Current maturities of long-term debt” on the June 30, 2021 Condensed Consolidated Balance Sheet. The Company intends to draw upon this revolving credit facility concurrent with the closing of the pending Mountaineer Acquisition.</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UGI</w:t>
      </w:r>
      <w:r>
        <w:rPr>
          <w:rFonts w:eastAsia="Times New Roman"/>
          <w:b/>
          <w:bCs/>
          <w:i/>
          <w:iCs/>
          <w:color w:val="000000"/>
          <w:sz w:val="20"/>
          <w:szCs w:val="20"/>
        </w:rPr>
        <w:t xml:space="preserve"> Utilities Senior Notes.</w:t>
      </w:r>
      <w:r>
        <w:rPr>
          <w:rFonts w:eastAsia="Times New Roman"/>
          <w:color w:val="000000"/>
          <w:sz w:val="20"/>
          <w:szCs w:val="20"/>
        </w:rPr>
        <w:t xml:space="preserve"> On May 7, 2021, UGI Utilities entered into a Note Purchase Agreement which provides for the private placement of (1) $100 million aggregate principal amount of 1.59% Senior Notes due June 15, 2026 and (2) $75 million aggregate prin</w:t>
      </w:r>
      <w:r>
        <w:rPr>
          <w:rFonts w:eastAsia="Times New Roman"/>
          <w:color w:val="000000"/>
          <w:sz w:val="20"/>
          <w:szCs w:val="20"/>
        </w:rPr>
        <w:t xml:space="preserve">cipal amount of 1.64% Senior Notes due September 15, 2026. On June 15, 2021, UGI Utilities issued $100 million aggregate principal amount of 1.59% Senior Notes pursuant to the Note Purchase Agreement. The net proceeds from the issuance of the 1.59% Senior </w:t>
      </w:r>
      <w:r>
        <w:rPr>
          <w:rFonts w:eastAsia="Times New Roman"/>
          <w:color w:val="000000"/>
          <w:sz w:val="20"/>
          <w:szCs w:val="20"/>
        </w:rPr>
        <w:t>Notes were used to repay short-term borrowings. The 1.64% Senior Notes are expected to be issued in September 2021. UGI Utilities expects to use the net proceeds from the issuance of the 1.64% Senior Notes to reduce short-term borrowings and for general co</w:t>
      </w:r>
      <w:r>
        <w:rPr>
          <w:rFonts w:eastAsia="Times New Roman"/>
          <w:color w:val="000000"/>
          <w:sz w:val="20"/>
          <w:szCs w:val="20"/>
        </w:rPr>
        <w:t xml:space="preserve">rporate purposes. </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Issuance of Equity Units.</w:t>
      </w:r>
      <w:r>
        <w:rPr>
          <w:rFonts w:eastAsia="Times New Roman"/>
          <w:color w:val="000000"/>
          <w:sz w:val="20"/>
          <w:szCs w:val="20"/>
        </w:rPr>
        <w:t xml:space="preserve"> On May 25, 2021, the Company issued 2.2 million Equity Units with a total notional value of $220 million. Each Equity Unit has a stated amount of $100 and consists of 1) a 10% undivided beneficial ownership in</w:t>
      </w:r>
      <w:r>
        <w:rPr>
          <w:rFonts w:eastAsia="Times New Roman"/>
          <w:color w:val="000000"/>
          <w:sz w:val="20"/>
          <w:szCs w:val="20"/>
        </w:rPr>
        <w:t>terest in one share of Convertible Preferred Stock with a liquidation preference of $1,000 per share and 2) a 2024 Purchase Contract. The Company received approximately $213 million in proceeds from the issuance of the Equity Units, net of offering expense</w:t>
      </w:r>
      <w:r>
        <w:rPr>
          <w:rFonts w:eastAsia="Times New Roman"/>
          <w:color w:val="000000"/>
          <w:sz w:val="20"/>
          <w:szCs w:val="20"/>
        </w:rPr>
        <w:t>s and underwriting costs and commissions, and issued 220,000 shares of Convertible Preferred Stock, recording $213 million in “Preferred stock” on the accompanying Condensed Consolidated Balance Sheet. The proceeds were used to repay borrowings on the Comp</w:t>
      </w:r>
      <w:r>
        <w:rPr>
          <w:rFonts w:eastAsia="Times New Roman"/>
          <w:color w:val="000000"/>
          <w:sz w:val="20"/>
          <w:szCs w:val="20"/>
        </w:rPr>
        <w:t xml:space="preserve">any’s five-year $300 million revolving credit facility under the 2021 UGI Corporation Senior Credit Facility. </w:t>
      </w:r>
    </w:p>
    <w:p w:rsidR="00000000" w:rsidRDefault="005D625B">
      <w:pPr>
        <w:jc w:val="center"/>
        <w:divId w:val="826092886"/>
        <w:rPr>
          <w:rFonts w:eastAsia="Times New Roman"/>
        </w:rPr>
      </w:pPr>
      <w:r>
        <w:rPr>
          <w:rFonts w:eastAsia="Times New Roman"/>
          <w:color w:val="000000"/>
          <w:sz w:val="20"/>
          <w:szCs w:val="20"/>
        </w:rPr>
        <w:t>53</w:t>
      </w:r>
    </w:p>
    <w:p w:rsidR="00000000" w:rsidRDefault="005D625B">
      <w:pPr>
        <w:rPr>
          <w:rFonts w:eastAsia="Times New Roman"/>
        </w:rPr>
      </w:pPr>
      <w:r>
        <w:rPr>
          <w:rFonts w:eastAsia="Times New Roman"/>
        </w:rPr>
        <w:pict>
          <v:rect id="_x0000_i1079" style="width:0;height:1.5pt" o:hralign="center" o:hrstd="t" o:hr="t" fillcolor="#a0a0a0" stroked="f"/>
        </w:pict>
      </w:r>
    </w:p>
    <w:p w:rsidR="00000000" w:rsidRDefault="005D625B">
      <w:pPr>
        <w:divId w:val="811218271"/>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473761269"/>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color w:val="000000"/>
          <w:sz w:val="20"/>
          <w:szCs w:val="20"/>
        </w:rPr>
        <w:t>Concurrent with the closing of the pending Mountaineer Acquisition, the Company intends to draw upon this revol</w:t>
      </w:r>
      <w:r>
        <w:rPr>
          <w:rFonts w:eastAsia="Times New Roman"/>
          <w:color w:val="000000"/>
          <w:sz w:val="20"/>
          <w:szCs w:val="20"/>
        </w:rPr>
        <w:t>ving credit facility to pay a portion of the purchase price and related fees and expenses, and for general corporate purposes.</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Dividends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On May 5, 2021, UGI’s Board of Directors approved an increase in the quarterly dividend rate on UGI Common Stock to</w:t>
      </w:r>
      <w:r>
        <w:rPr>
          <w:rFonts w:eastAsia="Times New Roman"/>
          <w:color w:val="000000"/>
          <w:sz w:val="20"/>
          <w:szCs w:val="20"/>
        </w:rPr>
        <w:t xml:space="preserve"> $0.345 per Common Share, or $1.38 on an annual basis. The new dividend rate reflects an approximate 4.5% increase from the previous quarterly rate of $0.33. The new dividend was paid on July 1, 2021, to shareholders of record on June 15, 2021. On August 4</w:t>
      </w:r>
      <w:r>
        <w:rPr>
          <w:rFonts w:eastAsia="Times New Roman"/>
          <w:color w:val="000000"/>
          <w:sz w:val="20"/>
          <w:szCs w:val="20"/>
        </w:rPr>
        <w:t>, 2021, UGI’s Board of Directors declared a quarterly dividend of $0.345 per common share. The dividend is payable October 1, 2021, to shareholders of record on September 15, 2021.</w:t>
      </w:r>
    </w:p>
    <w:p w:rsidR="00000000" w:rsidRDefault="005D625B">
      <w:pPr>
        <w:jc w:val="both"/>
        <w:rPr>
          <w:rFonts w:eastAsia="Times New Roman"/>
        </w:rPr>
      </w:pPr>
    </w:p>
    <w:p w:rsidR="00000000" w:rsidRDefault="005D625B">
      <w:pPr>
        <w:jc w:val="both"/>
        <w:rPr>
          <w:rFonts w:eastAsia="Times New Roman"/>
        </w:rPr>
      </w:pPr>
      <w:r>
        <w:rPr>
          <w:rFonts w:eastAsia="Times New Roman"/>
          <w:b/>
          <w:bCs/>
          <w:color w:val="000000"/>
          <w:sz w:val="20"/>
          <w:szCs w:val="20"/>
        </w:rPr>
        <w:t xml:space="preserve">Cash Flows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Due to the seasonal nature of the Company’s businesses, cas</w:t>
      </w:r>
      <w:r>
        <w:rPr>
          <w:rFonts w:eastAsia="Times New Roman"/>
          <w:color w:val="000000"/>
          <w:sz w:val="20"/>
          <w:szCs w:val="20"/>
        </w:rPr>
        <w:t>h flows from operating activities are generally strongest during the second and third fiscal quarters when customers pay for natural gas, LPG, electricity and other energy products and services consumed during the peak heating season months. Conversely, op</w:t>
      </w:r>
      <w:r>
        <w:rPr>
          <w:rFonts w:eastAsia="Times New Roman"/>
          <w:color w:val="000000"/>
          <w:sz w:val="20"/>
          <w:szCs w:val="20"/>
        </w:rPr>
        <w:t>erating cash flows are generally at their lowest levels during the fourth and first fiscal quarters when the Company’s investment in working capital, principally inventories and accounts receivable, is generally greatest.</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Operating Activities.</w:t>
      </w:r>
      <w:r>
        <w:rPr>
          <w:rFonts w:eastAsia="Times New Roman"/>
          <w:i/>
          <w:iCs/>
          <w:color w:val="000000"/>
          <w:sz w:val="20"/>
          <w:szCs w:val="20"/>
        </w:rPr>
        <w:t xml:space="preserve"> </w:t>
      </w:r>
      <w:r>
        <w:rPr>
          <w:rFonts w:eastAsia="Times New Roman"/>
          <w:color w:val="000000"/>
          <w:sz w:val="20"/>
          <w:szCs w:val="20"/>
        </w:rPr>
        <w:t>Year-to-ye</w:t>
      </w:r>
      <w:r>
        <w:rPr>
          <w:rFonts w:eastAsia="Times New Roman"/>
          <w:color w:val="000000"/>
          <w:sz w:val="20"/>
          <w:szCs w:val="20"/>
        </w:rPr>
        <w:t>ar variations in our cash flows from operating activities can be significantly affected by changes in operating working capital especially during periods with significant changes in energy commodity prices. Cash flow provided by operating activities was $1</w:t>
      </w:r>
      <w:r>
        <w:rPr>
          <w:rFonts w:eastAsia="Times New Roman"/>
          <w:color w:val="000000"/>
          <w:sz w:val="20"/>
          <w:szCs w:val="20"/>
        </w:rPr>
        <w:t xml:space="preserve">,047 million in the 2021 nine-month period compared to $963 million in the 2020 nine-month period. Cash flow from operating activities before changes in operating working capital was $1,179 million in the 2021 nine-month period compared to $928 million in </w:t>
      </w:r>
      <w:r>
        <w:rPr>
          <w:rFonts w:eastAsia="Times New Roman"/>
          <w:color w:val="000000"/>
          <w:sz w:val="20"/>
          <w:szCs w:val="20"/>
        </w:rPr>
        <w:t>the 2020 nine-month period</w:t>
      </w:r>
      <w:r>
        <w:rPr>
          <w:rFonts w:eastAsia="Times New Roman"/>
          <w:color w:val="000000"/>
          <w:sz w:val="20"/>
          <w:szCs w:val="20"/>
          <w:shd w:val="clear" w:color="auto" w:fill="FFFFFF"/>
        </w:rPr>
        <w:t>. The higher cash flow from operating activities before changes in working capital reflects, in large part, higher cash flow before changes in operating working capital from UGI International and Midstream &amp; Marketing attributable</w:t>
      </w:r>
      <w:r>
        <w:rPr>
          <w:rFonts w:eastAsia="Times New Roman"/>
          <w:color w:val="000000"/>
          <w:sz w:val="20"/>
          <w:szCs w:val="20"/>
          <w:shd w:val="clear" w:color="auto" w:fill="FFFFFF"/>
        </w:rPr>
        <w:t xml:space="preserve"> to higher earnings contributions as compared to the prior-year period. Cash used to fund changes in </w:t>
      </w:r>
      <w:r>
        <w:rPr>
          <w:rFonts w:eastAsia="Times New Roman"/>
          <w:color w:val="000000"/>
          <w:sz w:val="20"/>
          <w:szCs w:val="20"/>
        </w:rPr>
        <w:t>operating working capital totaled $132 million in the 2021 nine-month period compared to cash provided of $35 million in the 2020 nine-month period. Change</w:t>
      </w:r>
      <w:r>
        <w:rPr>
          <w:rFonts w:eastAsia="Times New Roman"/>
          <w:color w:val="000000"/>
          <w:sz w:val="20"/>
          <w:szCs w:val="20"/>
        </w:rPr>
        <w:t xml:space="preserve">s in operating working capital during the 2021 nine-month period reflect, among other things, an increase in cash required to fund changes in accounts receivable and inventories due to rising commodity prices during the 2021 nine-month period, net refunds </w:t>
      </w:r>
      <w:r>
        <w:rPr>
          <w:rFonts w:eastAsia="Times New Roman"/>
          <w:color w:val="000000"/>
          <w:sz w:val="20"/>
          <w:szCs w:val="20"/>
        </w:rPr>
        <w:t>of deferred fuel and power costs compared to net recoveries during the 2020 nine-month period, as well as increases in cash required to fund changes in income taxes receivable, other current assets and other current liabilities. These changes were partiall</w:t>
      </w:r>
      <w:r>
        <w:rPr>
          <w:rFonts w:eastAsia="Times New Roman"/>
          <w:color w:val="000000"/>
          <w:sz w:val="20"/>
          <w:szCs w:val="20"/>
        </w:rPr>
        <w:t>y offset by cash generated from changes in accounts payable and higher cash received for commodity derivative instrument collateral deposits in the 2021 nine-month period as compared to the 2020 nine-month period.</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Investing Activities.</w:t>
      </w:r>
      <w:r>
        <w:rPr>
          <w:rFonts w:eastAsia="Times New Roman"/>
          <w:i/>
          <w:iCs/>
          <w:color w:val="000000"/>
          <w:sz w:val="20"/>
          <w:szCs w:val="20"/>
        </w:rPr>
        <w:t xml:space="preserve"> </w:t>
      </w:r>
      <w:r>
        <w:rPr>
          <w:rFonts w:eastAsia="Times New Roman"/>
          <w:color w:val="000000"/>
          <w:sz w:val="20"/>
          <w:szCs w:val="20"/>
        </w:rPr>
        <w:t xml:space="preserve">Cash flow used by </w:t>
      </w:r>
      <w:r>
        <w:rPr>
          <w:rFonts w:eastAsia="Times New Roman"/>
          <w:color w:val="000000"/>
          <w:sz w:val="20"/>
          <w:szCs w:val="20"/>
        </w:rPr>
        <w:t>investing activities was $505 million in the 2021 nine-month period compared to $450 million in the 2020 nine-month period. Investing activity cash flow is principally affected by cash expenditures for property, plant and equipment; cash paid for acquisiti</w:t>
      </w:r>
      <w:r>
        <w:rPr>
          <w:rFonts w:eastAsia="Times New Roman"/>
          <w:color w:val="000000"/>
          <w:sz w:val="20"/>
          <w:szCs w:val="20"/>
        </w:rPr>
        <w:t xml:space="preserve">ons of businesses and assets; investments in investees; and proceeds from sales of assets and businesses. Cash expenditures for property, plant and equipment were $460 million in the 2021 nine-month period compared with $471 million in the 2020 nine-month </w:t>
      </w:r>
      <w:r>
        <w:rPr>
          <w:rFonts w:eastAsia="Times New Roman"/>
          <w:color w:val="000000"/>
          <w:sz w:val="20"/>
          <w:szCs w:val="20"/>
        </w:rPr>
        <w:t>period. Cash used for acquisitions of businesses and assets in the 2021 nine-month period reflects UGI International’s acquisitions of two LPG retail businesses and an energy marketing business in Europe. Cash used for investments in equity method investee</w:t>
      </w:r>
      <w:r>
        <w:rPr>
          <w:rFonts w:eastAsia="Times New Roman"/>
          <w:color w:val="000000"/>
          <w:sz w:val="20"/>
          <w:szCs w:val="20"/>
        </w:rPr>
        <w:t>s in the 2021 nine-month period includes contributions to Pine Run of $56 million to fund the acquisition of Pine Run Midstream, LLC.</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Financing Activities.</w:t>
      </w:r>
      <w:r>
        <w:rPr>
          <w:rFonts w:eastAsia="Times New Roman"/>
          <w:color w:val="000000"/>
          <w:sz w:val="20"/>
          <w:szCs w:val="20"/>
        </w:rPr>
        <w:t xml:space="preserve"> Changes in cash flow from financing activities are primarily due to issuances and repayments of lo</w:t>
      </w:r>
      <w:r>
        <w:rPr>
          <w:rFonts w:eastAsia="Times New Roman"/>
          <w:color w:val="000000"/>
          <w:sz w:val="20"/>
          <w:szCs w:val="20"/>
        </w:rPr>
        <w:t xml:space="preserve">ng-term debt; net short-term borrowings/repayments; dividends on UGI Common Stock; issuances of Equity Units and UGI Common Stock; and repurchases of UGI Common Stock.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Cash flow used to fund financing activities was $321 million in the 2021 nine-month period compared with $501 million in the 2020 nine-month period. During the 2021 nine-month period, the Company received $213 million in net cash proceeds from the issuance</w:t>
      </w:r>
      <w:r>
        <w:rPr>
          <w:rFonts w:eastAsia="Times New Roman"/>
          <w:color w:val="000000"/>
          <w:sz w:val="20"/>
          <w:szCs w:val="20"/>
        </w:rPr>
        <w:t xml:space="preserve"> of Equity Units. These funds were used during the period to reduce borrowings on the five-year $300 million revolving credit facility under the 2021 UGI Corporation Senior Credit Facility. Also during the 2021 and 2020 nine-month periods, UGI Utilities is</w:t>
      </w:r>
      <w:r>
        <w:rPr>
          <w:rFonts w:eastAsia="Times New Roman"/>
          <w:color w:val="000000"/>
          <w:sz w:val="20"/>
          <w:szCs w:val="20"/>
        </w:rPr>
        <w:t>sued $100 million of senior notes due June 2026 and $150 million of senior notes due April 2050, respectively. The change in cash flows used to fund financing activities is primarily attributable to lower net repayments on revolving facility agreements and</w:t>
      </w:r>
      <w:r>
        <w:rPr>
          <w:rFonts w:eastAsia="Times New Roman"/>
          <w:color w:val="000000"/>
          <w:sz w:val="20"/>
          <w:szCs w:val="20"/>
        </w:rPr>
        <w:t xml:space="preserve"> the Receivables Facility in the 2021 nine-month period as compared to the 2020 nine-month period. Cash used to fund changes in financing activities in the 2020 nine-month period includes $38 million of cash paid to repurchase UGI Common Stock.</w:t>
      </w:r>
    </w:p>
    <w:p w:rsidR="00000000" w:rsidRDefault="005D625B">
      <w:pPr>
        <w:jc w:val="both"/>
        <w:rPr>
          <w:rFonts w:eastAsia="Times New Roman"/>
        </w:rPr>
      </w:pPr>
    </w:p>
    <w:p w:rsidR="00000000" w:rsidRDefault="005D625B">
      <w:pPr>
        <w:jc w:val="center"/>
        <w:divId w:val="104157972"/>
        <w:rPr>
          <w:rFonts w:eastAsia="Times New Roman"/>
        </w:rPr>
      </w:pPr>
      <w:r>
        <w:rPr>
          <w:rFonts w:eastAsia="Times New Roman"/>
          <w:color w:val="000000"/>
          <w:sz w:val="20"/>
          <w:szCs w:val="20"/>
        </w:rPr>
        <w:t>54</w:t>
      </w:r>
    </w:p>
    <w:p w:rsidR="00000000" w:rsidRDefault="005D625B">
      <w:pPr>
        <w:rPr>
          <w:rFonts w:eastAsia="Times New Roman"/>
        </w:rPr>
      </w:pPr>
      <w:r>
        <w:rPr>
          <w:rFonts w:eastAsia="Times New Roman"/>
        </w:rPr>
        <w:pict>
          <v:rect id="_x0000_i1080" style="width:0;height:1.5pt" o:hralign="center" o:hrstd="t" o:hr="t" fillcolor="#a0a0a0" stroked="f"/>
        </w:pict>
      </w:r>
    </w:p>
    <w:p w:rsidR="00000000" w:rsidRDefault="005D625B">
      <w:pPr>
        <w:divId w:val="2113893572"/>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764807522"/>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b/>
          <w:bCs/>
          <w:color w:val="000000"/>
          <w:sz w:val="20"/>
          <w:szCs w:val="20"/>
        </w:rPr>
        <w:t>UTILITY REGULATORY MATTERS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Base Rate Filings.</w:t>
      </w:r>
      <w:r>
        <w:rPr>
          <w:rFonts w:eastAsia="Times New Roman"/>
          <w:color w:val="000000"/>
          <w:sz w:val="20"/>
          <w:szCs w:val="20"/>
        </w:rPr>
        <w:t> On February 8, 2021, Electric Utility filed a rate request with the P</w:t>
      </w:r>
      <w:r>
        <w:rPr>
          <w:rFonts w:eastAsia="Times New Roman"/>
          <w:color w:val="000000"/>
          <w:sz w:val="20"/>
          <w:szCs w:val="20"/>
        </w:rPr>
        <w:t>APUC to increase its annual base distribution revenues by $9 million. The increased revenues would fund ongoing system improvements and operations necessary to maintain safe and reliable electric service. Electric Utility requested that the new electric ra</w:t>
      </w:r>
      <w:r>
        <w:rPr>
          <w:rFonts w:eastAsia="Times New Roman"/>
          <w:color w:val="000000"/>
          <w:sz w:val="20"/>
          <w:szCs w:val="20"/>
        </w:rPr>
        <w:t>tes become effective April 9, 2021. The PAPUC entered an Order on March 11, 2021, suspending the effective date for the rate increase to allow for investigation and public hearings. On July 19, 2021, a Joint Petition for Approval of Settlement of all issue</w:t>
      </w:r>
      <w:r>
        <w:rPr>
          <w:rFonts w:eastAsia="Times New Roman"/>
          <w:color w:val="000000"/>
          <w:sz w:val="20"/>
          <w:szCs w:val="20"/>
        </w:rPr>
        <w:t>s supported by all active parties was filed with the PAPUC providing for a $6 million annual base distribution rate increase for Electric Utility. The Joint Petition is subject to receipt of a recommended decision by a PAPUC administrative law judge and an</w:t>
      </w:r>
      <w:r>
        <w:rPr>
          <w:rFonts w:eastAsia="Times New Roman"/>
          <w:color w:val="000000"/>
          <w:sz w:val="20"/>
          <w:szCs w:val="20"/>
        </w:rPr>
        <w:t xml:space="preserve"> order of the PAPUC approving the settlement. Unless the PAPUC issues a final order prior to the end of the statutory suspension period, the initial proposed rate increase will become effective on or before November 9, 2021, subject to refund and a subsequ</w:t>
      </w:r>
      <w:r>
        <w:rPr>
          <w:rFonts w:eastAsia="Times New Roman"/>
          <w:color w:val="000000"/>
          <w:sz w:val="20"/>
          <w:szCs w:val="20"/>
        </w:rPr>
        <w:t>ent PAPUC order. The Company cannot predict the timing or the ultimate outcome of the rate case review process.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On January 28, 2020, Gas Utility filed a request with the PAPUC to increase its annual base distribution operating revenues by $75 million annually. On October 8, 2020, the PAPUC issued a final Order approving a settlement that permits Gas Utility to incre</w:t>
      </w:r>
      <w:r>
        <w:rPr>
          <w:rFonts w:eastAsia="Times New Roman"/>
          <w:color w:val="000000"/>
          <w:sz w:val="20"/>
          <w:szCs w:val="20"/>
        </w:rPr>
        <w:t>ase its annual base distribution rates by $20 million, through a phased approach, with $10 million beginning January 1, 2021 and an additional $10 million beginning July 1, 2021. Additionally, Gas Utility was authorized to implement a DSIC once Gas Utility</w:t>
      </w:r>
      <w:r>
        <w:rPr>
          <w:rFonts w:eastAsia="Times New Roman"/>
          <w:color w:val="000000"/>
          <w:sz w:val="20"/>
          <w:szCs w:val="20"/>
        </w:rPr>
        <w:t xml:space="preserve"> total property, plant and equipment less accumulated depreciation reached $2,875 million. This threshold was achieved in December 2020, and Gas Utility implemented a DSIC effective on April 1, 2021. The PAPUC’s final Order also includes enhanced COVID-19 </w:t>
      </w:r>
      <w:r>
        <w:rPr>
          <w:rFonts w:eastAsia="Times New Roman"/>
          <w:color w:val="000000"/>
          <w:sz w:val="20"/>
          <w:szCs w:val="20"/>
        </w:rPr>
        <w:t>customer assistance measures, including the establishment of an Emergency Relief Program for a defined set of payment troubled customers (“ERP”). Additionally, the PAPUC’s final Order permits Gas Utility to establish a regulatory asset for certain incremen</w:t>
      </w:r>
      <w:r>
        <w:rPr>
          <w:rFonts w:eastAsia="Times New Roman"/>
          <w:color w:val="000000"/>
          <w:sz w:val="20"/>
          <w:szCs w:val="20"/>
        </w:rPr>
        <w:t>tal expenses attributable to the ongoing COVID-19 pandemic, most notably expenses related to the ERP and uncollectible accounts expense, through the effective date of rates in the next Gas Utility base rate case, to be recovered and amortized over a 10-yea</w:t>
      </w:r>
      <w:r>
        <w:rPr>
          <w:rFonts w:eastAsia="Times New Roman"/>
          <w:color w:val="000000"/>
          <w:sz w:val="20"/>
          <w:szCs w:val="20"/>
        </w:rPr>
        <w:t>r period. In accordance with the terms of the PAPUC’s final Order, Gas Utility is not permitted to file a rate case prior to January 1, 2022.</w:t>
      </w:r>
    </w:p>
    <w:p w:rsidR="00000000" w:rsidRDefault="005D625B">
      <w:pPr>
        <w:divId w:val="181483001"/>
        <w:rPr>
          <w:rFonts w:eastAsia="Times New Roman"/>
        </w:rPr>
      </w:pPr>
    </w:p>
    <w:p w:rsidR="00000000" w:rsidRDefault="005D625B">
      <w:pPr>
        <w:jc w:val="both"/>
        <w:rPr>
          <w:rFonts w:eastAsia="Times New Roman"/>
        </w:rPr>
      </w:pPr>
    </w:p>
    <w:p w:rsidR="00000000" w:rsidRDefault="005D625B">
      <w:pPr>
        <w:jc w:val="both"/>
        <w:rPr>
          <w:rFonts w:eastAsia="Times New Roman"/>
        </w:rPr>
      </w:pPr>
    </w:p>
    <w:p w:rsidR="00000000" w:rsidRDefault="005D625B">
      <w:pPr>
        <w:jc w:val="both"/>
        <w:rPr>
          <w:rFonts w:eastAsia="Times New Roman"/>
        </w:rPr>
      </w:pPr>
    </w:p>
    <w:p w:rsidR="00000000" w:rsidRDefault="005D625B">
      <w:pPr>
        <w:jc w:val="both"/>
        <w:rPr>
          <w:rFonts w:eastAsia="Times New Roman"/>
        </w:rPr>
      </w:pPr>
    </w:p>
    <w:p w:rsidR="00000000" w:rsidRDefault="005D625B">
      <w:pPr>
        <w:jc w:val="both"/>
        <w:rPr>
          <w:rFonts w:eastAsia="Times New Roman"/>
        </w:rPr>
      </w:pPr>
    </w:p>
    <w:p w:rsidR="00000000" w:rsidRDefault="005D625B">
      <w:pPr>
        <w:jc w:val="center"/>
        <w:divId w:val="595866413"/>
        <w:rPr>
          <w:rFonts w:eastAsia="Times New Roman"/>
        </w:rPr>
      </w:pPr>
      <w:r>
        <w:rPr>
          <w:rFonts w:eastAsia="Times New Roman"/>
          <w:color w:val="000000"/>
          <w:sz w:val="20"/>
          <w:szCs w:val="20"/>
        </w:rPr>
        <w:t>55</w:t>
      </w:r>
    </w:p>
    <w:p w:rsidR="00000000" w:rsidRDefault="005D625B">
      <w:pPr>
        <w:rPr>
          <w:rFonts w:eastAsia="Times New Roman"/>
        </w:rPr>
      </w:pPr>
      <w:r>
        <w:rPr>
          <w:rFonts w:eastAsia="Times New Roman"/>
        </w:rPr>
        <w:pict>
          <v:rect id="_x0000_i1081" style="width:0;height:1.5pt" o:hralign="center" o:hrstd="t" o:hr="t" fillcolor="#a0a0a0" stroked="f"/>
        </w:pict>
      </w:r>
    </w:p>
    <w:p w:rsidR="00000000" w:rsidRDefault="005D625B">
      <w:pPr>
        <w:divId w:val="1366717848"/>
        <w:rPr>
          <w:rFonts w:eastAsia="Times New Roman"/>
        </w:rPr>
      </w:pPr>
      <w:hyperlink w:anchor="i8e9ae631f70f4c00b4ea140d922613cd_7" w:history="1">
        <w:r>
          <w:rPr>
            <w:rStyle w:val="a3"/>
            <w:rFonts w:eastAsia="Times New Roman"/>
            <w:sz w:val="20"/>
            <w:szCs w:val="20"/>
          </w:rPr>
          <w:t>Tabl</w:t>
        </w:r>
        <w:r>
          <w:rPr>
            <w:rStyle w:val="a3"/>
            <w:rFonts w:eastAsia="Times New Roman"/>
            <w:sz w:val="20"/>
            <w:szCs w:val="20"/>
          </w:rPr>
          <w:t>e of Contents</w:t>
        </w:r>
      </w:hyperlink>
    </w:p>
    <w:p w:rsidR="00000000" w:rsidRDefault="005D625B">
      <w:pPr>
        <w:jc w:val="center"/>
        <w:divId w:val="1835368319"/>
        <w:rPr>
          <w:rFonts w:eastAsia="Times New Roman"/>
        </w:rPr>
      </w:pPr>
      <w:r>
        <w:rPr>
          <w:rFonts w:eastAsia="Times New Roman"/>
          <w:b/>
          <w:bCs/>
          <w:color w:val="000000"/>
          <w:sz w:val="20"/>
          <w:szCs w:val="20"/>
        </w:rPr>
        <w:t>UGI CORPORATION AND SUBSIDIARIES</w:t>
      </w:r>
    </w:p>
    <w:p w:rsidR="00000000" w:rsidRDefault="005D625B">
      <w:pPr>
        <w:divId w:val="1257980923"/>
        <w:rPr>
          <w:rFonts w:eastAsia="Times New Roman"/>
        </w:rPr>
      </w:pPr>
      <w:r>
        <w:rPr>
          <w:rFonts w:eastAsia="Times New Roman"/>
          <w:b/>
          <w:bCs/>
          <w:color w:val="000000"/>
          <w:sz w:val="20"/>
          <w:szCs w:val="20"/>
        </w:rPr>
        <w:t>ITEM 3. QUANTITATIVE AND QUALITATIVE DISCLOSURES ABOUT MARKET RISK</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Our primary market risk exposures are (1) commodity price risk; (2) interest rate risk; and (3) foreign currency exchange rate risk. Althoug</w:t>
      </w:r>
      <w:r>
        <w:rPr>
          <w:rFonts w:eastAsia="Times New Roman"/>
          <w:color w:val="000000"/>
          <w:sz w:val="20"/>
          <w:szCs w:val="20"/>
        </w:rPr>
        <w:t>h we use derivative financial and commodity instruments to reduce market price risk associated with forecasted transactions, we do not use derivative financial and commodity instruments for speculative or trading purposes.</w:t>
      </w:r>
    </w:p>
    <w:p w:rsidR="00000000" w:rsidRDefault="005D625B">
      <w:pPr>
        <w:divId w:val="537863778"/>
        <w:rPr>
          <w:rFonts w:eastAsia="Times New Roman"/>
        </w:rPr>
      </w:pPr>
    </w:p>
    <w:p w:rsidR="00000000" w:rsidRDefault="005D625B">
      <w:pPr>
        <w:jc w:val="both"/>
        <w:divId w:val="28575508"/>
        <w:rPr>
          <w:rFonts w:eastAsia="Times New Roman"/>
        </w:rPr>
      </w:pPr>
      <w:r>
        <w:rPr>
          <w:rFonts w:eastAsia="Times New Roman"/>
          <w:b/>
          <w:bCs/>
          <w:color w:val="000000"/>
          <w:sz w:val="20"/>
          <w:szCs w:val="20"/>
        </w:rPr>
        <w:t>Commodity Price Risk</w:t>
      </w:r>
    </w:p>
    <w:p w:rsidR="00000000" w:rsidRDefault="005D625B">
      <w:pPr>
        <w:jc w:val="both"/>
        <w:rPr>
          <w:rFonts w:eastAsia="Times New Roman"/>
        </w:rPr>
      </w:pPr>
      <w:r>
        <w:rPr>
          <w:rFonts w:eastAsia="Times New Roman"/>
          <w:color w:val="000000"/>
          <w:sz w:val="20"/>
          <w:szCs w:val="20"/>
        </w:rPr>
        <w:t>The risk a</w:t>
      </w:r>
      <w:r>
        <w:rPr>
          <w:rFonts w:eastAsia="Times New Roman"/>
          <w:color w:val="000000"/>
          <w:sz w:val="20"/>
          <w:szCs w:val="20"/>
        </w:rPr>
        <w:t>ssociated with fluctuations in the prices the Partnership and our UGI International operations pay for LPG is principally a result of market forces reflecting changes in supply and demand for LPG and other energy commodities. Their profitability is sensiti</w:t>
      </w:r>
      <w:r>
        <w:rPr>
          <w:rFonts w:eastAsia="Times New Roman"/>
          <w:color w:val="000000"/>
          <w:sz w:val="20"/>
          <w:szCs w:val="20"/>
        </w:rPr>
        <w:t>ve to changes in LPG supply costs. Increases in supply costs are generally passed on to customers. The Partnership and UGI International may not, however, always be able to pass through product cost increases fully or on a timely basis, particularly when p</w:t>
      </w:r>
      <w:r>
        <w:rPr>
          <w:rFonts w:eastAsia="Times New Roman"/>
          <w:color w:val="000000"/>
          <w:sz w:val="20"/>
          <w:szCs w:val="20"/>
        </w:rPr>
        <w:t>roduct costs rise rapidly. In order to reduce the volatility of LPG market price risk, the Partnership uses contracts for the forward purchase or sale of propane, propane fixed-price supply agreements and over-the-counter derivative commodity instruments i</w:t>
      </w:r>
      <w:r>
        <w:rPr>
          <w:rFonts w:eastAsia="Times New Roman"/>
          <w:color w:val="000000"/>
          <w:sz w:val="20"/>
          <w:szCs w:val="20"/>
        </w:rPr>
        <w:t>ncluding price swap contracts. Our UGI International operations use over-the-counter derivative commodity instruments and may from time to time enter into other derivative contracts, similar to those used by the Partnership, to reduce market risk associate</w:t>
      </w:r>
      <w:r>
        <w:rPr>
          <w:rFonts w:eastAsia="Times New Roman"/>
          <w:color w:val="000000"/>
          <w:sz w:val="20"/>
          <w:szCs w:val="20"/>
        </w:rPr>
        <w:t xml:space="preserve">d with a portion of their LPG purchases. Over-the-counter derivative commodity instruments used to economically hedge forecasted purchases of LPG are generally settled at expiration of the contract.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Gas Utility's tariffs contain clauses that permit reco</w:t>
      </w:r>
      <w:r>
        <w:rPr>
          <w:rFonts w:eastAsia="Times New Roman"/>
          <w:color w:val="000000"/>
          <w:sz w:val="20"/>
          <w:szCs w:val="20"/>
        </w:rPr>
        <w:t>very of all prudently incurred costs of natural gas it sells to its retail core-market customers, including the cost of financial instruments used to hedge purchased gas costs. The recovery clauses provide for periodic adjustments for the difference betwee</w:t>
      </w:r>
      <w:r>
        <w:rPr>
          <w:rFonts w:eastAsia="Times New Roman"/>
          <w:color w:val="000000"/>
          <w:sz w:val="20"/>
          <w:szCs w:val="20"/>
        </w:rPr>
        <w:t>n the total amounts actually billed to customers through PGC rates and the recoverable costs incurred. Because of this ratemaking mechanism, there is limited commodity price risk associated with our Gas Utility operations. Gas Utility uses derivative finan</w:t>
      </w:r>
      <w:r>
        <w:rPr>
          <w:rFonts w:eastAsia="Times New Roman"/>
          <w:color w:val="000000"/>
          <w:sz w:val="20"/>
          <w:szCs w:val="20"/>
        </w:rPr>
        <w:t>cial instruments, including natural gas futures and option contracts traded on the NYMEX, to reduce volatility in the cost of gas it purchases for its retail core-market customers. The cost of these derivative financial instruments, net of any associated g</w:t>
      </w:r>
      <w:r>
        <w:rPr>
          <w:rFonts w:eastAsia="Times New Roman"/>
          <w:color w:val="000000"/>
          <w:sz w:val="20"/>
          <w:szCs w:val="20"/>
        </w:rPr>
        <w:t xml:space="preserve">ains or losses, is included in Gas Utility's PGC recovery mechanism.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In order to manage market price risk relating to substantially all of Midstream &amp; Marketing’s fixed-price sale contracts for physical natural gas and electricity, Midstream &amp; Marketing</w:t>
      </w:r>
      <w:r>
        <w:rPr>
          <w:rFonts w:eastAsia="Times New Roman"/>
          <w:color w:val="000000"/>
          <w:sz w:val="20"/>
          <w:szCs w:val="20"/>
        </w:rPr>
        <w:t xml:space="preserve"> enters into NYMEX, ICE and over-the-counter natural gas and electricity futures and option contracts, and natural gas basis swap contracts or enters into fixed-price supply arrangements. Midstream &amp; Marketing also uses NYMEX and over-the-counter electrici</w:t>
      </w:r>
      <w:r>
        <w:rPr>
          <w:rFonts w:eastAsia="Times New Roman"/>
          <w:color w:val="000000"/>
          <w:sz w:val="20"/>
          <w:szCs w:val="20"/>
        </w:rPr>
        <w:t>ty futures contracts to economically hedge a portion of its anticipated sales of electricity from its electricity generation facilities. Although Midstream &amp; Marketing’s fixed-price supply arrangements mitigate most risks associated with its fixed-price sa</w:t>
      </w:r>
      <w:r>
        <w:rPr>
          <w:rFonts w:eastAsia="Times New Roman"/>
          <w:color w:val="000000"/>
          <w:sz w:val="20"/>
          <w:szCs w:val="20"/>
        </w:rPr>
        <w:t>les contracts, should any of the suppliers under these arrangements fail to perform, increases, if any, in the cost of replacement natural gas or electricity would adversely impact Midstream &amp; Marketing’s results. In order to reduce this risk of supplier n</w:t>
      </w:r>
      <w:r>
        <w:rPr>
          <w:rFonts w:eastAsia="Times New Roman"/>
          <w:color w:val="000000"/>
          <w:sz w:val="20"/>
          <w:szCs w:val="20"/>
        </w:rPr>
        <w:t>onperformance, Midstream &amp; Marketing has diversified its purchases across a number of suppliers. UGI International’s natural gas and electricity marketing businesses also use natural gas and electricity futures and forward contracts to economically hedge m</w:t>
      </w:r>
      <w:r>
        <w:rPr>
          <w:rFonts w:eastAsia="Times New Roman"/>
          <w:color w:val="000000"/>
          <w:sz w:val="20"/>
          <w:szCs w:val="20"/>
        </w:rPr>
        <w:t>arket risk associated with fixed-price sales and purchase contracts.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Midstream &amp; Marketing has entered into fixed-price sales agreements for a portion of the electricity expected to be generated by its electric generation assets. In the event that these </w:t>
      </w:r>
      <w:r>
        <w:rPr>
          <w:rFonts w:eastAsia="Times New Roman"/>
          <w:color w:val="000000"/>
          <w:sz w:val="20"/>
          <w:szCs w:val="20"/>
        </w:rPr>
        <w:t>generation assets would not be able to produce all of the electricity needed to supply electricity under these agreements, Midstream &amp; Marketing would be required to purchase electricity on the spot market or under contract with other electricity suppliers</w:t>
      </w:r>
      <w:r>
        <w:rPr>
          <w:rFonts w:eastAsia="Times New Roman"/>
          <w:color w:val="000000"/>
          <w:sz w:val="20"/>
          <w:szCs w:val="20"/>
        </w:rPr>
        <w:t>. Accordingly, increases in the cost of replacement power could negatively impact Midstream &amp; Marketing’s results.</w:t>
      </w:r>
    </w:p>
    <w:p w:rsidR="00000000" w:rsidRDefault="005D625B">
      <w:pPr>
        <w:jc w:val="both"/>
        <w:rPr>
          <w:rFonts w:eastAsia="Times New Roman"/>
        </w:rPr>
      </w:pPr>
    </w:p>
    <w:p w:rsidR="00000000" w:rsidRDefault="005D625B">
      <w:pPr>
        <w:jc w:val="both"/>
        <w:divId w:val="135025880"/>
        <w:rPr>
          <w:rFonts w:eastAsia="Times New Roman"/>
        </w:rPr>
      </w:pPr>
      <w:r>
        <w:rPr>
          <w:rFonts w:eastAsia="Times New Roman"/>
          <w:b/>
          <w:bCs/>
          <w:color w:val="000000"/>
          <w:sz w:val="20"/>
          <w:szCs w:val="20"/>
        </w:rPr>
        <w:t>Interest Rate Risk</w:t>
      </w:r>
    </w:p>
    <w:p w:rsidR="00000000" w:rsidRDefault="005D625B">
      <w:pPr>
        <w:jc w:val="both"/>
        <w:rPr>
          <w:rFonts w:eastAsia="Times New Roman"/>
        </w:rPr>
      </w:pPr>
      <w:r>
        <w:rPr>
          <w:rFonts w:eastAsia="Times New Roman"/>
          <w:color w:val="000000"/>
          <w:sz w:val="20"/>
          <w:szCs w:val="20"/>
        </w:rPr>
        <w:t>We have both fixed-rate and variable-rate debt. Changes in interest rates impact the cash flows of variable-rate debt bu</w:t>
      </w:r>
      <w:r>
        <w:rPr>
          <w:rFonts w:eastAsia="Times New Roman"/>
          <w:color w:val="000000"/>
          <w:sz w:val="20"/>
          <w:szCs w:val="20"/>
        </w:rPr>
        <w:t>t generally do not impact their fair value. Conversely, changes in interest rates impact the fair value of fixed-rate debt but do not impact their cash flows.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As previously mentioned in Note 7, on May 4, 2021, UGI entered into the 2021 UGI Corporation Senior Credit Facility, which, as amended, includes a new term loan commitment of up to $215 million. Borrowings on this commitment will bear interest at a rate in</w:t>
      </w:r>
      <w:r>
        <w:rPr>
          <w:rFonts w:eastAsia="Times New Roman"/>
          <w:color w:val="000000"/>
          <w:sz w:val="20"/>
          <w:szCs w:val="20"/>
        </w:rPr>
        <w:t>dexed to short-term market rates. In June 2021, UGI entered into two forward starting, pay-fixed, receive-variable interest rate swap agreements, commencing in January 2022. These swaps generally fix the underlying variable interest rate on $125 million of</w:t>
      </w:r>
      <w:r>
        <w:rPr>
          <w:rFonts w:eastAsia="Times New Roman"/>
          <w:color w:val="000000"/>
          <w:sz w:val="20"/>
          <w:szCs w:val="20"/>
        </w:rPr>
        <w:t xml:space="preserve"> future borrowings at 0.69% through September 2024. We have designated these interest rate swaps as a cash flow hedges.</w:t>
      </w:r>
    </w:p>
    <w:p w:rsidR="00000000" w:rsidRDefault="005D625B">
      <w:pPr>
        <w:jc w:val="both"/>
        <w:rPr>
          <w:rFonts w:eastAsia="Times New Roman"/>
        </w:rPr>
      </w:pPr>
    </w:p>
    <w:p w:rsidR="00000000" w:rsidRDefault="005D625B">
      <w:pPr>
        <w:jc w:val="center"/>
        <w:divId w:val="258369773"/>
        <w:rPr>
          <w:rFonts w:eastAsia="Times New Roman"/>
        </w:rPr>
      </w:pPr>
      <w:r>
        <w:rPr>
          <w:rFonts w:eastAsia="Times New Roman"/>
          <w:color w:val="000000"/>
          <w:sz w:val="20"/>
          <w:szCs w:val="20"/>
        </w:rPr>
        <w:t>56</w:t>
      </w:r>
    </w:p>
    <w:p w:rsidR="00000000" w:rsidRDefault="005D625B">
      <w:pPr>
        <w:rPr>
          <w:rFonts w:eastAsia="Times New Roman"/>
        </w:rPr>
      </w:pPr>
      <w:r>
        <w:rPr>
          <w:rFonts w:eastAsia="Times New Roman"/>
        </w:rPr>
        <w:pict>
          <v:rect id="_x0000_i1082" style="width:0;height:1.5pt" o:hralign="center" o:hrstd="t" o:hr="t" fillcolor="#a0a0a0" stroked="f"/>
        </w:pict>
      </w:r>
    </w:p>
    <w:p w:rsidR="00000000" w:rsidRDefault="005D625B">
      <w:pPr>
        <w:divId w:val="1980726391"/>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454560955"/>
        <w:rPr>
          <w:rFonts w:eastAsia="Times New Roman"/>
        </w:rPr>
      </w:pPr>
      <w:r>
        <w:rPr>
          <w:rFonts w:eastAsia="Times New Roman"/>
          <w:b/>
          <w:bCs/>
          <w:color w:val="000000"/>
          <w:sz w:val="20"/>
          <w:szCs w:val="20"/>
        </w:rPr>
        <w:t>UGI CORPORATION AND SUBSIDIARIES</w:t>
      </w:r>
    </w:p>
    <w:p w:rsidR="00000000" w:rsidRDefault="005D625B">
      <w:pPr>
        <w:jc w:val="both"/>
        <w:rPr>
          <w:rFonts w:eastAsia="Times New Roman"/>
        </w:rPr>
      </w:pPr>
      <w:r>
        <w:rPr>
          <w:rFonts w:eastAsia="Times New Roman"/>
          <w:color w:val="000000"/>
          <w:sz w:val="20"/>
          <w:szCs w:val="20"/>
        </w:rPr>
        <w:t>Our variable-rate debt at June 30, 2021, includes revolving credit facility borrowings and variable-rate term loans at UGI International, UGI Utilities, Energy Services and UGI Corporation. These debt agreements have intere</w:t>
      </w:r>
      <w:r>
        <w:rPr>
          <w:rFonts w:eastAsia="Times New Roman"/>
          <w:color w:val="000000"/>
          <w:sz w:val="20"/>
          <w:szCs w:val="20"/>
        </w:rPr>
        <w:t>st rates that are generally indexed to short-term market interest rates. We have entered into pay-fixed, receive-variable interest rate swap agreements on all or a significant portion of the term loans’ principal balances and all or a significant portion o</w:t>
      </w:r>
      <w:r>
        <w:rPr>
          <w:rFonts w:eastAsia="Times New Roman"/>
          <w:color w:val="000000"/>
          <w:sz w:val="20"/>
          <w:szCs w:val="20"/>
        </w:rPr>
        <w:t>f the term loans’ tenor. We have designated these interest rate swaps as cash flow hedges. At June 30, 2021, combined borrowings outstanding under variable-rate debt agreements, excluding the previously mentioned effectively fixed-rate debt, totaled $262 m</w:t>
      </w:r>
      <w:r>
        <w:rPr>
          <w:rFonts w:eastAsia="Times New Roman"/>
          <w:color w:val="000000"/>
          <w:sz w:val="20"/>
          <w:szCs w:val="20"/>
        </w:rPr>
        <w:t xml:space="preserve">illion.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Long-term debt associated with our domestic businesses is typically issued at fixed rates of interest based upon market rates for debt with similar terms and credit ratings. As these long-term debt issues mature, we may refinance such debt with </w:t>
      </w:r>
      <w:r>
        <w:rPr>
          <w:rFonts w:eastAsia="Times New Roman"/>
          <w:color w:val="000000"/>
          <w:sz w:val="20"/>
          <w:szCs w:val="20"/>
        </w:rPr>
        <w:t>new debt having interest rates reflecting then-current market conditions. In order to reduce interest rate risk associated with near- to medium-term forecasted issuances of fixed rate debt, from time to time we enter into IRPAs.</w:t>
      </w:r>
    </w:p>
    <w:p w:rsidR="00000000" w:rsidRDefault="005D625B">
      <w:pPr>
        <w:jc w:val="both"/>
        <w:divId w:val="2105834983"/>
        <w:rPr>
          <w:rFonts w:eastAsia="Times New Roman"/>
        </w:rPr>
      </w:pPr>
      <w:r>
        <w:rPr>
          <w:rFonts w:eastAsia="Times New Roman"/>
          <w:b/>
          <w:bCs/>
          <w:color w:val="000000"/>
          <w:sz w:val="20"/>
          <w:szCs w:val="20"/>
        </w:rPr>
        <w:t>Foreign Currency Exchange R</w:t>
      </w:r>
      <w:r>
        <w:rPr>
          <w:rFonts w:eastAsia="Times New Roman"/>
          <w:b/>
          <w:bCs/>
          <w:color w:val="000000"/>
          <w:sz w:val="20"/>
          <w:szCs w:val="20"/>
        </w:rPr>
        <w:t>ate Risk</w:t>
      </w:r>
    </w:p>
    <w:p w:rsidR="00000000" w:rsidRDefault="005D625B">
      <w:pPr>
        <w:jc w:val="both"/>
        <w:divId w:val="735592698"/>
        <w:rPr>
          <w:rFonts w:eastAsia="Times New Roman"/>
        </w:rPr>
      </w:pPr>
      <w:r>
        <w:rPr>
          <w:rFonts w:eastAsia="Times New Roman"/>
          <w:color w:val="000000"/>
          <w:sz w:val="20"/>
          <w:szCs w:val="20"/>
        </w:rPr>
        <w:t>Our primary currency exchange rate risk is associated with the U.S. dollar versus the euro and, to a lesser extent, the U.S. dollar versus the British pound sterling. The U.S. dollar value of our foreign currency denominated assets and liabilities</w:t>
      </w:r>
      <w:r>
        <w:rPr>
          <w:rFonts w:eastAsia="Times New Roman"/>
          <w:color w:val="000000"/>
          <w:sz w:val="20"/>
          <w:szCs w:val="20"/>
        </w:rPr>
        <w:t xml:space="preserve"> will fluctuate with changes in the associated foreign currency exchange rates. From time to time, we use derivative instruments to hedge portions of our net investments in foreign subsidiaries. Gains or losses on these net investment hedges remain in AOCI</w:t>
      </w:r>
      <w:r>
        <w:rPr>
          <w:rFonts w:eastAsia="Times New Roman"/>
          <w:color w:val="000000"/>
          <w:sz w:val="20"/>
          <w:szCs w:val="20"/>
        </w:rPr>
        <w:t xml:space="preserve"> until such foreign operations are sold or liquidated. With respect to our net investments in our UGI International operations, a 10% decline in the value of the associated foreign currencies versus the U.S. dollar would reduce their aggregate net book val</w:t>
      </w:r>
      <w:r>
        <w:rPr>
          <w:rFonts w:eastAsia="Times New Roman"/>
          <w:color w:val="000000"/>
          <w:sz w:val="20"/>
          <w:szCs w:val="20"/>
        </w:rPr>
        <w:t>ue at June 30, 2021, by approximately $140 million, which amount would be reflected in other comprehensive income. We have designated certain euro-denominated borrowings as net investment hedges.</w:t>
      </w:r>
    </w:p>
    <w:p w:rsidR="00000000" w:rsidRDefault="005D625B">
      <w:pPr>
        <w:jc w:val="both"/>
        <w:divId w:val="1197768003"/>
        <w:rPr>
          <w:rFonts w:eastAsia="Times New Roman"/>
        </w:rPr>
      </w:pPr>
      <w:r>
        <w:rPr>
          <w:rFonts w:eastAsia="Times New Roman"/>
          <w:color w:val="000000"/>
          <w:sz w:val="20"/>
          <w:szCs w:val="20"/>
        </w:rPr>
        <w:t>In order to reduce the volatility in net income associated w</w:t>
      </w:r>
      <w:r>
        <w:rPr>
          <w:rFonts w:eastAsia="Times New Roman"/>
          <w:color w:val="000000"/>
          <w:sz w:val="20"/>
          <w:szCs w:val="20"/>
        </w:rPr>
        <w:t>ith our foreign operations, principally as a result of changes in the U.S. dollar exchange rate between the euro and British pound sterling, we enter into forward foreign currency exchange contracts. We layer in these foreign currency exchange contracts ov</w:t>
      </w:r>
      <w:r>
        <w:rPr>
          <w:rFonts w:eastAsia="Times New Roman"/>
          <w:color w:val="000000"/>
          <w:sz w:val="20"/>
          <w:szCs w:val="20"/>
        </w:rPr>
        <w:t>er a multi-year period to eventually equal approximately 90% of anticipated UGI International foreign currency earnings before income taxes.</w:t>
      </w:r>
    </w:p>
    <w:p w:rsidR="00000000" w:rsidRDefault="005D625B">
      <w:pPr>
        <w:jc w:val="both"/>
        <w:divId w:val="642853052"/>
        <w:rPr>
          <w:rFonts w:eastAsia="Times New Roman"/>
        </w:rPr>
      </w:pPr>
      <w:r>
        <w:rPr>
          <w:rFonts w:eastAsia="Times New Roman"/>
          <w:b/>
          <w:bCs/>
          <w:color w:val="000000"/>
          <w:sz w:val="20"/>
          <w:szCs w:val="20"/>
        </w:rPr>
        <w:t>Derivative Instrument Credit Risk</w:t>
      </w:r>
    </w:p>
    <w:p w:rsidR="00000000" w:rsidRDefault="005D625B">
      <w:pPr>
        <w:jc w:val="both"/>
        <w:divId w:val="1167597916"/>
        <w:rPr>
          <w:rFonts w:eastAsia="Times New Roman"/>
        </w:rPr>
      </w:pPr>
      <w:r>
        <w:rPr>
          <w:rFonts w:eastAsia="Times New Roman"/>
          <w:color w:val="000000"/>
          <w:sz w:val="20"/>
          <w:szCs w:val="20"/>
        </w:rPr>
        <w:t>We are exposed to risk of loss in the event of nonperformance by our derivative i</w:t>
      </w:r>
      <w:r>
        <w:rPr>
          <w:rFonts w:eastAsia="Times New Roman"/>
          <w:color w:val="000000"/>
          <w:sz w:val="20"/>
          <w:szCs w:val="20"/>
        </w:rPr>
        <w:t>nstrument counterparties. Our derivative instrument counterparties principally comprise large energy companies and major U.S. and international financial institutions. We maintain credit policies with regard to our counterparties that we believe reduce ove</w:t>
      </w:r>
      <w:r>
        <w:rPr>
          <w:rFonts w:eastAsia="Times New Roman"/>
          <w:color w:val="000000"/>
          <w:sz w:val="20"/>
          <w:szCs w:val="20"/>
        </w:rPr>
        <w:t xml:space="preserve">rall credit risk. These policies include evaluating and monitoring our counterparties’ financial condition, including their credit ratings, and entering into agreements with counterparties that govern credit limits or entering into netting agreements that </w:t>
      </w:r>
      <w:r>
        <w:rPr>
          <w:rFonts w:eastAsia="Times New Roman"/>
          <w:color w:val="000000"/>
          <w:sz w:val="20"/>
          <w:szCs w:val="20"/>
        </w:rPr>
        <w:t xml:space="preserve">allow for offsetting counterparty receivable and payable balances for certain financial transactions, as deemed appropriate. </w:t>
      </w:r>
    </w:p>
    <w:p w:rsidR="00000000" w:rsidRDefault="005D625B">
      <w:pPr>
        <w:jc w:val="both"/>
        <w:divId w:val="1618874899"/>
        <w:rPr>
          <w:rFonts w:eastAsia="Times New Roman"/>
        </w:rPr>
      </w:pPr>
      <w:r>
        <w:rPr>
          <w:rFonts w:eastAsia="Times New Roman"/>
          <w:color w:val="000000"/>
          <w:sz w:val="20"/>
          <w:szCs w:val="20"/>
        </w:rPr>
        <w:t xml:space="preserve">Certain of these derivative instrument agreements call for the posting of collateral by the counterparty or by the Company in the </w:t>
      </w:r>
      <w:r>
        <w:rPr>
          <w:rFonts w:eastAsia="Times New Roman"/>
          <w:color w:val="000000"/>
          <w:sz w:val="20"/>
          <w:szCs w:val="20"/>
        </w:rPr>
        <w:t>forms of letters of credit, parental guarantees or cash. At June 30, 2021, we had received cash collateral from derivative instrument counterparties totaling $105 million. Additionally, our commodity exchange-traded futures contracts generally require cash</w:t>
      </w:r>
      <w:r>
        <w:rPr>
          <w:rFonts w:eastAsia="Times New Roman"/>
          <w:color w:val="000000"/>
          <w:sz w:val="20"/>
          <w:szCs w:val="20"/>
        </w:rPr>
        <w:t xml:space="preserve"> deposits in margin accounts. At June 30, 2021, restricted cash in brokerage accounts totaled $31 million. Although we have concentrations of credit risk associated with derivative instruments, the maximum amount of loss, based upon the gross fair values o</w:t>
      </w:r>
      <w:r>
        <w:rPr>
          <w:rFonts w:eastAsia="Times New Roman"/>
          <w:color w:val="000000"/>
          <w:sz w:val="20"/>
          <w:szCs w:val="20"/>
        </w:rPr>
        <w:t>f the derivative instruments, we would incur if these counterparties failed to perform according to the terms of their contracts was not material at June 30, 2021. Certain of the Partnership’s derivative contracts have credit-risk-related contingent featur</w:t>
      </w:r>
      <w:r>
        <w:rPr>
          <w:rFonts w:eastAsia="Times New Roman"/>
          <w:color w:val="000000"/>
          <w:sz w:val="20"/>
          <w:szCs w:val="20"/>
        </w:rPr>
        <w:t>es that may require the posting of additional collateral in the event of a downgrade of the Partnership’s debt rating. At June 30, 2021, if the credit-risk-related contingent features were triggered, the amount of collateral required to be posted would not</w:t>
      </w:r>
      <w:r>
        <w:rPr>
          <w:rFonts w:eastAsia="Times New Roman"/>
          <w:color w:val="000000"/>
          <w:sz w:val="20"/>
          <w:szCs w:val="20"/>
        </w:rPr>
        <w:t xml:space="preserve"> be material.</w:t>
      </w:r>
    </w:p>
    <w:p w:rsidR="00000000" w:rsidRDefault="005D625B">
      <w:pPr>
        <w:jc w:val="center"/>
        <w:divId w:val="1995259099"/>
        <w:rPr>
          <w:rFonts w:eastAsia="Times New Roman"/>
        </w:rPr>
      </w:pPr>
      <w:r>
        <w:rPr>
          <w:rFonts w:eastAsia="Times New Roman"/>
          <w:color w:val="000000"/>
          <w:sz w:val="20"/>
          <w:szCs w:val="20"/>
        </w:rPr>
        <w:t>57</w:t>
      </w:r>
    </w:p>
    <w:p w:rsidR="00000000" w:rsidRDefault="005D625B">
      <w:pPr>
        <w:rPr>
          <w:rFonts w:eastAsia="Times New Roman"/>
        </w:rPr>
      </w:pPr>
      <w:r>
        <w:rPr>
          <w:rFonts w:eastAsia="Times New Roman"/>
        </w:rPr>
        <w:pict>
          <v:rect id="_x0000_i1083" style="width:0;height:1.5pt" o:hralign="center" o:hrstd="t" o:hr="t" fillcolor="#a0a0a0" stroked="f"/>
        </w:pict>
      </w:r>
    </w:p>
    <w:p w:rsidR="00000000" w:rsidRDefault="005D625B">
      <w:pPr>
        <w:divId w:val="964000672"/>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290820997"/>
        <w:rPr>
          <w:rFonts w:eastAsia="Times New Roman"/>
        </w:rPr>
      </w:pPr>
      <w:r>
        <w:rPr>
          <w:rFonts w:eastAsia="Times New Roman"/>
          <w:b/>
          <w:bCs/>
          <w:color w:val="000000"/>
          <w:sz w:val="20"/>
          <w:szCs w:val="20"/>
        </w:rPr>
        <w:t>UGI CORPORATION AND SUBSIDIARIES</w:t>
      </w:r>
    </w:p>
    <w:p w:rsidR="00000000" w:rsidRDefault="005D625B">
      <w:pPr>
        <w:jc w:val="both"/>
        <w:divId w:val="1834684104"/>
        <w:rPr>
          <w:rFonts w:eastAsia="Times New Roman"/>
        </w:rPr>
      </w:pPr>
      <w:r>
        <w:rPr>
          <w:rFonts w:eastAsia="Times New Roman"/>
          <w:color w:val="000000"/>
          <w:sz w:val="20"/>
          <w:szCs w:val="20"/>
        </w:rPr>
        <w:t xml:space="preserve">The following table summarizes the fair values of unsettled market risk sensitive derivative </w:t>
      </w:r>
      <w:r>
        <w:rPr>
          <w:rFonts w:eastAsia="Times New Roman"/>
          <w:color w:val="000000"/>
          <w:sz w:val="20"/>
          <w:szCs w:val="20"/>
        </w:rPr>
        <w:t>instrument assets (liabilities) held at June 30, 2021 and changes in their fair values due to market risks. Certain of UGI Utilities’ commodity derivative instruments are excluded from the table below because any associated net gains or losses are refundab</w:t>
      </w:r>
      <w:r>
        <w:rPr>
          <w:rFonts w:eastAsia="Times New Roman"/>
          <w:color w:val="000000"/>
          <w:sz w:val="20"/>
          <w:szCs w:val="20"/>
        </w:rPr>
        <w:t>le to or recoverable from customers in accordance with UGI Utilities ratemaking.</w:t>
      </w:r>
    </w:p>
    <w:tbl>
      <w:tblPr>
        <w:tblW w:w="4985" w:type="pct"/>
        <w:tblCellMar>
          <w:top w:w="15" w:type="dxa"/>
          <w:left w:w="15" w:type="dxa"/>
          <w:bottom w:w="15" w:type="dxa"/>
          <w:right w:w="15" w:type="dxa"/>
        </w:tblCellMar>
        <w:tblLook w:val="04A0" w:firstRow="1" w:lastRow="0" w:firstColumn="1" w:lastColumn="0" w:noHBand="0" w:noVBand="1"/>
      </w:tblPr>
      <w:tblGrid>
        <w:gridCol w:w="38"/>
        <w:gridCol w:w="6082"/>
        <w:gridCol w:w="37"/>
        <w:gridCol w:w="36"/>
        <w:gridCol w:w="36"/>
        <w:gridCol w:w="36"/>
        <w:gridCol w:w="121"/>
        <w:gridCol w:w="796"/>
        <w:gridCol w:w="37"/>
        <w:gridCol w:w="36"/>
        <w:gridCol w:w="36"/>
        <w:gridCol w:w="36"/>
        <w:gridCol w:w="121"/>
        <w:gridCol w:w="796"/>
        <w:gridCol w:w="37"/>
      </w:tblGrid>
      <w:tr w:rsidR="00000000">
        <w:tc>
          <w:tcPr>
            <w:tcW w:w="50" w:type="pct"/>
            <w:vAlign w:val="center"/>
            <w:hideMark/>
          </w:tcPr>
          <w:p w:rsidR="00000000" w:rsidRDefault="005D625B">
            <w:pPr>
              <w:jc w:val="both"/>
              <w:rPr>
                <w:rFonts w:eastAsia="Times New Roman"/>
              </w:rPr>
            </w:pPr>
          </w:p>
        </w:tc>
        <w:tc>
          <w:tcPr>
            <w:tcW w:w="369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3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Asset (Liability)</w:t>
            </w:r>
          </w:p>
        </w:tc>
      </w:tr>
      <w:tr w:rsidR="00000000">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color w:val="000000"/>
                <w:sz w:val="20"/>
                <w:szCs w:val="20"/>
              </w:rPr>
              <w:t>Change in</w:t>
            </w:r>
            <w:r>
              <w:rPr>
                <w:rFonts w:eastAsia="Times New Roman"/>
                <w:color w:val="000000"/>
                <w:sz w:val="20"/>
                <w:szCs w:val="20"/>
              </w:rPr>
              <w:br/>
              <w:t>Fair 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b/>
                <w:bCs/>
                <w:color w:val="000000"/>
                <w:sz w:val="20"/>
                <w:szCs w:val="20"/>
              </w:rPr>
              <w:t>June 30, 2021</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Commodity price risk (1)</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484 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(185)</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Interest rate risk (2)</w:t>
            </w: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D625B">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Foreign currency exchange rate risk (3)</w:t>
            </w: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D625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D625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D625B">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5D625B">
            <w:pPr>
              <w:spacing w:after="100"/>
              <w:jc w:val="right"/>
              <w:rPr>
                <w:rFonts w:eastAsia="Times New Roman"/>
              </w:rPr>
            </w:pPr>
          </w:p>
        </w:tc>
      </w:tr>
    </w:tbl>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(1) Change in fair value represents a 10% adverse change in the market prices of certain commodities</w:t>
      </w:r>
    </w:p>
    <w:p w:rsidR="00000000" w:rsidRDefault="005D625B">
      <w:pPr>
        <w:jc w:val="both"/>
        <w:rPr>
          <w:rFonts w:eastAsia="Times New Roman"/>
        </w:rPr>
      </w:pPr>
      <w:r>
        <w:rPr>
          <w:rFonts w:eastAsia="Times New Roman"/>
          <w:color w:val="000000"/>
          <w:sz w:val="20"/>
          <w:szCs w:val="20"/>
        </w:rPr>
        <w:t>(2) Change in fair value represents a 50 basis point adverse change in prevailing market interest rates</w:t>
      </w:r>
    </w:p>
    <w:p w:rsidR="00000000" w:rsidRDefault="005D625B">
      <w:pPr>
        <w:jc w:val="both"/>
        <w:rPr>
          <w:rFonts w:eastAsia="Times New Roman"/>
        </w:rPr>
      </w:pPr>
      <w:r>
        <w:rPr>
          <w:rFonts w:eastAsia="Times New Roman"/>
          <w:color w:val="000000"/>
          <w:sz w:val="20"/>
          <w:szCs w:val="20"/>
        </w:rPr>
        <w:t xml:space="preserve">(3) Change in fair value represents a 10% adverse change in the value of the Euro and the British pound sterling versus the U.S. dollar. </w:t>
      </w:r>
    </w:p>
    <w:p w:rsidR="00000000" w:rsidRDefault="005D625B">
      <w:pPr>
        <w:jc w:val="both"/>
        <w:rPr>
          <w:rFonts w:eastAsia="Times New Roman"/>
        </w:rPr>
      </w:pPr>
    </w:p>
    <w:p w:rsidR="00000000" w:rsidRDefault="005D625B">
      <w:pPr>
        <w:jc w:val="both"/>
        <w:rPr>
          <w:rFonts w:eastAsia="Times New Roman"/>
        </w:rPr>
      </w:pPr>
    </w:p>
    <w:p w:rsidR="00000000" w:rsidRDefault="005D625B">
      <w:pPr>
        <w:divId w:val="1374961810"/>
        <w:rPr>
          <w:rFonts w:eastAsia="Times New Roman"/>
        </w:rPr>
      </w:pPr>
      <w:r>
        <w:rPr>
          <w:rFonts w:eastAsia="Times New Roman"/>
          <w:b/>
          <w:bCs/>
          <w:color w:val="000000"/>
          <w:sz w:val="20"/>
          <w:szCs w:val="20"/>
        </w:rPr>
        <w:t>ITEM 4. CO</w:t>
      </w:r>
      <w:r>
        <w:rPr>
          <w:rFonts w:eastAsia="Times New Roman"/>
          <w:b/>
          <w:bCs/>
          <w:color w:val="000000"/>
          <w:sz w:val="20"/>
          <w:szCs w:val="20"/>
        </w:rPr>
        <w:t>NTROLS AND PROCEDURES</w:t>
      </w:r>
    </w:p>
    <w:p w:rsidR="00000000" w:rsidRDefault="005D625B">
      <w:pPr>
        <w:divId w:val="919632815"/>
        <w:rPr>
          <w:rFonts w:eastAsia="Times New Roman"/>
        </w:rPr>
      </w:pPr>
    </w:p>
    <w:p w:rsidR="00000000" w:rsidRDefault="005D625B">
      <w:pPr>
        <w:ind w:hanging="540"/>
        <w:divId w:val="234317789"/>
        <w:rPr>
          <w:rFonts w:eastAsia="Times New Roman"/>
        </w:rPr>
      </w:pPr>
      <w:r>
        <w:rPr>
          <w:rFonts w:eastAsia="Times New Roman"/>
          <w:color w:val="000000"/>
          <w:sz w:val="20"/>
          <w:szCs w:val="20"/>
        </w:rPr>
        <w:t>(a)Evaluation of Disclosure Controls and Procedures</w:t>
      </w:r>
    </w:p>
    <w:p w:rsidR="00000000" w:rsidRDefault="005D625B">
      <w:pPr>
        <w:jc w:val="both"/>
        <w:divId w:val="1127816055"/>
        <w:rPr>
          <w:rFonts w:eastAsia="Times New Roman"/>
        </w:rPr>
      </w:pPr>
      <w:r>
        <w:rPr>
          <w:rFonts w:eastAsia="Times New Roman"/>
          <w:color w:val="000000"/>
          <w:sz w:val="20"/>
          <w:szCs w:val="20"/>
        </w:rPr>
        <w:t>The Company's disclosure controls and procedures are designed to provide reasonable assurance that the information required to be disclosed by the Company in reports filed or submi</w:t>
      </w:r>
      <w:r>
        <w:rPr>
          <w:rFonts w:eastAsia="Times New Roman"/>
          <w:color w:val="000000"/>
          <w:sz w:val="20"/>
          <w:szCs w:val="20"/>
        </w:rPr>
        <w:t>tted under the Securities Exchange Act of 1934, as amended, is (i) recorded, processed, summarized, and reported within the time periods specified in the SEC’s rules and forms, and (ii) accumulated and communicated to our management, including the Chief Ex</w:t>
      </w:r>
      <w:r>
        <w:rPr>
          <w:rFonts w:eastAsia="Times New Roman"/>
          <w:color w:val="000000"/>
          <w:sz w:val="20"/>
          <w:szCs w:val="20"/>
        </w:rPr>
        <w:t>ecutive Officer and Chief Financial Officer, as appropriate to allow timely decisions regarding required disclosure. The Company's management, with the participation of the Company’s Chief Executive Officer and Chief Financial Officer, evaluated the effect</w:t>
      </w:r>
      <w:r>
        <w:rPr>
          <w:rFonts w:eastAsia="Times New Roman"/>
          <w:color w:val="000000"/>
          <w:sz w:val="20"/>
          <w:szCs w:val="20"/>
        </w:rPr>
        <w:t>iveness of the Company's disclosure controls and procedures as of the end of the period covered by this report. Based on that evaluation, the Chief Executive Officer and Chief Financial Officer concluded that the Company's disclosure controls and procedure</w:t>
      </w:r>
      <w:r>
        <w:rPr>
          <w:rFonts w:eastAsia="Times New Roman"/>
          <w:color w:val="000000"/>
          <w:sz w:val="20"/>
          <w:szCs w:val="20"/>
        </w:rPr>
        <w:t>s, as of the end of the period covered by this Report, were effective at the reasonable assurance level.</w:t>
      </w:r>
    </w:p>
    <w:p w:rsidR="00000000" w:rsidRDefault="005D625B">
      <w:pPr>
        <w:jc w:val="both"/>
        <w:divId w:val="1004627679"/>
        <w:rPr>
          <w:rFonts w:eastAsia="Times New Roman"/>
        </w:rPr>
      </w:pPr>
    </w:p>
    <w:p w:rsidR="00000000" w:rsidRDefault="005D625B">
      <w:pPr>
        <w:ind w:hanging="540"/>
        <w:divId w:val="440491095"/>
        <w:rPr>
          <w:rFonts w:eastAsia="Times New Roman"/>
        </w:rPr>
      </w:pPr>
      <w:r>
        <w:rPr>
          <w:rFonts w:eastAsia="Times New Roman"/>
          <w:color w:val="000000"/>
          <w:sz w:val="20"/>
          <w:szCs w:val="20"/>
        </w:rPr>
        <w:t>(b)Change in Internal Control over Financial Reporting</w:t>
      </w:r>
    </w:p>
    <w:p w:rsidR="00000000" w:rsidRDefault="005D625B">
      <w:pPr>
        <w:jc w:val="both"/>
        <w:divId w:val="112139473"/>
        <w:rPr>
          <w:rFonts w:eastAsia="Times New Roman"/>
        </w:rPr>
      </w:pPr>
      <w:r>
        <w:rPr>
          <w:rFonts w:eastAsia="Times New Roman"/>
          <w:color w:val="000000"/>
          <w:sz w:val="20"/>
          <w:szCs w:val="20"/>
        </w:rPr>
        <w:t>No change in the Company’s internal control over financial reporting occurred during the Compa</w:t>
      </w:r>
      <w:r>
        <w:rPr>
          <w:rFonts w:eastAsia="Times New Roman"/>
          <w:color w:val="000000"/>
          <w:sz w:val="20"/>
          <w:szCs w:val="20"/>
        </w:rPr>
        <w:t>ny’s most recent fiscal quarter that has materially affected, or is reasonably likely to materially affect, the Company’s internal control over financial reporting.</w:t>
      </w:r>
    </w:p>
    <w:p w:rsidR="00000000" w:rsidRDefault="005D625B">
      <w:pPr>
        <w:jc w:val="both"/>
        <w:divId w:val="2100251428"/>
        <w:rPr>
          <w:rFonts w:eastAsia="Times New Roman"/>
        </w:rPr>
      </w:pPr>
    </w:p>
    <w:p w:rsidR="00000000" w:rsidRDefault="005D625B">
      <w:pPr>
        <w:divId w:val="1377269449"/>
        <w:rPr>
          <w:rFonts w:eastAsia="Times New Roman"/>
        </w:rPr>
      </w:pPr>
      <w:r>
        <w:rPr>
          <w:rFonts w:eastAsia="Times New Roman"/>
          <w:color w:val="000000"/>
          <w:sz w:val="16"/>
          <w:szCs w:val="16"/>
        </w:rPr>
        <w:t> </w:t>
      </w:r>
    </w:p>
    <w:p w:rsidR="00000000" w:rsidRDefault="005D625B">
      <w:pPr>
        <w:jc w:val="center"/>
        <w:divId w:val="384380581"/>
        <w:rPr>
          <w:rFonts w:eastAsia="Times New Roman"/>
        </w:rPr>
      </w:pPr>
      <w:r>
        <w:rPr>
          <w:rFonts w:eastAsia="Times New Roman"/>
          <w:color w:val="000000"/>
          <w:sz w:val="20"/>
          <w:szCs w:val="20"/>
        </w:rPr>
        <w:t>58</w:t>
      </w:r>
    </w:p>
    <w:p w:rsidR="00000000" w:rsidRDefault="005D625B">
      <w:pPr>
        <w:rPr>
          <w:rFonts w:eastAsia="Times New Roman"/>
        </w:rPr>
      </w:pPr>
      <w:r>
        <w:rPr>
          <w:rFonts w:eastAsia="Times New Roman"/>
        </w:rPr>
        <w:pict>
          <v:rect id="_x0000_i1084" style="width:0;height:1.5pt" o:hralign="center" o:hrstd="t" o:hr="t" fillcolor="#a0a0a0" stroked="f"/>
        </w:pict>
      </w:r>
    </w:p>
    <w:p w:rsidR="00000000" w:rsidRDefault="005D625B">
      <w:pPr>
        <w:divId w:val="156509502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804391498"/>
        <w:rPr>
          <w:rFonts w:eastAsia="Times New Roman"/>
        </w:rPr>
      </w:pPr>
      <w:r>
        <w:rPr>
          <w:rFonts w:eastAsia="Times New Roman"/>
          <w:b/>
          <w:bCs/>
          <w:color w:val="000000"/>
          <w:sz w:val="20"/>
          <w:szCs w:val="20"/>
        </w:rPr>
        <w:t>UGI CORPORATION AND SUBSIDIARIES</w:t>
      </w:r>
    </w:p>
    <w:p w:rsidR="00000000" w:rsidRDefault="005D625B">
      <w:pPr>
        <w:jc w:val="center"/>
        <w:rPr>
          <w:rFonts w:eastAsia="Times New Roman"/>
        </w:rPr>
      </w:pPr>
      <w:r>
        <w:rPr>
          <w:rFonts w:eastAsia="Times New Roman"/>
          <w:b/>
          <w:bCs/>
          <w:color w:val="000000"/>
          <w:sz w:val="20"/>
          <w:szCs w:val="20"/>
        </w:rPr>
        <w:t>PART II OTHER INFORMATION</w:t>
      </w:r>
    </w:p>
    <w:p w:rsidR="00000000" w:rsidRDefault="005D625B">
      <w:pPr>
        <w:jc w:val="center"/>
        <w:rPr>
          <w:rFonts w:eastAsia="Times New Roman"/>
        </w:rPr>
      </w:pPr>
    </w:p>
    <w:p w:rsidR="00000000" w:rsidRDefault="005D625B">
      <w:pPr>
        <w:divId w:val="1391610596"/>
        <w:rPr>
          <w:rFonts w:eastAsia="Times New Roman"/>
        </w:rPr>
      </w:pPr>
      <w:r>
        <w:rPr>
          <w:rFonts w:eastAsia="Times New Roman"/>
          <w:b/>
          <w:bCs/>
          <w:color w:val="000000"/>
          <w:sz w:val="20"/>
          <w:szCs w:val="20"/>
        </w:rPr>
        <w:t>ITEM 1A. RISK FACTORS</w:t>
      </w:r>
    </w:p>
    <w:p w:rsidR="00000000" w:rsidRDefault="005D625B">
      <w:pPr>
        <w:jc w:val="both"/>
        <w:rPr>
          <w:rFonts w:eastAsia="Times New Roman"/>
        </w:rPr>
      </w:pPr>
      <w:r>
        <w:rPr>
          <w:rFonts w:eastAsia="Times New Roman"/>
          <w:color w:val="000000"/>
          <w:sz w:val="20"/>
          <w:szCs w:val="20"/>
        </w:rPr>
        <w:t>In addition to the information presented in this report, you should carefully consider the factors discussed in Part I, “</w:t>
      </w:r>
      <w:r>
        <w:rPr>
          <w:rFonts w:eastAsia="Times New Roman"/>
          <w:color w:val="000000"/>
          <w:sz w:val="20"/>
          <w:szCs w:val="20"/>
        </w:rPr>
        <w:t>Item 1A. Risk Factors” in our 2020 Annual Report, which could materially affect our business, financial condition or future results. The risks described below and in our 2020 Annual Report are not the only risks facing the Company. Other unknown or unpredi</w:t>
      </w:r>
      <w:r>
        <w:rPr>
          <w:rFonts w:eastAsia="Times New Roman"/>
          <w:color w:val="000000"/>
          <w:sz w:val="20"/>
          <w:szCs w:val="20"/>
        </w:rPr>
        <w:t>ctable factors could also have material adverse effects on future results.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Payment and settlement of the components of our Equity Units may result in substantial dilution to holders of our Common Stock.</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On May 25, 2021, the Company issued 2,200,000 Equ</w:t>
      </w:r>
      <w:r>
        <w:rPr>
          <w:rFonts w:eastAsia="Times New Roman"/>
          <w:color w:val="000000"/>
          <w:sz w:val="20"/>
          <w:szCs w:val="20"/>
        </w:rPr>
        <w:t>ity Units generally consisting of Purchase Contracts and Convertible Preferred Stock.</w:t>
      </w:r>
      <w:r>
        <w:rPr>
          <w:rFonts w:eastAsia="Times New Roman"/>
          <w:color w:val="000000"/>
        </w:rPr>
        <w:t xml:space="preserve"> </w:t>
      </w:r>
      <w:r>
        <w:rPr>
          <w:rFonts w:eastAsia="Times New Roman"/>
          <w:color w:val="000000"/>
          <w:sz w:val="20"/>
          <w:szCs w:val="20"/>
        </w:rPr>
        <w:t>These underlying components of our Equity Units could have significant negative consequences for our security holders by, among other things, diluting the interests of ou</w:t>
      </w:r>
      <w:r>
        <w:rPr>
          <w:rFonts w:eastAsia="Times New Roman"/>
          <w:color w:val="000000"/>
          <w:sz w:val="20"/>
          <w:szCs w:val="20"/>
        </w:rPr>
        <w:t>r existing stockholders as a result of issuing shares of our Common Stock. The Purchase Contracts will be settled in shares of our Common Stock, which will result in dilution to our common stockholders. The Convertible Preferred Stock may also be settled i</w:t>
      </w:r>
      <w:r>
        <w:rPr>
          <w:rFonts w:eastAsia="Times New Roman"/>
          <w:color w:val="000000"/>
          <w:sz w:val="20"/>
          <w:szCs w:val="20"/>
        </w:rPr>
        <w:t>n shares of our Common Stock. Additionally, we may elect to pay contract adjustment payments on the Purchase Contracts, and dividends on the Convertible Preferred Stock, in shares of our Common Stock. Any such issuances of our Common Stock would dilute the</w:t>
      </w:r>
      <w:r>
        <w:rPr>
          <w:rFonts w:eastAsia="Times New Roman"/>
          <w:color w:val="000000"/>
          <w:sz w:val="20"/>
          <w:szCs w:val="20"/>
        </w:rPr>
        <w:t xml:space="preserve"> interests of our existing stockholders.</w:t>
      </w:r>
    </w:p>
    <w:p w:rsidR="00000000" w:rsidRDefault="005D625B">
      <w:pPr>
        <w:jc w:val="both"/>
        <w:rPr>
          <w:rFonts w:eastAsia="Times New Roman"/>
        </w:rPr>
      </w:pPr>
    </w:p>
    <w:p w:rsidR="00000000" w:rsidRDefault="005D625B">
      <w:pPr>
        <w:jc w:val="both"/>
        <w:rPr>
          <w:rFonts w:eastAsia="Times New Roman"/>
        </w:rPr>
      </w:pPr>
      <w:r>
        <w:rPr>
          <w:rFonts w:eastAsia="Times New Roman"/>
          <w:b/>
          <w:bCs/>
          <w:i/>
          <w:iCs/>
          <w:color w:val="000000"/>
          <w:sz w:val="20"/>
          <w:szCs w:val="20"/>
        </w:rPr>
        <w:t>Our information technology systems and those of our third-party vendors or service providers have been the target of cyber-security attacks in the past. If we are unable to protect our information technology syste</w:t>
      </w:r>
      <w:r>
        <w:rPr>
          <w:rFonts w:eastAsia="Times New Roman"/>
          <w:b/>
          <w:bCs/>
          <w:i/>
          <w:iCs/>
          <w:color w:val="000000"/>
          <w:sz w:val="20"/>
          <w:szCs w:val="20"/>
        </w:rPr>
        <w:t xml:space="preserve">ms against future service interruption, misappropriation of data, or breaches of security resulting from cyber-security attacks or other events, or if we encounter other unforeseen difficulties in the design, implementation or operation of our information </w:t>
      </w:r>
      <w:r>
        <w:rPr>
          <w:rFonts w:eastAsia="Times New Roman"/>
          <w:b/>
          <w:bCs/>
          <w:i/>
          <w:iCs/>
          <w:color w:val="000000"/>
          <w:sz w:val="20"/>
          <w:szCs w:val="20"/>
        </w:rPr>
        <w:t>technology systems, or if our third-party vendors or service providers experience compromises to their information technology systems, our operations could be disrupted, our business and reputation may suffer, and our internal controls could be adversely a</w:t>
      </w:r>
      <w:r>
        <w:rPr>
          <w:rFonts w:eastAsia="Times New Roman"/>
          <w:b/>
          <w:bCs/>
          <w:i/>
          <w:iCs/>
          <w:color w:val="000000"/>
          <w:sz w:val="20"/>
          <w:szCs w:val="20"/>
        </w:rPr>
        <w:t>ffected.</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In the ordinary course of business, we rely on information technology systems, including the Internet and third-party hosted services, to support a variety of business processes and activities and to store sensitive data, including (i) intellectual propert</w:t>
      </w:r>
      <w:r>
        <w:rPr>
          <w:rFonts w:eastAsia="Times New Roman"/>
          <w:color w:val="000000"/>
          <w:sz w:val="20"/>
          <w:szCs w:val="20"/>
        </w:rPr>
        <w:t>y, (ii) our proprietary business information and that of our suppliers and business partners, (iii) personally identifiable information of our customers and employees, and (iv) data with respect to invoicing and the collection of payments, accounting, proc</w:t>
      </w:r>
      <w:r>
        <w:rPr>
          <w:rFonts w:eastAsia="Times New Roman"/>
          <w:color w:val="000000"/>
          <w:sz w:val="20"/>
          <w:szCs w:val="20"/>
        </w:rPr>
        <w:t>urement, and supply chain activities. In addition, we rely on our information technology systems to process financial information and results of operations for internal reporting purposes and to comply with financial reporting, legal, and tax requirements.</w:t>
      </w:r>
      <w:r>
        <w:rPr>
          <w:rFonts w:eastAsia="Times New Roman"/>
          <w:color w:val="000000"/>
          <w:sz w:val="20"/>
          <w:szCs w:val="20"/>
        </w:rPr>
        <w:t xml:space="preserve">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shd w:val="clear" w:color="auto" w:fill="FFFFFF"/>
        </w:rPr>
        <w:t xml:space="preserve">Cyber-security incidents have recently increased in both frequency and magnitude and have involved malicious software and attempts to gain unauthorized access to data and systems, including ransomware attacks where a target’s access to its information </w:t>
      </w:r>
      <w:r>
        <w:rPr>
          <w:rFonts w:eastAsia="Times New Roman"/>
          <w:color w:val="000000"/>
          <w:sz w:val="20"/>
          <w:szCs w:val="20"/>
          <w:shd w:val="clear" w:color="auto" w:fill="FFFFFF"/>
        </w:rPr>
        <w:t>systems is blocked until a ransom has been paid. Despite our security measures, our technologies, systems, and networks have been and may continue to be the target of cyber-security attacks or information security breaches that could result in the unauthor</w:t>
      </w:r>
      <w:r>
        <w:rPr>
          <w:rFonts w:eastAsia="Times New Roman"/>
          <w:color w:val="000000"/>
          <w:sz w:val="20"/>
          <w:szCs w:val="20"/>
          <w:shd w:val="clear" w:color="auto" w:fill="FFFFFF"/>
        </w:rPr>
        <w:t>ized release, misuse, loss or destruction of proprietary and other information, or other disruption of our business operations.</w:t>
      </w:r>
      <w:r>
        <w:rPr>
          <w:rFonts w:eastAsia="Times New Roman"/>
          <w:color w:val="000000"/>
        </w:rPr>
        <w:t xml:space="preserve"> </w:t>
      </w:r>
      <w:r>
        <w:rPr>
          <w:rFonts w:eastAsia="Times New Roman"/>
          <w:color w:val="000000"/>
          <w:sz w:val="20"/>
          <w:szCs w:val="20"/>
        </w:rPr>
        <w:t>Similarly, our third-party vendors or service providers have been impacted by cyber-security incidents and could sustain the sam</w:t>
      </w:r>
      <w:r>
        <w:rPr>
          <w:rFonts w:eastAsia="Times New Roman"/>
          <w:color w:val="000000"/>
          <w:sz w:val="20"/>
          <w:szCs w:val="20"/>
        </w:rPr>
        <w:t>e risks and disruptions as described above. A loss of our information technology systems, or temporary interruptions in the operation of our information technology systems, or those of our third-party vendors or service providers, or any other misappropria</w:t>
      </w:r>
      <w:r>
        <w:rPr>
          <w:rFonts w:eastAsia="Times New Roman"/>
          <w:color w:val="000000"/>
          <w:sz w:val="20"/>
          <w:szCs w:val="20"/>
        </w:rPr>
        <w:t>tion of data, or breaches of security could have a material adverse effect on our business, financial condition, results of operations, and reputation. In addition, a cyber-security attack could provide a cyber-intruder with the ability to control or alter</w:t>
      </w:r>
      <w:r>
        <w:rPr>
          <w:rFonts w:eastAsia="Times New Roman"/>
          <w:color w:val="000000"/>
          <w:sz w:val="20"/>
          <w:szCs w:val="20"/>
        </w:rPr>
        <w:t xml:space="preserve"> our pipeline operations. Such an act could result in critical pipeline failures.</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 xml:space="preserve">The efficient execution of the Company’s businesses is dependent upon the proper design, implementation and functioning of its current and future internal systems, such as </w:t>
      </w:r>
      <w:r>
        <w:rPr>
          <w:rFonts w:eastAsia="Times New Roman"/>
          <w:color w:val="000000"/>
          <w:sz w:val="20"/>
          <w:szCs w:val="20"/>
        </w:rPr>
        <w:t>the information technology systems that support the Company’s underlying business processes. Any significant failure or malfunction of such information technology systems may result in disruptions of our operations. In addition, the effectiveness of our in</w:t>
      </w:r>
      <w:r>
        <w:rPr>
          <w:rFonts w:eastAsia="Times New Roman"/>
          <w:color w:val="000000"/>
          <w:sz w:val="20"/>
          <w:szCs w:val="20"/>
        </w:rPr>
        <w:t xml:space="preserve">ternal controls could be adversely affected if we encounter unforeseen problems with respect to the operation of our information technology systems. </w:t>
      </w:r>
    </w:p>
    <w:p w:rsidR="00000000" w:rsidRDefault="005D625B">
      <w:pPr>
        <w:jc w:val="both"/>
        <w:rPr>
          <w:rFonts w:eastAsia="Times New Roman"/>
        </w:rPr>
      </w:pPr>
    </w:p>
    <w:p w:rsidR="00000000" w:rsidRDefault="005D625B">
      <w:pPr>
        <w:jc w:val="both"/>
        <w:rPr>
          <w:rFonts w:eastAsia="Times New Roman"/>
        </w:rPr>
      </w:pPr>
      <w:r>
        <w:rPr>
          <w:rFonts w:eastAsia="Times New Roman"/>
          <w:color w:val="000000"/>
          <w:sz w:val="20"/>
          <w:szCs w:val="20"/>
        </w:rPr>
        <w:t>While we have purchased cyber-security insurance, there are no assurances that the coverage would be ade</w:t>
      </w:r>
      <w:r>
        <w:rPr>
          <w:rFonts w:eastAsia="Times New Roman"/>
          <w:color w:val="000000"/>
          <w:sz w:val="20"/>
          <w:szCs w:val="20"/>
        </w:rPr>
        <w:t>quate in relation to any incurred losses.</w:t>
      </w:r>
      <w:r>
        <w:rPr>
          <w:rFonts w:eastAsia="Times New Roman"/>
          <w:color w:val="000000"/>
        </w:rPr>
        <w:t xml:space="preserve"> </w:t>
      </w:r>
      <w:r>
        <w:rPr>
          <w:rFonts w:eastAsia="Times New Roman"/>
          <w:color w:val="000000"/>
          <w:sz w:val="20"/>
          <w:szCs w:val="20"/>
        </w:rPr>
        <w:t>Moreover, as cyber incidents increase in frequency and magnitude, we may be unable to obtain cyber-security insurance in amounts and on terms we view as adequate for our operations, including the agreement to certa</w:t>
      </w:r>
      <w:r>
        <w:rPr>
          <w:rFonts w:eastAsia="Times New Roman"/>
          <w:color w:val="000000"/>
          <w:sz w:val="20"/>
          <w:szCs w:val="20"/>
        </w:rPr>
        <w:t xml:space="preserve">in indemnification provisions by our insurance providers. </w:t>
      </w:r>
    </w:p>
    <w:p w:rsidR="00000000" w:rsidRDefault="005D625B">
      <w:pPr>
        <w:jc w:val="both"/>
        <w:rPr>
          <w:rFonts w:eastAsia="Times New Roman"/>
        </w:rPr>
      </w:pPr>
    </w:p>
    <w:p w:rsidR="00000000" w:rsidRDefault="005D625B">
      <w:pPr>
        <w:jc w:val="center"/>
        <w:divId w:val="918910265"/>
        <w:rPr>
          <w:rFonts w:eastAsia="Times New Roman"/>
        </w:rPr>
      </w:pPr>
      <w:r>
        <w:rPr>
          <w:rFonts w:eastAsia="Times New Roman"/>
          <w:color w:val="000000"/>
          <w:sz w:val="20"/>
          <w:szCs w:val="20"/>
        </w:rPr>
        <w:t>59</w:t>
      </w:r>
    </w:p>
    <w:p w:rsidR="00000000" w:rsidRDefault="005D625B">
      <w:pPr>
        <w:rPr>
          <w:rFonts w:eastAsia="Times New Roman"/>
        </w:rPr>
      </w:pPr>
      <w:r>
        <w:rPr>
          <w:rFonts w:eastAsia="Times New Roman"/>
        </w:rPr>
        <w:pict>
          <v:rect id="_x0000_i1085" style="width:0;height:1.5pt" o:hralign="center" o:hrstd="t" o:hr="t" fillcolor="#a0a0a0" stroked="f"/>
        </w:pict>
      </w:r>
    </w:p>
    <w:p w:rsidR="00000000" w:rsidRDefault="005D625B">
      <w:pPr>
        <w:divId w:val="895355079"/>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225414119"/>
        <w:rPr>
          <w:rFonts w:eastAsia="Times New Roman"/>
        </w:rPr>
      </w:pPr>
      <w:r>
        <w:rPr>
          <w:rFonts w:eastAsia="Times New Roman"/>
          <w:b/>
          <w:bCs/>
          <w:color w:val="000000"/>
          <w:sz w:val="20"/>
          <w:szCs w:val="20"/>
        </w:rPr>
        <w:t>UGI CORPORATION AND SUBSIDIARIES</w:t>
      </w:r>
    </w:p>
    <w:p w:rsidR="00000000" w:rsidRDefault="005D625B">
      <w:pPr>
        <w:divId w:val="553930121"/>
        <w:rPr>
          <w:rFonts w:eastAsia="Times New Roman"/>
        </w:rPr>
      </w:pPr>
      <w:r>
        <w:rPr>
          <w:rFonts w:eastAsia="Times New Roman"/>
          <w:b/>
          <w:bCs/>
          <w:color w:val="000000"/>
          <w:sz w:val="20"/>
          <w:szCs w:val="20"/>
        </w:rPr>
        <w:t>ITEM 6. EXHIBITS</w:t>
      </w:r>
    </w:p>
    <w:p w:rsidR="00000000" w:rsidRDefault="005D625B">
      <w:pPr>
        <w:jc w:val="both"/>
        <w:divId w:val="808519538"/>
        <w:rPr>
          <w:rFonts w:eastAsia="Times New Roman"/>
        </w:rPr>
      </w:pPr>
      <w:r>
        <w:rPr>
          <w:rFonts w:eastAsia="Times New Roman"/>
          <w:color w:val="000000"/>
          <w:sz w:val="20"/>
          <w:szCs w:val="20"/>
        </w:rPr>
        <w:t xml:space="preserve">The exhibits filed as part of </w:t>
      </w:r>
      <w:r>
        <w:rPr>
          <w:rFonts w:eastAsia="Times New Roman"/>
          <w:color w:val="000000"/>
          <w:sz w:val="20"/>
          <w:szCs w:val="20"/>
        </w:rPr>
        <w:t>this report are as follows (exhibits incorporated by reference are set forth with the name of the registrant, the type of report and last date of the period for which it was filed, and the exhibit number in such filing):</w:t>
      </w:r>
    </w:p>
    <w:p w:rsidR="00000000" w:rsidRDefault="005D625B">
      <w:pPr>
        <w:jc w:val="center"/>
        <w:divId w:val="692538467"/>
        <w:rPr>
          <w:rFonts w:eastAsia="Times New Roman"/>
        </w:rPr>
      </w:pPr>
      <w:r>
        <w:rPr>
          <w:rFonts w:eastAsia="Times New Roman"/>
          <w:b/>
          <w:bCs/>
          <w:color w:val="000000"/>
          <w:sz w:val="20"/>
          <w:szCs w:val="20"/>
        </w:rPr>
        <w:t>Incorporation by Reference</w:t>
      </w:r>
    </w:p>
    <w:tbl>
      <w:tblPr>
        <w:tblW w:w="4978" w:type="pct"/>
        <w:tblCellMar>
          <w:top w:w="15" w:type="dxa"/>
          <w:left w:w="15" w:type="dxa"/>
          <w:bottom w:w="15" w:type="dxa"/>
          <w:right w:w="15" w:type="dxa"/>
        </w:tblCellMar>
        <w:tblLook w:val="04A0" w:firstRow="1" w:lastRow="0" w:firstColumn="1" w:lastColumn="0" w:noHBand="0" w:noVBand="1"/>
      </w:tblPr>
      <w:tblGrid>
        <w:gridCol w:w="63"/>
        <w:gridCol w:w="589"/>
        <w:gridCol w:w="36"/>
        <w:gridCol w:w="36"/>
        <w:gridCol w:w="36"/>
        <w:gridCol w:w="36"/>
        <w:gridCol w:w="38"/>
        <w:gridCol w:w="4790"/>
        <w:gridCol w:w="36"/>
        <w:gridCol w:w="36"/>
        <w:gridCol w:w="36"/>
        <w:gridCol w:w="36"/>
        <w:gridCol w:w="80"/>
        <w:gridCol w:w="673"/>
        <w:gridCol w:w="36"/>
        <w:gridCol w:w="36"/>
        <w:gridCol w:w="36"/>
        <w:gridCol w:w="36"/>
        <w:gridCol w:w="64"/>
        <w:gridCol w:w="820"/>
        <w:gridCol w:w="36"/>
        <w:gridCol w:w="36"/>
        <w:gridCol w:w="36"/>
        <w:gridCol w:w="36"/>
        <w:gridCol w:w="80"/>
        <w:gridCol w:w="460"/>
        <w:gridCol w:w="36"/>
      </w:tblGrid>
      <w:tr w:rsidR="00000000">
        <w:trPr>
          <w:divId w:val="1237397189"/>
        </w:trPr>
        <w:tc>
          <w:tcPr>
            <w:tcW w:w="50" w:type="pct"/>
            <w:vAlign w:val="center"/>
            <w:hideMark/>
          </w:tcPr>
          <w:p w:rsidR="00000000" w:rsidRDefault="005D625B">
            <w:pPr>
              <w:jc w:val="center"/>
              <w:rPr>
                <w:rFonts w:eastAsia="Times New Roman"/>
              </w:rPr>
            </w:pPr>
          </w:p>
        </w:tc>
        <w:tc>
          <w:tcPr>
            <w:tcW w:w="38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29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2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6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29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vAlign w:val="bottom"/>
            <w:hideMark/>
          </w:tcPr>
          <w:p w:rsidR="00000000" w:rsidRDefault="005D625B">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b/>
                <w:bCs/>
                <w:color w:val="000000"/>
                <w:sz w:val="16"/>
                <w:szCs w:val="16"/>
              </w:rPr>
              <w:t>Exhibit</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b/>
                <w:bCs/>
                <w:color w:val="000000"/>
                <w:sz w:val="16"/>
                <w:szCs w:val="16"/>
              </w:rPr>
              <w:t>Registrant</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b/>
                <w:bCs/>
                <w:color w:val="000000"/>
                <w:sz w:val="16"/>
                <w:szCs w:val="16"/>
              </w:rPr>
              <w:t>Filing</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b/>
                <w:bCs/>
                <w:color w:val="000000"/>
                <w:sz w:val="16"/>
                <w:szCs w:val="16"/>
              </w:rPr>
              <w:t>Exhibit</w:t>
            </w: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474488194"/>
              <w:rPr>
                <w:rFonts w:eastAsia="Times New Roman"/>
              </w:rPr>
            </w:pPr>
            <w:hyperlink r:id="rId4" w:history="1">
              <w:r>
                <w:rPr>
                  <w:rStyle w:val="a3"/>
                  <w:rFonts w:eastAsia="Times New Roman"/>
                  <w:sz w:val="20"/>
                  <w:szCs w:val="20"/>
                </w:rPr>
                <w:t>Statement with Respect to Shares of the Company with respect to the Convertible Preferred Stock, filed with the Secretary of the Commonwealth of Pennsylvania</w:t>
              </w:r>
              <w:r>
                <w:rPr>
                  <w:rStyle w:val="a3"/>
                  <w:rFonts w:eastAsia="Times New Roman"/>
                  <w:sz w:val="20"/>
                  <w:szCs w:val="20"/>
                </w:rPr>
                <w:t xml:space="preserve"> and effective on May 25, 2021.</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3.1</w:t>
            </w:r>
          </w:p>
        </w:tc>
      </w:tr>
      <w:tr w:rsidR="00000000">
        <w:trPr>
          <w:divId w:val="1237397189"/>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(5/25/21)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521359947"/>
              <w:rPr>
                <w:rFonts w:eastAsia="Times New Roman"/>
              </w:rPr>
            </w:pPr>
            <w:hyperlink r:id="rId5" w:history="1">
              <w:r>
                <w:rPr>
                  <w:rStyle w:val="a3"/>
                  <w:rFonts w:eastAsia="Times New Roman"/>
                  <w:sz w:val="20"/>
                  <w:szCs w:val="20"/>
                </w:rPr>
                <w:t>Statement with Respect to Shares of the Company with respect to the Series B Preferred Stock, filed with the Secretary of the Commonwealth of Pennsylvania an</w:t>
              </w:r>
              <w:r>
                <w:rPr>
                  <w:rStyle w:val="a3"/>
                  <w:rFonts w:eastAsia="Times New Roman"/>
                  <w:sz w:val="20"/>
                  <w:szCs w:val="20"/>
                </w:rPr>
                <w:t>d effective on May 25, 2021.</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3.2</w:t>
            </w:r>
          </w:p>
        </w:tc>
      </w:tr>
      <w:tr w:rsidR="00000000">
        <w:trPr>
          <w:divId w:val="1237397189"/>
          <w:trHeight w:val="10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581598318"/>
              <w:rPr>
                <w:rFonts w:eastAsia="Times New Roman"/>
              </w:rPr>
            </w:pPr>
            <w:hyperlink r:id="rId6" w:history="1">
              <w:r>
                <w:rPr>
                  <w:rStyle w:val="a3"/>
                  <w:rFonts w:eastAsia="Times New Roman"/>
                  <w:sz w:val="20"/>
                  <w:szCs w:val="20"/>
                </w:rPr>
                <w:t>Note Purchase Agreement, dated May 7, 2021, by and among UGI Utilities, Inc. and the purchasers listed as signatories thereto.</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r>
            <w:r>
              <w:rPr>
                <w:rFonts w:eastAsia="Times New Roman"/>
                <w:color w:val="000000"/>
                <w:sz w:val="20"/>
                <w:szCs w:val="20"/>
              </w:rPr>
              <w:t>(5/4/21)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4.1</w:t>
            </w:r>
          </w:p>
        </w:tc>
      </w:tr>
      <w:tr w:rsidR="00000000">
        <w:trPr>
          <w:divId w:val="1237397189"/>
          <w:trHeight w:val="10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832841750"/>
              <w:rPr>
                <w:rFonts w:eastAsia="Times New Roman"/>
              </w:rPr>
            </w:pPr>
            <w:hyperlink r:id="rId7" w:history="1">
              <w:r>
                <w:rPr>
                  <w:rStyle w:val="a3"/>
                  <w:rFonts w:eastAsia="Times New Roman"/>
                  <w:sz w:val="20"/>
                  <w:szCs w:val="20"/>
                </w:rPr>
                <w:t>Purchase Contract and Pledge Agreement, dated May 25, 2021, between the Company and U.S. Bank National Association, as purchase contract agent, collateral agent, custodial agent and securities intermediary.</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4.1</w:t>
            </w: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949967109"/>
              <w:rPr>
                <w:rFonts w:eastAsia="Times New Roman"/>
              </w:rPr>
            </w:pPr>
            <w:hyperlink r:id="rId8" w:history="1">
              <w:r>
                <w:rPr>
                  <w:rStyle w:val="a3"/>
                  <w:rFonts w:eastAsia="Times New Roman"/>
                  <w:sz w:val="20"/>
                  <w:szCs w:val="20"/>
                </w:rPr>
                <w:t>Form of Corporate Unit (included as Exhibit A to Exhibit 4.2 hereto).</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4.2</w:t>
            </w: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333269191"/>
              <w:rPr>
                <w:rFonts w:eastAsia="Times New Roman"/>
              </w:rPr>
            </w:pPr>
            <w:hyperlink r:id="rId9" w:history="1">
              <w:r>
                <w:rPr>
                  <w:rStyle w:val="a3"/>
                  <w:rFonts w:eastAsia="Times New Roman"/>
                  <w:sz w:val="20"/>
                  <w:szCs w:val="20"/>
                </w:rPr>
                <w:t>Form of Treasury Unit (included as Exhibit B to Exhibit 4.2 hereto).</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4.3</w:t>
            </w: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718284547"/>
              <w:rPr>
                <w:rFonts w:eastAsia="Times New Roman"/>
              </w:rPr>
            </w:pPr>
            <w:hyperlink r:id="rId10" w:history="1">
              <w:r>
                <w:rPr>
                  <w:rStyle w:val="a3"/>
                  <w:rFonts w:eastAsia="Times New Roman"/>
                  <w:sz w:val="20"/>
                  <w:szCs w:val="20"/>
                </w:rPr>
                <w:t>Form of Cash Settled Unit (included as Exhibit C to Exhibit 4.</w:t>
              </w:r>
            </w:hyperlink>
            <w:hyperlink r:id="rId11" w:history="1">
              <w:r>
                <w:rPr>
                  <w:rStyle w:val="a3"/>
                  <w:rFonts w:eastAsia="Times New Roman"/>
                  <w:sz w:val="20"/>
                  <w:szCs w:val="20"/>
                </w:rPr>
                <w:t>2</w:t>
              </w:r>
            </w:hyperlink>
            <w:hyperlink r:id="rId12" w:history="1">
              <w:r>
                <w:rPr>
                  <w:rStyle w:val="a3"/>
                  <w:rFonts w:eastAsia="Times New Roman"/>
                  <w:sz w:val="20"/>
                  <w:szCs w:val="20"/>
                </w:rPr>
                <w:t xml:space="preserve"> hereto)</w:t>
              </w:r>
            </w:hyperlink>
            <w:hyperlink r:id="rId13"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4.4</w:t>
            </w: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4.6</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749499565"/>
              <w:rPr>
                <w:rFonts w:eastAsia="Times New Roman"/>
              </w:rPr>
            </w:pPr>
            <w:hyperlink r:id="rId14" w:history="1">
              <w:r>
                <w:rPr>
                  <w:rStyle w:val="a3"/>
                  <w:rFonts w:eastAsia="Times New Roman"/>
                  <w:sz w:val="20"/>
                  <w:szCs w:val="20"/>
                </w:rPr>
                <w:t>Form of Series A Cumulative Perpetual Convertible Preferred Stock Certificate.</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4.5</w:t>
            </w: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864371738"/>
              <w:rPr>
                <w:rFonts w:eastAsia="Times New Roman"/>
              </w:rPr>
            </w:pPr>
            <w:hyperlink r:id="rId15" w:history="1">
              <w:r>
                <w:rPr>
                  <w:rStyle w:val="a3"/>
                  <w:rFonts w:eastAsia="Times New Roman"/>
                  <w:sz w:val="20"/>
                  <w:szCs w:val="20"/>
                </w:rPr>
                <w:t>Form of Series B Cumulative Perpetual Preferred Stock Certificate.</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(5/25/21)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4.6</w:t>
            </w: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796223179"/>
              <w:rPr>
                <w:rFonts w:eastAsia="Times New Roman"/>
              </w:rPr>
            </w:pPr>
            <w:hyperlink r:id="rId16" w:history="1">
              <w:r>
                <w:rPr>
                  <w:rStyle w:val="a3"/>
                  <w:rFonts w:eastAsia="Times New Roman"/>
                  <w:sz w:val="20"/>
                  <w:szCs w:val="20"/>
                </w:rPr>
                <w:t>Form of UGI Corporation 2021 Incentive Award Plan Nonqualified Stock Option Grant Letter for all US Employees.</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414279578"/>
              <w:rPr>
                <w:rFonts w:eastAsia="Times New Roman"/>
              </w:rPr>
            </w:pPr>
            <w:hyperlink r:id="rId17" w:history="1">
              <w:r>
                <w:rPr>
                  <w:rStyle w:val="a3"/>
                  <w:rFonts w:eastAsia="Times New Roman"/>
                  <w:sz w:val="20"/>
                  <w:szCs w:val="20"/>
                </w:rPr>
                <w:t>Form of UGI Corporation 2021 Incentive Award Plan Performance Unit Grant Letter for all US Employees</w:t>
              </w:r>
            </w:hyperlink>
            <w:hyperlink r:id="rId18"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455031477"/>
              <w:rPr>
                <w:rFonts w:eastAsia="Times New Roman"/>
              </w:rPr>
            </w:pPr>
            <w:hyperlink r:id="rId19" w:history="1">
              <w:r>
                <w:rPr>
                  <w:rStyle w:val="a3"/>
                  <w:rFonts w:eastAsia="Times New Roman"/>
                  <w:sz w:val="20"/>
                  <w:szCs w:val="20"/>
                </w:rPr>
                <w:t>Form of UGI Corporation 2021 Incentive Award Plan Stock Unit Grant Letter for all U</w:t>
              </w:r>
            </w:hyperlink>
            <w:hyperlink r:id="rId20" w:history="1">
              <w:r>
                <w:rPr>
                  <w:rStyle w:val="a3"/>
                  <w:rFonts w:eastAsia="Times New Roman"/>
                  <w:sz w:val="20"/>
                  <w:szCs w:val="20"/>
                </w:rPr>
                <w:t>S</w:t>
              </w:r>
            </w:hyperlink>
            <w:hyperlink r:id="rId21" w:history="1">
              <w:r>
                <w:rPr>
                  <w:rStyle w:val="a3"/>
                  <w:rFonts w:eastAsia="Times New Roman"/>
                  <w:sz w:val="20"/>
                  <w:szCs w:val="20"/>
                </w:rPr>
                <w:t xml:space="preserve"> Employees.</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416511228"/>
              <w:rPr>
                <w:rFonts w:eastAsia="Times New Roman"/>
              </w:rPr>
            </w:pPr>
            <w:hyperlink r:id="rId22" w:history="1">
              <w:r>
                <w:rPr>
                  <w:rStyle w:val="a3"/>
                  <w:rFonts w:eastAsia="Times New Roman"/>
                  <w:sz w:val="20"/>
                  <w:szCs w:val="20"/>
                </w:rPr>
                <w:t>Form of Confidentiality, Non-Competition and Non-Solicitation Agreement between UGI Corporation and Mr. Roger Perreault.</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833520159"/>
              <w:rPr>
                <w:rFonts w:eastAsia="Times New Roman"/>
              </w:rPr>
            </w:pPr>
            <w:hyperlink r:id="rId23" w:history="1">
              <w:r>
                <w:rPr>
                  <w:rStyle w:val="a3"/>
                  <w:rFonts w:eastAsia="Times New Roman"/>
                  <w:sz w:val="20"/>
                  <w:szCs w:val="20"/>
                </w:rPr>
                <w:t>Form of Change in Control Agreement between UGI Corporation and Mr. Roger Perreault.</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770587105"/>
              <w:rPr>
                <w:rFonts w:eastAsia="Times New Roman"/>
              </w:rPr>
            </w:pPr>
            <w:hyperlink r:id="rId24" w:history="1">
              <w:r>
                <w:rPr>
                  <w:rStyle w:val="a3"/>
                  <w:rFonts w:eastAsia="Times New Roman"/>
                  <w:sz w:val="20"/>
                  <w:szCs w:val="20"/>
                </w:rPr>
                <w:t xml:space="preserve">First Amendment to the Amended and Restated Credit Agreement, dated as of </w:t>
              </w:r>
            </w:hyperlink>
            <w:hyperlink r:id="rId25" w:history="1">
              <w:r>
                <w:rPr>
                  <w:rStyle w:val="a3"/>
                  <w:rFonts w:eastAsia="Times New Roman"/>
                  <w:sz w:val="20"/>
                  <w:szCs w:val="20"/>
                </w:rPr>
                <w:t xml:space="preserve">June 23, 2021, by and among UGI Corporation, as borrower, JPMorgan Chase Bank, N.A., as </w:t>
              </w:r>
              <w:r>
                <w:rPr>
                  <w:rStyle w:val="a3"/>
                  <w:rFonts w:eastAsia="Times New Roman"/>
                  <w:sz w:val="20"/>
                  <w:szCs w:val="20"/>
                </w:rPr>
                <w:t>administrative agent, and the lenders party thereto.</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23739718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238517815"/>
              <w:rPr>
                <w:rFonts w:eastAsia="Times New Roman"/>
              </w:rPr>
            </w:pPr>
            <w:hyperlink r:id="rId26" w:history="1">
              <w:r>
                <w:rPr>
                  <w:rStyle w:val="a3"/>
                  <w:rFonts w:eastAsia="Times New Roman"/>
                  <w:sz w:val="20"/>
                  <w:szCs w:val="20"/>
                </w:rPr>
                <w:t>Amended and Restated Credit Agreement, dated as of May 4, 2021, by and among UGI Corporation and JPMorgan Chase Bank, N.A., as administrative agent, Citizens</w:t>
              </w:r>
              <w:r>
                <w:rPr>
                  <w:rStyle w:val="a3"/>
                  <w:rFonts w:eastAsia="Times New Roman"/>
                  <w:sz w:val="20"/>
                  <w:szCs w:val="20"/>
                </w:rPr>
                <w:t xml:space="preserve"> Bank, N.A., PNC Bank, National Association and Wells Fargo Bank, National Association, as co-documentation agents, and the other financial institutions from time to time party thereto.</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UGI</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Form 8-K</w:t>
            </w:r>
            <w:r>
              <w:rPr>
                <w:rFonts w:eastAsia="Times New Roman"/>
                <w:color w:val="000000"/>
                <w:sz w:val="20"/>
                <w:szCs w:val="20"/>
              </w:rPr>
              <w:br/>
              <w:t>(5/4/21)</w:t>
            </w:r>
          </w:p>
        </w:tc>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D625B">
            <w:pPr>
              <w:spacing w:after="100"/>
              <w:jc w:val="center"/>
              <w:rPr>
                <w:rFonts w:eastAsia="Times New Roman"/>
              </w:rPr>
            </w:pPr>
            <w:r>
              <w:rPr>
                <w:rFonts w:eastAsia="Times New Roman"/>
                <w:color w:val="000000"/>
                <w:sz w:val="20"/>
                <w:szCs w:val="20"/>
              </w:rPr>
              <w:t>10.1</w:t>
            </w:r>
          </w:p>
        </w:tc>
      </w:tr>
      <w:tr w:rsidR="00000000">
        <w:trPr>
          <w:divId w:val="1237397189"/>
          <w:trHeight w:val="60"/>
        </w:trPr>
        <w:tc>
          <w:tcPr>
            <w:tcW w:w="0" w:type="auto"/>
            <w:gridSpan w:val="3"/>
            <w:tcMar>
              <w:top w:w="0" w:type="dxa"/>
              <w:left w:w="20" w:type="dxa"/>
              <w:bottom w:w="0" w:type="dxa"/>
              <w:right w:w="20" w:type="dxa"/>
            </w:tcMar>
            <w:vAlign w:val="center"/>
            <w:hideMark/>
          </w:tcPr>
          <w:p w:rsidR="00000000" w:rsidRDefault="005D625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bl>
    <w:p w:rsidR="00000000" w:rsidRDefault="005D625B">
      <w:pPr>
        <w:jc w:val="center"/>
        <w:divId w:val="1564487415"/>
        <w:rPr>
          <w:rFonts w:eastAsia="Times New Roman"/>
        </w:rPr>
      </w:pPr>
      <w:r>
        <w:rPr>
          <w:rFonts w:eastAsia="Times New Roman"/>
          <w:color w:val="000000"/>
          <w:sz w:val="20"/>
          <w:szCs w:val="20"/>
        </w:rPr>
        <w:t>60</w:t>
      </w:r>
    </w:p>
    <w:p w:rsidR="00000000" w:rsidRDefault="005D625B">
      <w:pPr>
        <w:rPr>
          <w:rFonts w:eastAsia="Times New Roman"/>
        </w:rPr>
      </w:pPr>
      <w:r>
        <w:rPr>
          <w:rFonts w:eastAsia="Times New Roman"/>
        </w:rPr>
        <w:pict>
          <v:rect id="_x0000_i1086" style="width:0;height:1.5pt" o:hralign="center" o:hrstd="t" o:hr="t" fillcolor="#a0a0a0" stroked="f"/>
        </w:pict>
      </w:r>
    </w:p>
    <w:p w:rsidR="00000000" w:rsidRDefault="005D625B">
      <w:pPr>
        <w:divId w:val="53546770"/>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981423389"/>
        <w:rPr>
          <w:rFonts w:eastAsia="Times New Roman"/>
        </w:rPr>
      </w:pPr>
      <w:r>
        <w:rPr>
          <w:rFonts w:eastAsia="Times New Roman"/>
          <w:b/>
          <w:bCs/>
          <w:color w:val="000000"/>
          <w:sz w:val="20"/>
          <w:szCs w:val="20"/>
        </w:rPr>
        <w:t>UGI CORPORATION AND SUBSIDIARIES</w:t>
      </w:r>
    </w:p>
    <w:tbl>
      <w:tblPr>
        <w:tblW w:w="4978" w:type="pct"/>
        <w:tblCellMar>
          <w:top w:w="15" w:type="dxa"/>
          <w:left w:w="15" w:type="dxa"/>
          <w:bottom w:w="15" w:type="dxa"/>
          <w:right w:w="15" w:type="dxa"/>
        </w:tblCellMar>
        <w:tblLook w:val="04A0" w:firstRow="1" w:lastRow="0" w:firstColumn="1" w:lastColumn="0" w:noHBand="0" w:noVBand="1"/>
      </w:tblPr>
      <w:tblGrid>
        <w:gridCol w:w="89"/>
        <w:gridCol w:w="683"/>
        <w:gridCol w:w="36"/>
        <w:gridCol w:w="36"/>
        <w:gridCol w:w="36"/>
        <w:gridCol w:w="36"/>
        <w:gridCol w:w="37"/>
        <w:gridCol w:w="4779"/>
        <w:gridCol w:w="36"/>
        <w:gridCol w:w="36"/>
        <w:gridCol w:w="36"/>
        <w:gridCol w:w="36"/>
        <w:gridCol w:w="36"/>
        <w:gridCol w:w="648"/>
        <w:gridCol w:w="36"/>
        <w:gridCol w:w="36"/>
        <w:gridCol w:w="36"/>
        <w:gridCol w:w="36"/>
        <w:gridCol w:w="36"/>
        <w:gridCol w:w="881"/>
        <w:gridCol w:w="36"/>
        <w:gridCol w:w="36"/>
        <w:gridCol w:w="36"/>
        <w:gridCol w:w="36"/>
        <w:gridCol w:w="36"/>
        <w:gridCol w:w="432"/>
        <w:gridCol w:w="36"/>
      </w:tblGrid>
      <w:tr w:rsidR="00000000">
        <w:trPr>
          <w:divId w:val="1053430392"/>
        </w:trPr>
        <w:tc>
          <w:tcPr>
            <w:tcW w:w="50" w:type="pct"/>
            <w:vAlign w:val="center"/>
            <w:hideMark/>
          </w:tcPr>
          <w:p w:rsidR="00000000" w:rsidRDefault="005D625B">
            <w:pPr>
              <w:jc w:val="center"/>
              <w:rPr>
                <w:rFonts w:eastAsia="Times New Roman"/>
              </w:rPr>
            </w:pPr>
          </w:p>
        </w:tc>
        <w:tc>
          <w:tcPr>
            <w:tcW w:w="38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2918"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2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561"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29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053430392"/>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302685081"/>
              <w:rPr>
                <w:rFonts w:eastAsia="Times New Roman"/>
              </w:rPr>
            </w:pPr>
            <w:hyperlink r:id="rId27" w:history="1">
              <w:r>
                <w:rPr>
                  <w:rStyle w:val="a3"/>
                  <w:rFonts w:eastAsia="Times New Roman"/>
                  <w:sz w:val="20"/>
                  <w:szCs w:val="20"/>
                </w:rPr>
                <w:t xml:space="preserve">Certification by the Chief Executive Officer relating to the Registrant’s Report on Form 10-Q for the quarter ended </w:t>
              </w:r>
            </w:hyperlink>
            <w:hyperlink r:id="rId28" w:history="1">
              <w:r>
                <w:rPr>
                  <w:rStyle w:val="a3"/>
                  <w:rFonts w:eastAsia="Times New Roman"/>
                  <w:sz w:val="20"/>
                  <w:szCs w:val="20"/>
                </w:rPr>
                <w:t>June</w:t>
              </w:r>
            </w:hyperlink>
            <w:hyperlink r:id="rId29" w:history="1">
              <w:r>
                <w:rPr>
                  <w:rStyle w:val="a3"/>
                  <w:rFonts w:eastAsia="Times New Roman"/>
                  <w:sz w:val="20"/>
                  <w:szCs w:val="20"/>
                </w:rPr>
                <w:t xml:space="preserve"> 3</w:t>
              </w:r>
            </w:hyperlink>
            <w:hyperlink r:id="rId30" w:history="1">
              <w:r>
                <w:rPr>
                  <w:rStyle w:val="a3"/>
                  <w:rFonts w:eastAsia="Times New Roman"/>
                  <w:sz w:val="20"/>
                  <w:szCs w:val="20"/>
                </w:rPr>
                <w:t>0</w:t>
              </w:r>
            </w:hyperlink>
            <w:hyperlink r:id="rId31" w:history="1">
              <w:r>
                <w:rPr>
                  <w:rStyle w:val="a3"/>
                  <w:rFonts w:eastAsia="Times New Roman"/>
                  <w:sz w:val="20"/>
                  <w:szCs w:val="20"/>
                </w:rPr>
                <w:t>, 2021,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301157428"/>
              <w:rPr>
                <w:rFonts w:eastAsia="Times New Roman"/>
              </w:rPr>
            </w:pPr>
            <w:hyperlink r:id="rId32" w:history="1">
              <w:r>
                <w:rPr>
                  <w:rStyle w:val="a3"/>
                  <w:rFonts w:eastAsia="Times New Roman"/>
                  <w:sz w:val="20"/>
                  <w:szCs w:val="20"/>
                </w:rPr>
                <w:t xml:space="preserve">Certification by the Chief Financial Officer relating to the Registrant’s Report on Form 10-Q for the quarter ended </w:t>
              </w:r>
            </w:hyperlink>
            <w:hyperlink r:id="rId33" w:history="1">
              <w:r>
                <w:rPr>
                  <w:rStyle w:val="a3"/>
                  <w:rFonts w:eastAsia="Times New Roman"/>
                  <w:sz w:val="20"/>
                  <w:szCs w:val="20"/>
                </w:rPr>
                <w:t>June</w:t>
              </w:r>
            </w:hyperlink>
            <w:hyperlink r:id="rId34" w:history="1">
              <w:r>
                <w:rPr>
                  <w:rStyle w:val="a3"/>
                  <w:rFonts w:eastAsia="Times New Roman"/>
                  <w:sz w:val="20"/>
                  <w:szCs w:val="20"/>
                </w:rPr>
                <w:t xml:space="preserve"> 3</w:t>
              </w:r>
            </w:hyperlink>
            <w:hyperlink r:id="rId35" w:history="1">
              <w:r>
                <w:rPr>
                  <w:rStyle w:val="a3"/>
                  <w:rFonts w:eastAsia="Times New Roman"/>
                  <w:sz w:val="20"/>
                  <w:szCs w:val="20"/>
                </w:rPr>
                <w:t>0</w:t>
              </w:r>
            </w:hyperlink>
            <w:hyperlink r:id="rId36" w:history="1">
              <w:r>
                <w:rPr>
                  <w:rStyle w:val="a3"/>
                  <w:rFonts w:eastAsia="Times New Roman"/>
                  <w:sz w:val="20"/>
                  <w:szCs w:val="20"/>
                </w:rPr>
                <w:t>, 2021,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693920033"/>
              <w:rPr>
                <w:rFonts w:eastAsia="Times New Roman"/>
              </w:rPr>
            </w:pPr>
            <w:hyperlink r:id="rId37" w:history="1">
              <w:r>
                <w:rPr>
                  <w:rStyle w:val="a3"/>
                  <w:rFonts w:eastAsia="Times New Roman"/>
                  <w:sz w:val="20"/>
                  <w:szCs w:val="20"/>
                </w:rPr>
                <w:t xml:space="preserve">Certification by the Chief Executive Officer and the Chief Financial Officer relating to the Registrant’s Report on Form 10-Q for the quarter ended </w:t>
              </w:r>
            </w:hyperlink>
            <w:hyperlink r:id="rId38" w:history="1">
              <w:r>
                <w:rPr>
                  <w:rStyle w:val="a3"/>
                  <w:rFonts w:eastAsia="Times New Roman"/>
                  <w:sz w:val="20"/>
                  <w:szCs w:val="20"/>
                </w:rPr>
                <w:t>June</w:t>
              </w:r>
            </w:hyperlink>
            <w:hyperlink r:id="rId39" w:history="1">
              <w:r>
                <w:rPr>
                  <w:rStyle w:val="a3"/>
                  <w:rFonts w:eastAsia="Times New Roman"/>
                  <w:sz w:val="20"/>
                  <w:szCs w:val="20"/>
                </w:rPr>
                <w:t xml:space="preserve"> 3</w:t>
              </w:r>
            </w:hyperlink>
            <w:hyperlink r:id="rId40" w:history="1">
              <w:r>
                <w:rPr>
                  <w:rStyle w:val="a3"/>
                  <w:rFonts w:eastAsia="Times New Roman"/>
                  <w:sz w:val="20"/>
                  <w:szCs w:val="20"/>
                </w:rPr>
                <w:t>0</w:t>
              </w:r>
            </w:hyperlink>
            <w:hyperlink r:id="rId41" w:history="1">
              <w:r>
                <w:rPr>
                  <w:rStyle w:val="a3"/>
                  <w:rFonts w:eastAsia="Times New Roman"/>
                  <w:sz w:val="20"/>
                  <w:szCs w:val="20"/>
                </w:rPr>
                <w:t>, 2021,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Taxonomy Extension Schema</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Taxonomy Extension Calculation Linkbase</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Taxonomy Extension Definition Linkbase</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Taxonomy Extension Labels Linkbase</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Taxonomy Extension Presentation Linkbase</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053430392"/>
          <w:trHeight w:val="30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bl>
    <w:p w:rsidR="00000000" w:rsidRDefault="005D625B">
      <w:pPr>
        <w:ind w:hanging="270"/>
        <w:jc w:val="both"/>
        <w:rPr>
          <w:rFonts w:eastAsia="Times New Roman"/>
        </w:rPr>
      </w:pPr>
    </w:p>
    <w:p w:rsidR="00000000" w:rsidRDefault="005D625B">
      <w:pPr>
        <w:jc w:val="center"/>
        <w:divId w:val="628631867"/>
        <w:rPr>
          <w:rFonts w:eastAsia="Times New Roman"/>
        </w:rPr>
      </w:pPr>
      <w:r>
        <w:rPr>
          <w:rFonts w:eastAsia="Times New Roman"/>
          <w:color w:val="000000"/>
          <w:sz w:val="20"/>
          <w:szCs w:val="20"/>
        </w:rPr>
        <w:t>61</w:t>
      </w:r>
    </w:p>
    <w:p w:rsidR="00000000" w:rsidRDefault="005D625B">
      <w:pPr>
        <w:rPr>
          <w:rFonts w:eastAsia="Times New Roman"/>
        </w:rPr>
      </w:pPr>
      <w:r>
        <w:rPr>
          <w:rFonts w:eastAsia="Times New Roman"/>
        </w:rPr>
        <w:pict>
          <v:rect id="_x0000_i1087" style="width:0;height:1.5pt" o:hralign="center" o:hrstd="t" o:hr="t" fillcolor="#a0a0a0" stroked="f"/>
        </w:pict>
      </w:r>
    </w:p>
    <w:p w:rsidR="00000000" w:rsidRDefault="005D625B">
      <w:pPr>
        <w:divId w:val="1260068545"/>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806464898"/>
        <w:rPr>
          <w:rFonts w:eastAsia="Times New Roman"/>
        </w:rPr>
      </w:pPr>
      <w:r>
        <w:rPr>
          <w:rFonts w:eastAsia="Times New Roman"/>
          <w:b/>
          <w:bCs/>
          <w:color w:val="000000"/>
          <w:sz w:val="20"/>
          <w:szCs w:val="20"/>
        </w:rPr>
        <w:t>UGI CORPORATION AND SUBSIDIARIES</w:t>
      </w:r>
    </w:p>
    <w:p w:rsidR="00000000" w:rsidRDefault="005D625B">
      <w:pPr>
        <w:jc w:val="center"/>
        <w:rPr>
          <w:rFonts w:eastAsia="Times New Roman"/>
        </w:rPr>
      </w:pPr>
      <w:r>
        <w:rPr>
          <w:rFonts w:eastAsia="Times New Roman"/>
          <w:b/>
          <w:bCs/>
          <w:color w:val="000000"/>
          <w:sz w:val="20"/>
          <w:szCs w:val="20"/>
        </w:rPr>
        <w:t>EXHIBIT INDEX</w:t>
      </w:r>
    </w:p>
    <w:p w:rsidR="00000000" w:rsidRDefault="005D625B">
      <w:pPr>
        <w:divId w:val="1665861805"/>
        <w:rPr>
          <w:rFonts w:eastAsia="Times New Roman"/>
        </w:rPr>
      </w:pP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78"/>
        <w:gridCol w:w="704"/>
        <w:gridCol w:w="36"/>
        <w:gridCol w:w="36"/>
        <w:gridCol w:w="36"/>
        <w:gridCol w:w="36"/>
        <w:gridCol w:w="46"/>
        <w:gridCol w:w="7272"/>
        <w:gridCol w:w="37"/>
      </w:tblGrid>
      <w:tr w:rsidR="00000000">
        <w:trPr>
          <w:divId w:val="1376082129"/>
        </w:trPr>
        <w:tc>
          <w:tcPr>
            <w:tcW w:w="50" w:type="pct"/>
            <w:vAlign w:val="center"/>
            <w:hideMark/>
          </w:tcPr>
          <w:p w:rsidR="00000000" w:rsidRDefault="005D625B">
            <w:pPr>
              <w:rPr>
                <w:rFonts w:eastAsia="Times New Roman"/>
              </w:rPr>
            </w:pPr>
          </w:p>
        </w:tc>
        <w:tc>
          <w:tcPr>
            <w:tcW w:w="45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2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4402"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389063835"/>
              <w:rPr>
                <w:rFonts w:eastAsia="Times New Roman"/>
              </w:rPr>
            </w:pPr>
            <w:hyperlink r:id="rId42" w:history="1">
              <w:r>
                <w:rPr>
                  <w:rStyle w:val="a3"/>
                  <w:rFonts w:eastAsia="Times New Roman"/>
                  <w:sz w:val="20"/>
                  <w:szCs w:val="20"/>
                </w:rPr>
                <w:t>Form of UGI Corporation 2021 Incentive Award Plan Nonqualified Stock Option Grant Letter for all US Employees.</w:t>
              </w:r>
            </w:hyperlink>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449541795"/>
              <w:rPr>
                <w:rFonts w:eastAsia="Times New Roman"/>
              </w:rPr>
            </w:pPr>
            <w:hyperlink r:id="rId43" w:history="1">
              <w:r>
                <w:rPr>
                  <w:rStyle w:val="a3"/>
                  <w:rFonts w:eastAsia="Times New Roman"/>
                  <w:sz w:val="20"/>
                  <w:szCs w:val="20"/>
                </w:rPr>
                <w:t>Form of UGI Corporation 2021 Incentive Award Plan Performance Unit Grant Letter for all US Employees.</w:t>
              </w:r>
            </w:hyperlink>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181161426"/>
              <w:rPr>
                <w:rFonts w:eastAsia="Times New Roman"/>
              </w:rPr>
            </w:pPr>
            <w:hyperlink r:id="rId44" w:history="1">
              <w:r>
                <w:rPr>
                  <w:rStyle w:val="a3"/>
                  <w:rFonts w:eastAsia="Times New Roman"/>
                  <w:sz w:val="20"/>
                  <w:szCs w:val="20"/>
                </w:rPr>
                <w:t>Form of UGI Corporation 2021 Incentiv</w:t>
              </w:r>
              <w:r>
                <w:rPr>
                  <w:rStyle w:val="a3"/>
                  <w:rFonts w:eastAsia="Times New Roman"/>
                  <w:sz w:val="20"/>
                  <w:szCs w:val="20"/>
                </w:rPr>
                <w:t>e Award Plan Stock Unit Grant Letter for all U</w:t>
              </w:r>
            </w:hyperlink>
            <w:hyperlink r:id="rId45" w:history="1">
              <w:r>
                <w:rPr>
                  <w:rStyle w:val="a3"/>
                  <w:rFonts w:eastAsia="Times New Roman"/>
                  <w:sz w:val="20"/>
                  <w:szCs w:val="20"/>
                </w:rPr>
                <w:t>S</w:t>
              </w:r>
            </w:hyperlink>
            <w:hyperlink r:id="rId46" w:history="1">
              <w:r>
                <w:rPr>
                  <w:rStyle w:val="a3"/>
                  <w:rFonts w:eastAsia="Times New Roman"/>
                  <w:sz w:val="20"/>
                  <w:szCs w:val="20"/>
                </w:rPr>
                <w:t xml:space="preserve"> Employees.</w:t>
              </w:r>
            </w:hyperlink>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611165170"/>
              <w:rPr>
                <w:rFonts w:eastAsia="Times New Roman"/>
              </w:rPr>
            </w:pPr>
            <w:hyperlink r:id="rId47" w:history="1">
              <w:r>
                <w:rPr>
                  <w:rStyle w:val="a3"/>
                  <w:rFonts w:eastAsia="Times New Roman"/>
                  <w:sz w:val="20"/>
                  <w:szCs w:val="20"/>
                </w:rPr>
                <w:t>Form of Confidentiality, Non-Competition and Non-Solicitation Agreement between UGI Corporation and Mr. Roger Perreault.</w:t>
              </w:r>
            </w:hyperlink>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967464789"/>
              <w:rPr>
                <w:rFonts w:eastAsia="Times New Roman"/>
              </w:rPr>
            </w:pPr>
            <w:hyperlink r:id="rId48" w:history="1">
              <w:r>
                <w:rPr>
                  <w:rStyle w:val="a3"/>
                  <w:rFonts w:eastAsia="Times New Roman"/>
                  <w:sz w:val="20"/>
                  <w:szCs w:val="20"/>
                </w:rPr>
                <w:t>Form of Change in Control Agreement between UGI Corporation and Mr. Roger Perreault.</w:t>
              </w:r>
            </w:hyperlink>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486622326"/>
              <w:rPr>
                <w:rFonts w:eastAsia="Times New Roman"/>
              </w:rPr>
            </w:pPr>
            <w:hyperlink r:id="rId49" w:history="1">
              <w:r>
                <w:rPr>
                  <w:rStyle w:val="a3"/>
                  <w:rFonts w:eastAsia="Times New Roman"/>
                  <w:sz w:val="20"/>
                  <w:szCs w:val="20"/>
                </w:rPr>
                <w:t>First Amendment to the Amended and Restated Credit Agreement, dated as of</w:t>
              </w:r>
            </w:hyperlink>
            <w:hyperlink r:id="rId50" w:history="1">
              <w:r>
                <w:rPr>
                  <w:rStyle w:val="a3"/>
                  <w:rFonts w:eastAsia="Times New Roman"/>
                  <w:sz w:val="20"/>
                  <w:szCs w:val="20"/>
                </w:rPr>
                <w:t xml:space="preserve"> </w:t>
              </w:r>
            </w:hyperlink>
            <w:hyperlink r:id="rId51" w:history="1">
              <w:r>
                <w:rPr>
                  <w:rStyle w:val="a3"/>
                  <w:rFonts w:eastAsia="Times New Roman"/>
                  <w:sz w:val="20"/>
                  <w:szCs w:val="20"/>
                </w:rPr>
                <w:t xml:space="preserve">June 23, 2021, by and among UGI Corporation, as borrower, JPMorgan Chase Bank, N.A., as </w:t>
              </w:r>
              <w:r>
                <w:rPr>
                  <w:rStyle w:val="a3"/>
                  <w:rFonts w:eastAsia="Times New Roman"/>
                  <w:sz w:val="20"/>
                  <w:szCs w:val="20"/>
                </w:rPr>
                <w:t>administrative agent, and the lenders party thereto.</w:t>
              </w:r>
            </w:hyperlink>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301836600"/>
              <w:rPr>
                <w:rFonts w:eastAsia="Times New Roman"/>
              </w:rPr>
            </w:pPr>
            <w:hyperlink r:id="rId52" w:history="1">
              <w:r>
                <w:rPr>
                  <w:rStyle w:val="a3"/>
                  <w:rFonts w:eastAsia="Times New Roman"/>
                  <w:sz w:val="20"/>
                  <w:szCs w:val="20"/>
                </w:rPr>
                <w:t xml:space="preserve">Certification by the Chief Executive Officer relating to the Registrant’s Report on Form 10-Q for the quarter ended </w:t>
              </w:r>
            </w:hyperlink>
            <w:hyperlink r:id="rId53" w:history="1">
              <w:r>
                <w:rPr>
                  <w:rStyle w:val="a3"/>
                  <w:rFonts w:eastAsia="Times New Roman"/>
                  <w:sz w:val="20"/>
                  <w:szCs w:val="20"/>
                </w:rPr>
                <w:t>June</w:t>
              </w:r>
            </w:hyperlink>
            <w:hyperlink r:id="rId54" w:history="1">
              <w:r>
                <w:rPr>
                  <w:rStyle w:val="a3"/>
                  <w:rFonts w:eastAsia="Times New Roman"/>
                  <w:sz w:val="20"/>
                  <w:szCs w:val="20"/>
                </w:rPr>
                <w:t xml:space="preserve"> 3</w:t>
              </w:r>
            </w:hyperlink>
            <w:hyperlink r:id="rId55" w:history="1">
              <w:r>
                <w:rPr>
                  <w:rStyle w:val="a3"/>
                  <w:rFonts w:eastAsia="Times New Roman"/>
                  <w:sz w:val="20"/>
                  <w:szCs w:val="20"/>
                </w:rPr>
                <w:t>0</w:t>
              </w:r>
            </w:hyperlink>
            <w:hyperlink r:id="rId56" w:history="1">
              <w:r>
                <w:rPr>
                  <w:rStyle w:val="a3"/>
                  <w:rFonts w:eastAsia="Times New Roman"/>
                  <w:sz w:val="20"/>
                  <w:szCs w:val="20"/>
                </w:rPr>
                <w:t>, 2021, pursuant to Section 302 of the Sarbanes-Oxley Act of 2002.</w:t>
              </w:r>
            </w:hyperlink>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1135563579"/>
              <w:rPr>
                <w:rFonts w:eastAsia="Times New Roman"/>
              </w:rPr>
            </w:pPr>
            <w:hyperlink r:id="rId57" w:history="1">
              <w:r>
                <w:rPr>
                  <w:rStyle w:val="a3"/>
                  <w:rFonts w:eastAsia="Times New Roman"/>
                  <w:sz w:val="20"/>
                  <w:szCs w:val="20"/>
                </w:rPr>
                <w:t>Certification by the Chief Certification by the Chief Financial Officer relating to the R</w:t>
              </w:r>
              <w:r>
                <w:rPr>
                  <w:rStyle w:val="a3"/>
                  <w:rFonts w:eastAsia="Times New Roman"/>
                  <w:sz w:val="20"/>
                  <w:szCs w:val="20"/>
                </w:rPr>
                <w:t xml:space="preserve">egistrant’s Report on Form 10-Q for the quarter ended </w:t>
              </w:r>
            </w:hyperlink>
            <w:hyperlink r:id="rId58" w:history="1">
              <w:r>
                <w:rPr>
                  <w:rStyle w:val="a3"/>
                  <w:rFonts w:eastAsia="Times New Roman"/>
                  <w:sz w:val="20"/>
                  <w:szCs w:val="20"/>
                </w:rPr>
                <w:t>June</w:t>
              </w:r>
            </w:hyperlink>
            <w:hyperlink r:id="rId59" w:history="1">
              <w:r>
                <w:rPr>
                  <w:rStyle w:val="a3"/>
                  <w:rFonts w:eastAsia="Times New Roman"/>
                  <w:sz w:val="20"/>
                  <w:szCs w:val="20"/>
                </w:rPr>
                <w:t xml:space="preserve"> 3</w:t>
              </w:r>
            </w:hyperlink>
            <w:hyperlink r:id="rId60" w:history="1">
              <w:r>
                <w:rPr>
                  <w:rStyle w:val="a3"/>
                  <w:rFonts w:eastAsia="Times New Roman"/>
                  <w:sz w:val="20"/>
                  <w:szCs w:val="20"/>
                </w:rPr>
                <w:t>0</w:t>
              </w:r>
            </w:hyperlink>
            <w:hyperlink r:id="rId61" w:history="1">
              <w:r>
                <w:rPr>
                  <w:rStyle w:val="a3"/>
                  <w:rFonts w:eastAsia="Times New Roman"/>
                  <w:sz w:val="20"/>
                  <w:szCs w:val="20"/>
                </w:rPr>
                <w:t>, 2021, pursuant to Section 302 of the Sarbanes-Oxley Act of 2002.</w:t>
              </w:r>
            </w:hyperlink>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divId w:val="538276332"/>
              <w:rPr>
                <w:rFonts w:eastAsia="Times New Roman"/>
              </w:rPr>
            </w:pPr>
            <w:hyperlink r:id="rId62" w:history="1">
              <w:r>
                <w:rPr>
                  <w:rStyle w:val="a3"/>
                  <w:rFonts w:eastAsia="Times New Roman"/>
                  <w:sz w:val="20"/>
                  <w:szCs w:val="20"/>
                </w:rPr>
                <w:t xml:space="preserve">Certification by the Chief Executive Officer and the Chief Financial Officer relating to the Registrant’s Report on Form 10-Q for the quarter ended </w:t>
              </w:r>
            </w:hyperlink>
            <w:hyperlink r:id="rId63" w:history="1">
              <w:r>
                <w:rPr>
                  <w:rStyle w:val="a3"/>
                  <w:rFonts w:eastAsia="Times New Roman"/>
                  <w:sz w:val="20"/>
                  <w:szCs w:val="20"/>
                </w:rPr>
                <w:t>June</w:t>
              </w:r>
            </w:hyperlink>
            <w:hyperlink r:id="rId64" w:history="1">
              <w:r>
                <w:rPr>
                  <w:rStyle w:val="a3"/>
                  <w:rFonts w:eastAsia="Times New Roman"/>
                  <w:sz w:val="20"/>
                  <w:szCs w:val="20"/>
                </w:rPr>
                <w:t xml:space="preserve"> 3</w:t>
              </w:r>
            </w:hyperlink>
            <w:hyperlink r:id="rId65" w:history="1">
              <w:r>
                <w:rPr>
                  <w:rStyle w:val="a3"/>
                  <w:rFonts w:eastAsia="Times New Roman"/>
                  <w:sz w:val="20"/>
                  <w:szCs w:val="20"/>
                </w:rPr>
                <w:t>0</w:t>
              </w:r>
            </w:hyperlink>
            <w:hyperlink r:id="rId66" w:history="1">
              <w:r>
                <w:rPr>
                  <w:rStyle w:val="a3"/>
                  <w:rFonts w:eastAsia="Times New Roman"/>
                  <w:sz w:val="20"/>
                  <w:szCs w:val="20"/>
                </w:rPr>
                <w:t>, 2021, pursuant to Section 906 of the Sarbanes-Oxley Act of 2002.</w:t>
              </w:r>
            </w:hyperlink>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Taxonomy Extension Schema</w:t>
            </w:r>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Taxonomy Extension Calculation Linkbase</w:t>
            </w:r>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Taxonomy Extension Definition Linkbase</w:t>
            </w:r>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Taxonomy Extension Labels Linkbase</w:t>
            </w:r>
          </w:p>
        </w:tc>
      </w:tr>
      <w:tr w:rsidR="00000000">
        <w:trPr>
          <w:divId w:val="1376082129"/>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XBRL Taxonomy Extension Presentation Linkbase</w:t>
            </w:r>
          </w:p>
        </w:tc>
      </w:tr>
      <w:tr w:rsidR="00000000">
        <w:trPr>
          <w:divId w:val="1376082129"/>
        </w:trPr>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5D625B">
      <w:pPr>
        <w:divId w:val="1566257182"/>
        <w:rPr>
          <w:rFonts w:eastAsia="Times New Roman"/>
        </w:rPr>
      </w:pPr>
    </w:p>
    <w:p w:rsidR="00000000" w:rsidRDefault="005D625B">
      <w:pPr>
        <w:divId w:val="1950618817"/>
        <w:rPr>
          <w:rFonts w:eastAsia="Times New Roman"/>
        </w:rPr>
      </w:pPr>
    </w:p>
    <w:p w:rsidR="00000000" w:rsidRDefault="005D625B">
      <w:pPr>
        <w:jc w:val="center"/>
        <w:divId w:val="1227716930"/>
        <w:rPr>
          <w:rFonts w:eastAsia="Times New Roman"/>
        </w:rPr>
      </w:pPr>
      <w:r>
        <w:rPr>
          <w:rFonts w:eastAsia="Times New Roman"/>
          <w:color w:val="000000"/>
          <w:sz w:val="20"/>
          <w:szCs w:val="20"/>
        </w:rPr>
        <w:t>62</w:t>
      </w:r>
    </w:p>
    <w:p w:rsidR="00000000" w:rsidRDefault="005D625B">
      <w:pPr>
        <w:rPr>
          <w:rFonts w:eastAsia="Times New Roman"/>
        </w:rPr>
      </w:pPr>
      <w:r>
        <w:rPr>
          <w:rFonts w:eastAsia="Times New Roman"/>
        </w:rPr>
        <w:pict>
          <v:rect id="_x0000_i1088" style="width:0;height:1.5pt" o:hralign="center" o:hrstd="t" o:hr="t" fillcolor="#a0a0a0" stroked="f"/>
        </w:pict>
      </w:r>
    </w:p>
    <w:p w:rsidR="00000000" w:rsidRDefault="005D625B">
      <w:pPr>
        <w:divId w:val="1016272273"/>
        <w:rPr>
          <w:rFonts w:eastAsia="Times New Roman"/>
        </w:rPr>
      </w:pPr>
      <w:hyperlink w:anchor="i8e9ae631f70f4c00b4ea140d922613cd_7" w:history="1">
        <w:r>
          <w:rPr>
            <w:rStyle w:val="a3"/>
            <w:rFonts w:eastAsia="Times New Roman"/>
            <w:sz w:val="20"/>
            <w:szCs w:val="20"/>
          </w:rPr>
          <w:t>Table of Contents</w:t>
        </w:r>
      </w:hyperlink>
    </w:p>
    <w:p w:rsidR="00000000" w:rsidRDefault="005D625B">
      <w:pPr>
        <w:jc w:val="center"/>
        <w:divId w:val="1960800078"/>
        <w:rPr>
          <w:rFonts w:eastAsia="Times New Roman"/>
        </w:rPr>
      </w:pPr>
      <w:r>
        <w:rPr>
          <w:rFonts w:eastAsia="Times New Roman"/>
          <w:b/>
          <w:bCs/>
          <w:color w:val="000000"/>
          <w:sz w:val="20"/>
          <w:szCs w:val="20"/>
        </w:rPr>
        <w:t>UGI CORPORATION AND SUBSIDIARIES</w:t>
      </w:r>
    </w:p>
    <w:p w:rsidR="00000000" w:rsidRDefault="005D625B">
      <w:pPr>
        <w:jc w:val="center"/>
        <w:rPr>
          <w:rFonts w:eastAsia="Times New Roman"/>
        </w:rPr>
      </w:pPr>
      <w:r>
        <w:rPr>
          <w:rFonts w:eastAsia="Times New Roman"/>
          <w:b/>
          <w:bCs/>
          <w:color w:val="000000"/>
          <w:sz w:val="20"/>
          <w:szCs w:val="20"/>
        </w:rPr>
        <w:t>SIGNATURES</w:t>
      </w:r>
    </w:p>
    <w:p w:rsidR="00000000" w:rsidRDefault="005D625B">
      <w:pPr>
        <w:jc w:val="both"/>
        <w:divId w:val="812452161"/>
        <w:rPr>
          <w:rFonts w:eastAsia="Times New Roman"/>
        </w:rPr>
      </w:pPr>
      <w:r>
        <w:rPr>
          <w:rFonts w:eastAsia="Times New Roman"/>
          <w:color w:val="000000"/>
          <w:sz w:val="20"/>
          <w:szCs w:val="20"/>
        </w:rPr>
        <w:t xml:space="preserve">Pursuant to the requirements of the Securities Exchange Act of 1934, the registrant has duly caused </w:t>
      </w:r>
      <w:r>
        <w:rPr>
          <w:rFonts w:eastAsia="Times New Roman"/>
          <w:color w:val="000000"/>
          <w:sz w:val="20"/>
          <w:szCs w:val="20"/>
        </w:rPr>
        <w:t>this report to be signed on its behalf by the undersigned thereunto duly authorized.</w:t>
      </w:r>
    </w:p>
    <w:p w:rsidR="00000000" w:rsidRDefault="005D625B">
      <w:pPr>
        <w:divId w:val="426847186"/>
        <w:rPr>
          <w:rFonts w:eastAsia="Times New Roman"/>
        </w:rPr>
      </w:pP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88"/>
        <w:gridCol w:w="378"/>
        <w:gridCol w:w="36"/>
        <w:gridCol w:w="60"/>
        <w:gridCol w:w="3881"/>
        <w:gridCol w:w="36"/>
        <w:gridCol w:w="81"/>
        <w:gridCol w:w="240"/>
        <w:gridCol w:w="37"/>
        <w:gridCol w:w="36"/>
        <w:gridCol w:w="3372"/>
        <w:gridCol w:w="36"/>
      </w:tblGrid>
      <w:tr w:rsidR="00000000">
        <w:trPr>
          <w:divId w:val="1796175267"/>
        </w:trPr>
        <w:tc>
          <w:tcPr>
            <w:tcW w:w="50" w:type="pct"/>
            <w:vAlign w:val="center"/>
            <w:hideMark/>
          </w:tcPr>
          <w:p w:rsidR="00000000" w:rsidRDefault="005D625B">
            <w:pPr>
              <w:rPr>
                <w:rFonts w:eastAsia="Times New Roman"/>
              </w:rPr>
            </w:pPr>
          </w:p>
        </w:tc>
        <w:tc>
          <w:tcPr>
            <w:tcW w:w="21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2357"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150"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c>
          <w:tcPr>
            <w:tcW w:w="50" w:type="pct"/>
            <w:vAlign w:val="center"/>
            <w:hideMark/>
          </w:tcPr>
          <w:p w:rsidR="00000000" w:rsidRDefault="005D625B">
            <w:pPr>
              <w:spacing w:after="100"/>
              <w:rPr>
                <w:rFonts w:eastAsia="Times New Roman"/>
                <w:sz w:val="20"/>
                <w:szCs w:val="20"/>
              </w:rPr>
            </w:pPr>
          </w:p>
        </w:tc>
        <w:tc>
          <w:tcPr>
            <w:tcW w:w="2056" w:type="pct"/>
            <w:vAlign w:val="center"/>
            <w:hideMark/>
          </w:tcPr>
          <w:p w:rsidR="00000000" w:rsidRDefault="005D625B">
            <w:pPr>
              <w:spacing w:after="100"/>
              <w:rPr>
                <w:rFonts w:eastAsia="Times New Roman"/>
                <w:sz w:val="20"/>
                <w:szCs w:val="20"/>
              </w:rPr>
            </w:pPr>
          </w:p>
        </w:tc>
        <w:tc>
          <w:tcPr>
            <w:tcW w:w="5" w:type="pct"/>
            <w:vAlign w:val="center"/>
            <w:hideMark/>
          </w:tcPr>
          <w:p w:rsidR="00000000" w:rsidRDefault="005D625B">
            <w:pPr>
              <w:spacing w:after="100"/>
              <w:rPr>
                <w:rFonts w:eastAsia="Times New Roman"/>
                <w:sz w:val="20"/>
                <w:szCs w:val="20"/>
              </w:rPr>
            </w:pPr>
          </w:p>
        </w:tc>
      </w:tr>
      <w:tr w:rsidR="00000000">
        <w:trPr>
          <w:divId w:val="1796175267"/>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u w:val="single"/>
              </w:rPr>
              <w:t>UGI Corporation</w:t>
            </w:r>
          </w:p>
        </w:tc>
      </w:tr>
      <w:tr w:rsidR="00000000">
        <w:trPr>
          <w:divId w:val="1796175267"/>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(Registrant)</w:t>
            </w:r>
          </w:p>
        </w:tc>
      </w:tr>
      <w:tr w:rsidR="00000000">
        <w:trPr>
          <w:divId w:val="1796175267"/>
          <w:trHeight w:val="60"/>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sz w:val="20"/>
                <w:szCs w:val="20"/>
              </w:rPr>
            </w:pPr>
          </w:p>
        </w:tc>
      </w:tr>
      <w:tr w:rsidR="00000000">
        <w:trPr>
          <w:divId w:val="1796175267"/>
        </w:trPr>
        <w:tc>
          <w:tcPr>
            <w:tcW w:w="0" w:type="auto"/>
            <w:gridSpan w:val="3"/>
            <w:tcMar>
              <w:top w:w="30" w:type="dxa"/>
              <w:left w:w="20" w:type="dxa"/>
              <w:bottom w:w="30" w:type="dxa"/>
              <w:right w:w="20" w:type="dxa"/>
            </w:tcMar>
            <w:vAlign w:val="center"/>
            <w:hideMark/>
          </w:tcPr>
          <w:p w:rsidR="00000000" w:rsidRDefault="005D625B">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center"/>
            <w:hideMark/>
          </w:tcPr>
          <w:p w:rsidR="00000000" w:rsidRDefault="005D625B">
            <w:pPr>
              <w:spacing w:after="100"/>
              <w:rPr>
                <w:rFonts w:eastAsia="Times New Roman"/>
              </w:rPr>
            </w:pPr>
            <w:r>
              <w:rPr>
                <w:rFonts w:eastAsia="Times New Roman"/>
                <w:color w:val="000000"/>
                <w:sz w:val="20"/>
                <w:szCs w:val="20"/>
              </w:rPr>
              <w:t>August 5, 2021</w:t>
            </w: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/s/ Ted J. Jastrzebski</w:t>
            </w:r>
          </w:p>
        </w:tc>
      </w:tr>
      <w:tr w:rsidR="00000000">
        <w:trPr>
          <w:divId w:val="1796175267"/>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Ted J. Jastrzebski</w:t>
            </w:r>
          </w:p>
        </w:tc>
      </w:tr>
      <w:tr w:rsidR="00000000">
        <w:trPr>
          <w:divId w:val="1796175267"/>
        </w:trPr>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D625B">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D625B">
            <w:pPr>
              <w:spacing w:after="100"/>
              <w:rPr>
                <w:rFonts w:eastAsia="Times New Roman"/>
              </w:rPr>
            </w:pPr>
          </w:p>
        </w:tc>
        <w:tc>
          <w:tcPr>
            <w:tcW w:w="0" w:type="auto"/>
            <w:gridSpan w:val="3"/>
            <w:tcMar>
              <w:top w:w="30" w:type="dxa"/>
              <w:left w:w="20" w:type="dxa"/>
              <w:bottom w:w="30" w:type="dxa"/>
              <w:right w:w="20" w:type="dxa"/>
            </w:tcMar>
            <w:hideMark/>
          </w:tcPr>
          <w:p w:rsidR="00000000" w:rsidRDefault="005D625B">
            <w:pPr>
              <w:spacing w:after="100"/>
              <w:rPr>
                <w:rFonts w:eastAsia="Times New Roman"/>
              </w:rPr>
            </w:pPr>
            <w:r>
              <w:rPr>
                <w:rFonts w:eastAsia="Times New Roman"/>
                <w:color w:val="000000"/>
                <w:sz w:val="20"/>
                <w:szCs w:val="20"/>
              </w:rPr>
              <w:t>Chief Financial Officer (Principal Financial Officer)</w:t>
            </w:r>
          </w:p>
        </w:tc>
      </w:tr>
    </w:tbl>
    <w:p w:rsidR="005D625B" w:rsidRDefault="005D625B">
      <w:pPr>
        <w:jc w:val="center"/>
        <w:divId w:val="623392536"/>
        <w:rPr>
          <w:rFonts w:eastAsia="Times New Roman"/>
        </w:rPr>
      </w:pPr>
      <w:r>
        <w:rPr>
          <w:rFonts w:eastAsia="Times New Roman"/>
          <w:color w:val="000000"/>
          <w:sz w:val="20"/>
          <w:szCs w:val="20"/>
        </w:rPr>
        <w:t>63</w:t>
      </w:r>
    </w:p>
    <w:sectPr w:rsidR="005D625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625B"/>
    <w:rsid w:val="005D625B"/>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15-02-26"/>
  <w:attachedSchema w:val="http://www.w3.org/1999/xlink"/>
  <w:attachedSchema w:val="http://www.sec.gov/inlineXBRL/transformation/2015-08-31"/>
  <w:attachedSchema w:val="http://www.ugicorp.com/20210630"/>
  <w:attachedSchema w:val="http://www.xbrl.org/2003/iso4217"/>
  <w:attachedSchema w:val="http://www.xbrl.org/2009/utr"/>
  <w:attachedSchema w:val="http://www.xbrl.org/2013/inlineXBRL"/>
  <w:attachedSchema w:val="http://xbrl.sec.gov/dei/2021"/>
  <w:attachedSchema w:val="http://www.xbrl.org/2003/linkbase"/>
  <w:attachedSchema w:val="http://fasb.org/us-gaap/2021-01-31"/>
  <w:attachedSchema w:val="http://fasb.org/srt/2021-01-31"/>
  <w:attachedSchema w:val="http://xbrl.org/2006/xbrldi"/>
  <w:attachedSchema w:val="http://www.xbrl.org/2003/instance"/>
  <w:attachedSchema w:val="http://xbrl.sec.gov/stpr/20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640">
      <w:marLeft w:val="0"/>
      <w:marRight w:val="0"/>
      <w:marTop w:val="0"/>
      <w:marBottom w:val="0"/>
      <w:divBdr>
        <w:top w:val="none" w:sz="0" w:space="0" w:color="auto"/>
        <w:left w:val="none" w:sz="0" w:space="0" w:color="auto"/>
        <w:bottom w:val="none" w:sz="0" w:space="0" w:color="auto"/>
        <w:right w:val="none" w:sz="0" w:space="0" w:color="auto"/>
      </w:divBdr>
      <w:divsChild>
        <w:div w:id="863901000">
          <w:marLeft w:val="0"/>
          <w:marRight w:val="0"/>
          <w:marTop w:val="0"/>
          <w:marBottom w:val="0"/>
          <w:divBdr>
            <w:top w:val="none" w:sz="0" w:space="0" w:color="auto"/>
            <w:left w:val="none" w:sz="0" w:space="0" w:color="auto"/>
            <w:bottom w:val="none" w:sz="0" w:space="0" w:color="auto"/>
            <w:right w:val="none" w:sz="0" w:space="0" w:color="auto"/>
          </w:divBdr>
        </w:div>
      </w:divsChild>
    </w:div>
    <w:div w:id="4326579">
      <w:marLeft w:val="0"/>
      <w:marRight w:val="0"/>
      <w:marTop w:val="0"/>
      <w:marBottom w:val="200"/>
      <w:divBdr>
        <w:top w:val="none" w:sz="0" w:space="0" w:color="auto"/>
        <w:left w:val="none" w:sz="0" w:space="0" w:color="auto"/>
        <w:bottom w:val="none" w:sz="0" w:space="0" w:color="auto"/>
        <w:right w:val="none" w:sz="0" w:space="0" w:color="auto"/>
      </w:divBdr>
    </w:div>
    <w:div w:id="8945312">
      <w:marLeft w:val="0"/>
      <w:marRight w:val="0"/>
      <w:marTop w:val="0"/>
      <w:marBottom w:val="0"/>
      <w:divBdr>
        <w:top w:val="none" w:sz="0" w:space="0" w:color="auto"/>
        <w:left w:val="none" w:sz="0" w:space="0" w:color="auto"/>
        <w:bottom w:val="none" w:sz="0" w:space="0" w:color="auto"/>
        <w:right w:val="none" w:sz="0" w:space="0" w:color="auto"/>
      </w:divBdr>
      <w:divsChild>
        <w:div w:id="1910575429">
          <w:marLeft w:val="0"/>
          <w:marRight w:val="0"/>
          <w:marTop w:val="0"/>
          <w:marBottom w:val="0"/>
          <w:divBdr>
            <w:top w:val="none" w:sz="0" w:space="0" w:color="auto"/>
            <w:left w:val="none" w:sz="0" w:space="0" w:color="auto"/>
            <w:bottom w:val="none" w:sz="0" w:space="0" w:color="auto"/>
            <w:right w:val="none" w:sz="0" w:space="0" w:color="auto"/>
          </w:divBdr>
        </w:div>
      </w:divsChild>
    </w:div>
    <w:div w:id="9719790">
      <w:marLeft w:val="0"/>
      <w:marRight w:val="0"/>
      <w:marTop w:val="0"/>
      <w:marBottom w:val="0"/>
      <w:divBdr>
        <w:top w:val="none" w:sz="0" w:space="0" w:color="auto"/>
        <w:left w:val="none" w:sz="0" w:space="0" w:color="auto"/>
        <w:bottom w:val="none" w:sz="0" w:space="0" w:color="auto"/>
        <w:right w:val="none" w:sz="0" w:space="0" w:color="auto"/>
      </w:divBdr>
      <w:divsChild>
        <w:div w:id="1826361828">
          <w:marLeft w:val="0"/>
          <w:marRight w:val="0"/>
          <w:marTop w:val="0"/>
          <w:marBottom w:val="0"/>
          <w:divBdr>
            <w:top w:val="none" w:sz="0" w:space="0" w:color="auto"/>
            <w:left w:val="none" w:sz="0" w:space="0" w:color="auto"/>
            <w:bottom w:val="none" w:sz="0" w:space="0" w:color="auto"/>
            <w:right w:val="none" w:sz="0" w:space="0" w:color="auto"/>
          </w:divBdr>
        </w:div>
        <w:div w:id="1785617124">
          <w:marLeft w:val="0"/>
          <w:marRight w:val="0"/>
          <w:marTop w:val="180"/>
          <w:marBottom w:val="0"/>
          <w:divBdr>
            <w:top w:val="none" w:sz="0" w:space="0" w:color="auto"/>
            <w:left w:val="none" w:sz="0" w:space="0" w:color="auto"/>
            <w:bottom w:val="none" w:sz="0" w:space="0" w:color="auto"/>
            <w:right w:val="none" w:sz="0" w:space="0" w:color="auto"/>
          </w:divBdr>
        </w:div>
      </w:divsChild>
    </w:div>
    <w:div w:id="12191769">
      <w:marLeft w:val="0"/>
      <w:marRight w:val="0"/>
      <w:marTop w:val="0"/>
      <w:marBottom w:val="200"/>
      <w:divBdr>
        <w:top w:val="none" w:sz="0" w:space="0" w:color="auto"/>
        <w:left w:val="none" w:sz="0" w:space="0" w:color="auto"/>
        <w:bottom w:val="none" w:sz="0" w:space="0" w:color="auto"/>
        <w:right w:val="none" w:sz="0" w:space="0" w:color="auto"/>
      </w:divBdr>
    </w:div>
    <w:div w:id="17774666">
      <w:marLeft w:val="0"/>
      <w:marRight w:val="0"/>
      <w:marTop w:val="100"/>
      <w:marBottom w:val="0"/>
      <w:divBdr>
        <w:top w:val="none" w:sz="0" w:space="0" w:color="auto"/>
        <w:left w:val="none" w:sz="0" w:space="0" w:color="auto"/>
        <w:bottom w:val="none" w:sz="0" w:space="0" w:color="auto"/>
        <w:right w:val="none" w:sz="0" w:space="0" w:color="auto"/>
      </w:divBdr>
    </w:div>
    <w:div w:id="25298657">
      <w:marLeft w:val="0"/>
      <w:marRight w:val="0"/>
      <w:marTop w:val="0"/>
      <w:marBottom w:val="200"/>
      <w:divBdr>
        <w:top w:val="none" w:sz="0" w:space="0" w:color="auto"/>
        <w:left w:val="none" w:sz="0" w:space="0" w:color="auto"/>
        <w:bottom w:val="none" w:sz="0" w:space="0" w:color="auto"/>
        <w:right w:val="none" w:sz="0" w:space="0" w:color="auto"/>
      </w:divBdr>
    </w:div>
    <w:div w:id="25982165">
      <w:marLeft w:val="0"/>
      <w:marRight w:val="0"/>
      <w:marTop w:val="0"/>
      <w:marBottom w:val="200"/>
      <w:divBdr>
        <w:top w:val="none" w:sz="0" w:space="0" w:color="auto"/>
        <w:left w:val="none" w:sz="0" w:space="0" w:color="auto"/>
        <w:bottom w:val="none" w:sz="0" w:space="0" w:color="auto"/>
        <w:right w:val="none" w:sz="0" w:space="0" w:color="auto"/>
      </w:divBdr>
    </w:div>
    <w:div w:id="28575508">
      <w:marLeft w:val="0"/>
      <w:marRight w:val="0"/>
      <w:marTop w:val="0"/>
      <w:marBottom w:val="200"/>
      <w:divBdr>
        <w:top w:val="none" w:sz="0" w:space="0" w:color="auto"/>
        <w:left w:val="none" w:sz="0" w:space="0" w:color="auto"/>
        <w:bottom w:val="none" w:sz="0" w:space="0" w:color="auto"/>
        <w:right w:val="none" w:sz="0" w:space="0" w:color="auto"/>
      </w:divBdr>
    </w:div>
    <w:div w:id="32966983">
      <w:marLeft w:val="0"/>
      <w:marRight w:val="0"/>
      <w:marTop w:val="0"/>
      <w:marBottom w:val="0"/>
      <w:divBdr>
        <w:top w:val="none" w:sz="0" w:space="0" w:color="auto"/>
        <w:left w:val="none" w:sz="0" w:space="0" w:color="auto"/>
        <w:bottom w:val="none" w:sz="0" w:space="0" w:color="auto"/>
        <w:right w:val="none" w:sz="0" w:space="0" w:color="auto"/>
      </w:divBdr>
      <w:divsChild>
        <w:div w:id="328482974">
          <w:marLeft w:val="0"/>
          <w:marRight w:val="0"/>
          <w:marTop w:val="0"/>
          <w:marBottom w:val="0"/>
          <w:divBdr>
            <w:top w:val="none" w:sz="0" w:space="0" w:color="auto"/>
            <w:left w:val="none" w:sz="0" w:space="0" w:color="auto"/>
            <w:bottom w:val="none" w:sz="0" w:space="0" w:color="auto"/>
            <w:right w:val="none" w:sz="0" w:space="0" w:color="auto"/>
          </w:divBdr>
        </w:div>
        <w:div w:id="352073582">
          <w:marLeft w:val="0"/>
          <w:marRight w:val="0"/>
          <w:marTop w:val="180"/>
          <w:marBottom w:val="0"/>
          <w:divBdr>
            <w:top w:val="none" w:sz="0" w:space="0" w:color="auto"/>
            <w:left w:val="none" w:sz="0" w:space="0" w:color="auto"/>
            <w:bottom w:val="none" w:sz="0" w:space="0" w:color="auto"/>
            <w:right w:val="none" w:sz="0" w:space="0" w:color="auto"/>
          </w:divBdr>
        </w:div>
      </w:divsChild>
    </w:div>
    <w:div w:id="35591798">
      <w:marLeft w:val="0"/>
      <w:marRight w:val="0"/>
      <w:marTop w:val="0"/>
      <w:marBottom w:val="200"/>
      <w:divBdr>
        <w:top w:val="none" w:sz="0" w:space="0" w:color="auto"/>
        <w:left w:val="none" w:sz="0" w:space="0" w:color="auto"/>
        <w:bottom w:val="none" w:sz="0" w:space="0" w:color="auto"/>
        <w:right w:val="none" w:sz="0" w:space="0" w:color="auto"/>
      </w:divBdr>
    </w:div>
    <w:div w:id="36898687">
      <w:marLeft w:val="0"/>
      <w:marRight w:val="0"/>
      <w:marTop w:val="100"/>
      <w:marBottom w:val="0"/>
      <w:divBdr>
        <w:top w:val="none" w:sz="0" w:space="0" w:color="auto"/>
        <w:left w:val="none" w:sz="0" w:space="0" w:color="auto"/>
        <w:bottom w:val="none" w:sz="0" w:space="0" w:color="auto"/>
        <w:right w:val="none" w:sz="0" w:space="0" w:color="auto"/>
      </w:divBdr>
    </w:div>
    <w:div w:id="40328723">
      <w:marLeft w:val="0"/>
      <w:marRight w:val="0"/>
      <w:marTop w:val="0"/>
      <w:marBottom w:val="200"/>
      <w:divBdr>
        <w:top w:val="none" w:sz="0" w:space="0" w:color="auto"/>
        <w:left w:val="none" w:sz="0" w:space="0" w:color="auto"/>
        <w:bottom w:val="none" w:sz="0" w:space="0" w:color="auto"/>
        <w:right w:val="none" w:sz="0" w:space="0" w:color="auto"/>
      </w:divBdr>
    </w:div>
    <w:div w:id="43023735">
      <w:marLeft w:val="0"/>
      <w:marRight w:val="0"/>
      <w:marTop w:val="0"/>
      <w:marBottom w:val="160"/>
      <w:divBdr>
        <w:top w:val="none" w:sz="0" w:space="0" w:color="auto"/>
        <w:left w:val="none" w:sz="0" w:space="0" w:color="auto"/>
        <w:bottom w:val="none" w:sz="0" w:space="0" w:color="auto"/>
        <w:right w:val="none" w:sz="0" w:space="0" w:color="auto"/>
      </w:divBdr>
    </w:div>
    <w:div w:id="44523604">
      <w:marLeft w:val="0"/>
      <w:marRight w:val="0"/>
      <w:marTop w:val="0"/>
      <w:marBottom w:val="0"/>
      <w:divBdr>
        <w:top w:val="none" w:sz="0" w:space="0" w:color="auto"/>
        <w:left w:val="none" w:sz="0" w:space="0" w:color="auto"/>
        <w:bottom w:val="none" w:sz="0" w:space="0" w:color="auto"/>
        <w:right w:val="none" w:sz="0" w:space="0" w:color="auto"/>
      </w:divBdr>
    </w:div>
    <w:div w:id="54013551">
      <w:marLeft w:val="0"/>
      <w:marRight w:val="0"/>
      <w:marTop w:val="100"/>
      <w:marBottom w:val="0"/>
      <w:divBdr>
        <w:top w:val="none" w:sz="0" w:space="0" w:color="auto"/>
        <w:left w:val="none" w:sz="0" w:space="0" w:color="auto"/>
        <w:bottom w:val="none" w:sz="0" w:space="0" w:color="auto"/>
        <w:right w:val="none" w:sz="0" w:space="0" w:color="auto"/>
      </w:divBdr>
      <w:divsChild>
        <w:div w:id="619458965">
          <w:marLeft w:val="0"/>
          <w:marRight w:val="0"/>
          <w:marTop w:val="0"/>
          <w:marBottom w:val="0"/>
          <w:divBdr>
            <w:top w:val="none" w:sz="0" w:space="0" w:color="auto"/>
            <w:left w:val="none" w:sz="0" w:space="0" w:color="auto"/>
            <w:bottom w:val="none" w:sz="0" w:space="0" w:color="auto"/>
            <w:right w:val="none" w:sz="0" w:space="0" w:color="auto"/>
          </w:divBdr>
        </w:div>
      </w:divsChild>
    </w:div>
    <w:div w:id="56634717">
      <w:marLeft w:val="0"/>
      <w:marRight w:val="0"/>
      <w:marTop w:val="0"/>
      <w:marBottom w:val="0"/>
      <w:divBdr>
        <w:top w:val="none" w:sz="0" w:space="0" w:color="auto"/>
        <w:left w:val="none" w:sz="0" w:space="0" w:color="auto"/>
        <w:bottom w:val="none" w:sz="0" w:space="0" w:color="auto"/>
        <w:right w:val="none" w:sz="0" w:space="0" w:color="auto"/>
      </w:divBdr>
      <w:divsChild>
        <w:div w:id="384380581">
          <w:marLeft w:val="0"/>
          <w:marRight w:val="0"/>
          <w:marTop w:val="0"/>
          <w:marBottom w:val="0"/>
          <w:divBdr>
            <w:top w:val="none" w:sz="0" w:space="0" w:color="auto"/>
            <w:left w:val="none" w:sz="0" w:space="0" w:color="auto"/>
            <w:bottom w:val="none" w:sz="0" w:space="0" w:color="auto"/>
            <w:right w:val="none" w:sz="0" w:space="0" w:color="auto"/>
          </w:divBdr>
        </w:div>
      </w:divsChild>
    </w:div>
    <w:div w:id="68038984">
      <w:marLeft w:val="0"/>
      <w:marRight w:val="0"/>
      <w:marTop w:val="0"/>
      <w:marBottom w:val="0"/>
      <w:divBdr>
        <w:top w:val="none" w:sz="0" w:space="0" w:color="auto"/>
        <w:left w:val="none" w:sz="0" w:space="0" w:color="auto"/>
        <w:bottom w:val="none" w:sz="0" w:space="0" w:color="auto"/>
        <w:right w:val="none" w:sz="0" w:space="0" w:color="auto"/>
      </w:divBdr>
      <w:divsChild>
        <w:div w:id="897977341">
          <w:marLeft w:val="0"/>
          <w:marRight w:val="0"/>
          <w:marTop w:val="0"/>
          <w:marBottom w:val="0"/>
          <w:divBdr>
            <w:top w:val="none" w:sz="0" w:space="0" w:color="auto"/>
            <w:left w:val="none" w:sz="0" w:space="0" w:color="auto"/>
            <w:bottom w:val="none" w:sz="0" w:space="0" w:color="auto"/>
            <w:right w:val="none" w:sz="0" w:space="0" w:color="auto"/>
          </w:divBdr>
        </w:div>
      </w:divsChild>
    </w:div>
    <w:div w:id="68232092">
      <w:marLeft w:val="0"/>
      <w:marRight w:val="0"/>
      <w:marTop w:val="0"/>
      <w:marBottom w:val="0"/>
      <w:divBdr>
        <w:top w:val="none" w:sz="0" w:space="0" w:color="auto"/>
        <w:left w:val="none" w:sz="0" w:space="0" w:color="auto"/>
        <w:bottom w:val="none" w:sz="0" w:space="0" w:color="auto"/>
        <w:right w:val="none" w:sz="0" w:space="0" w:color="auto"/>
      </w:divBdr>
      <w:divsChild>
        <w:div w:id="1697465645">
          <w:marLeft w:val="0"/>
          <w:marRight w:val="0"/>
          <w:marTop w:val="0"/>
          <w:marBottom w:val="0"/>
          <w:divBdr>
            <w:top w:val="none" w:sz="0" w:space="0" w:color="auto"/>
            <w:left w:val="none" w:sz="0" w:space="0" w:color="auto"/>
            <w:bottom w:val="none" w:sz="0" w:space="0" w:color="auto"/>
            <w:right w:val="none" w:sz="0" w:space="0" w:color="auto"/>
          </w:divBdr>
        </w:div>
        <w:div w:id="1950622772">
          <w:marLeft w:val="0"/>
          <w:marRight w:val="0"/>
          <w:marTop w:val="180"/>
          <w:marBottom w:val="0"/>
          <w:divBdr>
            <w:top w:val="none" w:sz="0" w:space="0" w:color="auto"/>
            <w:left w:val="none" w:sz="0" w:space="0" w:color="auto"/>
            <w:bottom w:val="none" w:sz="0" w:space="0" w:color="auto"/>
            <w:right w:val="none" w:sz="0" w:space="0" w:color="auto"/>
          </w:divBdr>
        </w:div>
      </w:divsChild>
    </w:div>
    <w:div w:id="70587194">
      <w:marLeft w:val="0"/>
      <w:marRight w:val="0"/>
      <w:marTop w:val="0"/>
      <w:marBottom w:val="0"/>
      <w:divBdr>
        <w:top w:val="none" w:sz="0" w:space="0" w:color="auto"/>
        <w:left w:val="none" w:sz="0" w:space="0" w:color="auto"/>
        <w:bottom w:val="none" w:sz="0" w:space="0" w:color="auto"/>
        <w:right w:val="none" w:sz="0" w:space="0" w:color="auto"/>
      </w:divBdr>
    </w:div>
    <w:div w:id="73670180">
      <w:marLeft w:val="0"/>
      <w:marRight w:val="0"/>
      <w:marTop w:val="20"/>
      <w:marBottom w:val="0"/>
      <w:divBdr>
        <w:top w:val="none" w:sz="0" w:space="0" w:color="auto"/>
        <w:left w:val="none" w:sz="0" w:space="0" w:color="auto"/>
        <w:bottom w:val="none" w:sz="0" w:space="0" w:color="auto"/>
        <w:right w:val="none" w:sz="0" w:space="0" w:color="auto"/>
      </w:divBdr>
    </w:div>
    <w:div w:id="78719380">
      <w:marLeft w:val="0"/>
      <w:marRight w:val="0"/>
      <w:marTop w:val="0"/>
      <w:marBottom w:val="0"/>
      <w:divBdr>
        <w:top w:val="none" w:sz="0" w:space="0" w:color="auto"/>
        <w:left w:val="none" w:sz="0" w:space="0" w:color="auto"/>
        <w:bottom w:val="none" w:sz="0" w:space="0" w:color="auto"/>
        <w:right w:val="none" w:sz="0" w:space="0" w:color="auto"/>
      </w:divBdr>
    </w:div>
    <w:div w:id="79789250">
      <w:marLeft w:val="0"/>
      <w:marRight w:val="0"/>
      <w:marTop w:val="0"/>
      <w:marBottom w:val="0"/>
      <w:divBdr>
        <w:top w:val="none" w:sz="0" w:space="0" w:color="auto"/>
        <w:left w:val="none" w:sz="0" w:space="0" w:color="auto"/>
        <w:bottom w:val="none" w:sz="0" w:space="0" w:color="auto"/>
        <w:right w:val="none" w:sz="0" w:space="0" w:color="auto"/>
      </w:divBdr>
      <w:divsChild>
        <w:div w:id="1227716930">
          <w:marLeft w:val="0"/>
          <w:marRight w:val="0"/>
          <w:marTop w:val="0"/>
          <w:marBottom w:val="0"/>
          <w:divBdr>
            <w:top w:val="none" w:sz="0" w:space="0" w:color="auto"/>
            <w:left w:val="none" w:sz="0" w:space="0" w:color="auto"/>
            <w:bottom w:val="none" w:sz="0" w:space="0" w:color="auto"/>
            <w:right w:val="none" w:sz="0" w:space="0" w:color="auto"/>
          </w:divBdr>
        </w:div>
      </w:divsChild>
    </w:div>
    <w:div w:id="83039989">
      <w:marLeft w:val="0"/>
      <w:marRight w:val="0"/>
      <w:marTop w:val="0"/>
      <w:marBottom w:val="200"/>
      <w:divBdr>
        <w:top w:val="none" w:sz="0" w:space="0" w:color="auto"/>
        <w:left w:val="none" w:sz="0" w:space="0" w:color="auto"/>
        <w:bottom w:val="none" w:sz="0" w:space="0" w:color="auto"/>
        <w:right w:val="none" w:sz="0" w:space="0" w:color="auto"/>
      </w:divBdr>
    </w:div>
    <w:div w:id="93672716">
      <w:marLeft w:val="0"/>
      <w:marRight w:val="0"/>
      <w:marTop w:val="0"/>
      <w:marBottom w:val="0"/>
      <w:divBdr>
        <w:top w:val="none" w:sz="0" w:space="0" w:color="auto"/>
        <w:left w:val="none" w:sz="0" w:space="0" w:color="auto"/>
        <w:bottom w:val="none" w:sz="0" w:space="0" w:color="auto"/>
        <w:right w:val="none" w:sz="0" w:space="0" w:color="auto"/>
      </w:divBdr>
      <w:divsChild>
        <w:div w:id="1709573745">
          <w:marLeft w:val="0"/>
          <w:marRight w:val="0"/>
          <w:marTop w:val="0"/>
          <w:marBottom w:val="0"/>
          <w:divBdr>
            <w:top w:val="none" w:sz="0" w:space="0" w:color="auto"/>
            <w:left w:val="none" w:sz="0" w:space="0" w:color="auto"/>
            <w:bottom w:val="none" w:sz="0" w:space="0" w:color="auto"/>
            <w:right w:val="none" w:sz="0" w:space="0" w:color="auto"/>
          </w:divBdr>
        </w:div>
        <w:div w:id="660080574">
          <w:marLeft w:val="0"/>
          <w:marRight w:val="0"/>
          <w:marTop w:val="180"/>
          <w:marBottom w:val="0"/>
          <w:divBdr>
            <w:top w:val="none" w:sz="0" w:space="0" w:color="auto"/>
            <w:left w:val="none" w:sz="0" w:space="0" w:color="auto"/>
            <w:bottom w:val="none" w:sz="0" w:space="0" w:color="auto"/>
            <w:right w:val="none" w:sz="0" w:space="0" w:color="auto"/>
          </w:divBdr>
        </w:div>
      </w:divsChild>
    </w:div>
    <w:div w:id="105849298">
      <w:marLeft w:val="0"/>
      <w:marRight w:val="0"/>
      <w:marTop w:val="0"/>
      <w:marBottom w:val="240"/>
      <w:divBdr>
        <w:top w:val="none" w:sz="0" w:space="0" w:color="auto"/>
        <w:left w:val="none" w:sz="0" w:space="0" w:color="auto"/>
        <w:bottom w:val="none" w:sz="0" w:space="0" w:color="auto"/>
        <w:right w:val="none" w:sz="0" w:space="0" w:color="auto"/>
      </w:divBdr>
    </w:div>
    <w:div w:id="107049963">
      <w:marLeft w:val="0"/>
      <w:marRight w:val="0"/>
      <w:marTop w:val="0"/>
      <w:marBottom w:val="200"/>
      <w:divBdr>
        <w:top w:val="none" w:sz="0" w:space="0" w:color="auto"/>
        <w:left w:val="none" w:sz="0" w:space="0" w:color="auto"/>
        <w:bottom w:val="none" w:sz="0" w:space="0" w:color="auto"/>
        <w:right w:val="none" w:sz="0" w:space="0" w:color="auto"/>
      </w:divBdr>
    </w:div>
    <w:div w:id="110975245">
      <w:marLeft w:val="0"/>
      <w:marRight w:val="0"/>
      <w:marTop w:val="0"/>
      <w:marBottom w:val="200"/>
      <w:divBdr>
        <w:top w:val="none" w:sz="0" w:space="0" w:color="auto"/>
        <w:left w:val="none" w:sz="0" w:space="0" w:color="auto"/>
        <w:bottom w:val="none" w:sz="0" w:space="0" w:color="auto"/>
        <w:right w:val="none" w:sz="0" w:space="0" w:color="auto"/>
      </w:divBdr>
    </w:div>
    <w:div w:id="111171104">
      <w:marLeft w:val="0"/>
      <w:marRight w:val="0"/>
      <w:marTop w:val="0"/>
      <w:marBottom w:val="0"/>
      <w:divBdr>
        <w:top w:val="none" w:sz="0" w:space="0" w:color="auto"/>
        <w:left w:val="none" w:sz="0" w:space="0" w:color="auto"/>
        <w:bottom w:val="none" w:sz="0" w:space="0" w:color="auto"/>
        <w:right w:val="none" w:sz="0" w:space="0" w:color="auto"/>
      </w:divBdr>
    </w:div>
    <w:div w:id="112139473">
      <w:marLeft w:val="0"/>
      <w:marRight w:val="0"/>
      <w:marTop w:val="100"/>
      <w:marBottom w:val="0"/>
      <w:divBdr>
        <w:top w:val="none" w:sz="0" w:space="0" w:color="auto"/>
        <w:left w:val="none" w:sz="0" w:space="0" w:color="auto"/>
        <w:bottom w:val="none" w:sz="0" w:space="0" w:color="auto"/>
        <w:right w:val="none" w:sz="0" w:space="0" w:color="auto"/>
      </w:divBdr>
    </w:div>
    <w:div w:id="122889318">
      <w:marLeft w:val="0"/>
      <w:marRight w:val="0"/>
      <w:marTop w:val="200"/>
      <w:marBottom w:val="0"/>
      <w:divBdr>
        <w:top w:val="none" w:sz="0" w:space="0" w:color="auto"/>
        <w:left w:val="none" w:sz="0" w:space="0" w:color="auto"/>
        <w:bottom w:val="none" w:sz="0" w:space="0" w:color="auto"/>
        <w:right w:val="none" w:sz="0" w:space="0" w:color="auto"/>
      </w:divBdr>
    </w:div>
    <w:div w:id="135025880">
      <w:marLeft w:val="0"/>
      <w:marRight w:val="0"/>
      <w:marTop w:val="0"/>
      <w:marBottom w:val="200"/>
      <w:divBdr>
        <w:top w:val="none" w:sz="0" w:space="0" w:color="auto"/>
        <w:left w:val="none" w:sz="0" w:space="0" w:color="auto"/>
        <w:bottom w:val="none" w:sz="0" w:space="0" w:color="auto"/>
        <w:right w:val="none" w:sz="0" w:space="0" w:color="auto"/>
      </w:divBdr>
    </w:div>
    <w:div w:id="137960182">
      <w:marLeft w:val="0"/>
      <w:marRight w:val="0"/>
      <w:marTop w:val="0"/>
      <w:marBottom w:val="0"/>
      <w:divBdr>
        <w:top w:val="none" w:sz="0" w:space="0" w:color="auto"/>
        <w:left w:val="none" w:sz="0" w:space="0" w:color="auto"/>
        <w:bottom w:val="none" w:sz="0" w:space="0" w:color="auto"/>
        <w:right w:val="none" w:sz="0" w:space="0" w:color="auto"/>
      </w:divBdr>
      <w:divsChild>
        <w:div w:id="912548064">
          <w:marLeft w:val="0"/>
          <w:marRight w:val="0"/>
          <w:marTop w:val="0"/>
          <w:marBottom w:val="0"/>
          <w:divBdr>
            <w:top w:val="none" w:sz="0" w:space="0" w:color="auto"/>
            <w:left w:val="none" w:sz="0" w:space="0" w:color="auto"/>
            <w:bottom w:val="none" w:sz="0" w:space="0" w:color="auto"/>
            <w:right w:val="none" w:sz="0" w:space="0" w:color="auto"/>
          </w:divBdr>
        </w:div>
      </w:divsChild>
    </w:div>
    <w:div w:id="157311498">
      <w:marLeft w:val="0"/>
      <w:marRight w:val="0"/>
      <w:marTop w:val="0"/>
      <w:marBottom w:val="200"/>
      <w:divBdr>
        <w:top w:val="none" w:sz="0" w:space="0" w:color="auto"/>
        <w:left w:val="none" w:sz="0" w:space="0" w:color="auto"/>
        <w:bottom w:val="none" w:sz="0" w:space="0" w:color="auto"/>
        <w:right w:val="none" w:sz="0" w:space="0" w:color="auto"/>
      </w:divBdr>
    </w:div>
    <w:div w:id="163209893">
      <w:marLeft w:val="0"/>
      <w:marRight w:val="0"/>
      <w:marTop w:val="0"/>
      <w:marBottom w:val="0"/>
      <w:divBdr>
        <w:top w:val="none" w:sz="0" w:space="0" w:color="auto"/>
        <w:left w:val="none" w:sz="0" w:space="0" w:color="auto"/>
        <w:bottom w:val="none" w:sz="0" w:space="0" w:color="auto"/>
        <w:right w:val="none" w:sz="0" w:space="0" w:color="auto"/>
      </w:divBdr>
      <w:divsChild>
        <w:div w:id="2066290385">
          <w:marLeft w:val="0"/>
          <w:marRight w:val="0"/>
          <w:marTop w:val="0"/>
          <w:marBottom w:val="0"/>
          <w:divBdr>
            <w:top w:val="none" w:sz="0" w:space="0" w:color="auto"/>
            <w:left w:val="none" w:sz="0" w:space="0" w:color="auto"/>
            <w:bottom w:val="none" w:sz="0" w:space="0" w:color="auto"/>
            <w:right w:val="none" w:sz="0" w:space="0" w:color="auto"/>
          </w:divBdr>
        </w:div>
        <w:div w:id="1335576097">
          <w:marLeft w:val="0"/>
          <w:marRight w:val="0"/>
          <w:marTop w:val="180"/>
          <w:marBottom w:val="0"/>
          <w:divBdr>
            <w:top w:val="none" w:sz="0" w:space="0" w:color="auto"/>
            <w:left w:val="none" w:sz="0" w:space="0" w:color="auto"/>
            <w:bottom w:val="none" w:sz="0" w:space="0" w:color="auto"/>
            <w:right w:val="none" w:sz="0" w:space="0" w:color="auto"/>
          </w:divBdr>
        </w:div>
      </w:divsChild>
    </w:div>
    <w:div w:id="165827301">
      <w:marLeft w:val="0"/>
      <w:marRight w:val="0"/>
      <w:marTop w:val="0"/>
      <w:marBottom w:val="0"/>
      <w:divBdr>
        <w:top w:val="none" w:sz="0" w:space="0" w:color="auto"/>
        <w:left w:val="none" w:sz="0" w:space="0" w:color="auto"/>
        <w:bottom w:val="none" w:sz="0" w:space="0" w:color="auto"/>
        <w:right w:val="none" w:sz="0" w:space="0" w:color="auto"/>
      </w:divBdr>
    </w:div>
    <w:div w:id="170067223">
      <w:marLeft w:val="0"/>
      <w:marRight w:val="0"/>
      <w:marTop w:val="100"/>
      <w:marBottom w:val="0"/>
      <w:divBdr>
        <w:top w:val="none" w:sz="0" w:space="0" w:color="auto"/>
        <w:left w:val="none" w:sz="0" w:space="0" w:color="auto"/>
        <w:bottom w:val="none" w:sz="0" w:space="0" w:color="auto"/>
        <w:right w:val="none" w:sz="0" w:space="0" w:color="auto"/>
      </w:divBdr>
    </w:div>
    <w:div w:id="181483001">
      <w:marLeft w:val="0"/>
      <w:marRight w:val="0"/>
      <w:marTop w:val="0"/>
      <w:marBottom w:val="0"/>
      <w:divBdr>
        <w:top w:val="none" w:sz="0" w:space="0" w:color="auto"/>
        <w:left w:val="none" w:sz="0" w:space="0" w:color="auto"/>
        <w:bottom w:val="none" w:sz="0" w:space="0" w:color="auto"/>
        <w:right w:val="none" w:sz="0" w:space="0" w:color="auto"/>
      </w:divBdr>
    </w:div>
    <w:div w:id="184683649">
      <w:marLeft w:val="0"/>
      <w:marRight w:val="0"/>
      <w:marTop w:val="0"/>
      <w:marBottom w:val="0"/>
      <w:divBdr>
        <w:top w:val="none" w:sz="0" w:space="0" w:color="auto"/>
        <w:left w:val="none" w:sz="0" w:space="0" w:color="auto"/>
        <w:bottom w:val="none" w:sz="0" w:space="0" w:color="auto"/>
        <w:right w:val="none" w:sz="0" w:space="0" w:color="auto"/>
      </w:divBdr>
    </w:div>
    <w:div w:id="185872260">
      <w:marLeft w:val="0"/>
      <w:marRight w:val="0"/>
      <w:marTop w:val="0"/>
      <w:marBottom w:val="0"/>
      <w:divBdr>
        <w:top w:val="none" w:sz="0" w:space="0" w:color="auto"/>
        <w:left w:val="none" w:sz="0" w:space="0" w:color="auto"/>
        <w:bottom w:val="none" w:sz="0" w:space="0" w:color="auto"/>
        <w:right w:val="none" w:sz="0" w:space="0" w:color="auto"/>
      </w:divBdr>
      <w:divsChild>
        <w:div w:id="1835951341">
          <w:marLeft w:val="0"/>
          <w:marRight w:val="0"/>
          <w:marTop w:val="0"/>
          <w:marBottom w:val="0"/>
          <w:divBdr>
            <w:top w:val="none" w:sz="0" w:space="0" w:color="auto"/>
            <w:left w:val="none" w:sz="0" w:space="0" w:color="auto"/>
            <w:bottom w:val="none" w:sz="0" w:space="0" w:color="auto"/>
            <w:right w:val="none" w:sz="0" w:space="0" w:color="auto"/>
          </w:divBdr>
        </w:div>
      </w:divsChild>
    </w:div>
    <w:div w:id="190456524">
      <w:marLeft w:val="0"/>
      <w:marRight w:val="0"/>
      <w:marTop w:val="0"/>
      <w:marBottom w:val="0"/>
      <w:divBdr>
        <w:top w:val="none" w:sz="0" w:space="0" w:color="auto"/>
        <w:left w:val="none" w:sz="0" w:space="0" w:color="auto"/>
        <w:bottom w:val="none" w:sz="0" w:space="0" w:color="auto"/>
        <w:right w:val="none" w:sz="0" w:space="0" w:color="auto"/>
      </w:divBdr>
    </w:div>
    <w:div w:id="192228827">
      <w:marLeft w:val="0"/>
      <w:marRight w:val="0"/>
      <w:marTop w:val="0"/>
      <w:marBottom w:val="0"/>
      <w:divBdr>
        <w:top w:val="none" w:sz="0" w:space="0" w:color="auto"/>
        <w:left w:val="none" w:sz="0" w:space="0" w:color="auto"/>
        <w:bottom w:val="none" w:sz="0" w:space="0" w:color="auto"/>
        <w:right w:val="none" w:sz="0" w:space="0" w:color="auto"/>
      </w:divBdr>
      <w:divsChild>
        <w:div w:id="599804049">
          <w:marLeft w:val="0"/>
          <w:marRight w:val="0"/>
          <w:marTop w:val="0"/>
          <w:marBottom w:val="0"/>
          <w:divBdr>
            <w:top w:val="none" w:sz="0" w:space="0" w:color="auto"/>
            <w:left w:val="none" w:sz="0" w:space="0" w:color="auto"/>
            <w:bottom w:val="none" w:sz="0" w:space="0" w:color="auto"/>
            <w:right w:val="none" w:sz="0" w:space="0" w:color="auto"/>
          </w:divBdr>
        </w:div>
      </w:divsChild>
    </w:div>
    <w:div w:id="207449657">
      <w:marLeft w:val="0"/>
      <w:marRight w:val="0"/>
      <w:marTop w:val="100"/>
      <w:marBottom w:val="60"/>
      <w:divBdr>
        <w:top w:val="none" w:sz="0" w:space="0" w:color="auto"/>
        <w:left w:val="none" w:sz="0" w:space="0" w:color="auto"/>
        <w:bottom w:val="none" w:sz="0" w:space="0" w:color="auto"/>
        <w:right w:val="none" w:sz="0" w:space="0" w:color="auto"/>
      </w:divBdr>
    </w:div>
    <w:div w:id="208736302">
      <w:marLeft w:val="0"/>
      <w:marRight w:val="0"/>
      <w:marTop w:val="0"/>
      <w:marBottom w:val="0"/>
      <w:divBdr>
        <w:top w:val="none" w:sz="0" w:space="0" w:color="auto"/>
        <w:left w:val="none" w:sz="0" w:space="0" w:color="auto"/>
        <w:bottom w:val="none" w:sz="0" w:space="0" w:color="auto"/>
        <w:right w:val="none" w:sz="0" w:space="0" w:color="auto"/>
      </w:divBdr>
    </w:div>
    <w:div w:id="209921265">
      <w:marLeft w:val="0"/>
      <w:marRight w:val="0"/>
      <w:marTop w:val="0"/>
      <w:marBottom w:val="0"/>
      <w:divBdr>
        <w:top w:val="none" w:sz="0" w:space="0" w:color="auto"/>
        <w:left w:val="none" w:sz="0" w:space="0" w:color="auto"/>
        <w:bottom w:val="none" w:sz="0" w:space="0" w:color="auto"/>
        <w:right w:val="none" w:sz="0" w:space="0" w:color="auto"/>
      </w:divBdr>
    </w:div>
    <w:div w:id="210000245">
      <w:marLeft w:val="0"/>
      <w:marRight w:val="0"/>
      <w:marTop w:val="0"/>
      <w:marBottom w:val="0"/>
      <w:divBdr>
        <w:top w:val="none" w:sz="0" w:space="0" w:color="auto"/>
        <w:left w:val="none" w:sz="0" w:space="0" w:color="auto"/>
        <w:bottom w:val="none" w:sz="0" w:space="0" w:color="auto"/>
        <w:right w:val="none" w:sz="0" w:space="0" w:color="auto"/>
      </w:divBdr>
      <w:divsChild>
        <w:div w:id="822159707">
          <w:marLeft w:val="0"/>
          <w:marRight w:val="0"/>
          <w:marTop w:val="0"/>
          <w:marBottom w:val="0"/>
          <w:divBdr>
            <w:top w:val="none" w:sz="0" w:space="0" w:color="auto"/>
            <w:left w:val="none" w:sz="0" w:space="0" w:color="auto"/>
            <w:bottom w:val="none" w:sz="0" w:space="0" w:color="auto"/>
            <w:right w:val="none" w:sz="0" w:space="0" w:color="auto"/>
          </w:divBdr>
        </w:div>
      </w:divsChild>
    </w:div>
    <w:div w:id="212233455">
      <w:marLeft w:val="0"/>
      <w:marRight w:val="0"/>
      <w:marTop w:val="0"/>
      <w:marBottom w:val="200"/>
      <w:divBdr>
        <w:top w:val="none" w:sz="0" w:space="0" w:color="auto"/>
        <w:left w:val="none" w:sz="0" w:space="0" w:color="auto"/>
        <w:bottom w:val="none" w:sz="0" w:space="0" w:color="auto"/>
        <w:right w:val="none" w:sz="0" w:space="0" w:color="auto"/>
      </w:divBdr>
    </w:div>
    <w:div w:id="215750852">
      <w:marLeft w:val="0"/>
      <w:marRight w:val="0"/>
      <w:marTop w:val="0"/>
      <w:marBottom w:val="0"/>
      <w:divBdr>
        <w:top w:val="none" w:sz="0" w:space="0" w:color="auto"/>
        <w:left w:val="none" w:sz="0" w:space="0" w:color="auto"/>
        <w:bottom w:val="none" w:sz="0" w:space="0" w:color="auto"/>
        <w:right w:val="none" w:sz="0" w:space="0" w:color="auto"/>
      </w:divBdr>
      <w:divsChild>
        <w:div w:id="29190288">
          <w:marLeft w:val="0"/>
          <w:marRight w:val="0"/>
          <w:marTop w:val="0"/>
          <w:marBottom w:val="0"/>
          <w:divBdr>
            <w:top w:val="none" w:sz="0" w:space="0" w:color="auto"/>
            <w:left w:val="none" w:sz="0" w:space="0" w:color="auto"/>
            <w:bottom w:val="none" w:sz="0" w:space="0" w:color="auto"/>
            <w:right w:val="none" w:sz="0" w:space="0" w:color="auto"/>
          </w:divBdr>
        </w:div>
      </w:divsChild>
    </w:div>
    <w:div w:id="220529781">
      <w:marLeft w:val="0"/>
      <w:marRight w:val="0"/>
      <w:marTop w:val="0"/>
      <w:marBottom w:val="0"/>
      <w:divBdr>
        <w:top w:val="none" w:sz="0" w:space="0" w:color="auto"/>
        <w:left w:val="none" w:sz="0" w:space="0" w:color="auto"/>
        <w:bottom w:val="none" w:sz="0" w:space="0" w:color="auto"/>
        <w:right w:val="none" w:sz="0" w:space="0" w:color="auto"/>
      </w:divBdr>
    </w:div>
    <w:div w:id="220557455">
      <w:marLeft w:val="0"/>
      <w:marRight w:val="0"/>
      <w:marTop w:val="100"/>
      <w:marBottom w:val="60"/>
      <w:divBdr>
        <w:top w:val="none" w:sz="0" w:space="0" w:color="auto"/>
        <w:left w:val="none" w:sz="0" w:space="0" w:color="auto"/>
        <w:bottom w:val="none" w:sz="0" w:space="0" w:color="auto"/>
        <w:right w:val="none" w:sz="0" w:space="0" w:color="auto"/>
      </w:divBdr>
    </w:div>
    <w:div w:id="233127941">
      <w:marLeft w:val="0"/>
      <w:marRight w:val="0"/>
      <w:marTop w:val="100"/>
      <w:marBottom w:val="0"/>
      <w:divBdr>
        <w:top w:val="none" w:sz="0" w:space="0" w:color="auto"/>
        <w:left w:val="none" w:sz="0" w:space="0" w:color="auto"/>
        <w:bottom w:val="none" w:sz="0" w:space="0" w:color="auto"/>
        <w:right w:val="none" w:sz="0" w:space="0" w:color="auto"/>
      </w:divBdr>
    </w:div>
    <w:div w:id="234317789">
      <w:marLeft w:val="0"/>
      <w:marRight w:val="0"/>
      <w:marTop w:val="0"/>
      <w:marBottom w:val="0"/>
      <w:divBdr>
        <w:top w:val="none" w:sz="0" w:space="0" w:color="auto"/>
        <w:left w:val="none" w:sz="0" w:space="0" w:color="auto"/>
        <w:bottom w:val="none" w:sz="0" w:space="0" w:color="auto"/>
        <w:right w:val="none" w:sz="0" w:space="0" w:color="auto"/>
      </w:divBdr>
    </w:div>
    <w:div w:id="236939894">
      <w:marLeft w:val="0"/>
      <w:marRight w:val="0"/>
      <w:marTop w:val="0"/>
      <w:marBottom w:val="200"/>
      <w:divBdr>
        <w:top w:val="none" w:sz="0" w:space="0" w:color="auto"/>
        <w:left w:val="none" w:sz="0" w:space="0" w:color="auto"/>
        <w:bottom w:val="none" w:sz="0" w:space="0" w:color="auto"/>
        <w:right w:val="none" w:sz="0" w:space="0" w:color="auto"/>
      </w:divBdr>
    </w:div>
    <w:div w:id="239096842">
      <w:marLeft w:val="0"/>
      <w:marRight w:val="0"/>
      <w:marTop w:val="0"/>
      <w:marBottom w:val="160"/>
      <w:divBdr>
        <w:top w:val="none" w:sz="0" w:space="0" w:color="auto"/>
        <w:left w:val="none" w:sz="0" w:space="0" w:color="auto"/>
        <w:bottom w:val="none" w:sz="0" w:space="0" w:color="auto"/>
        <w:right w:val="none" w:sz="0" w:space="0" w:color="auto"/>
      </w:divBdr>
    </w:div>
    <w:div w:id="246504142">
      <w:marLeft w:val="0"/>
      <w:marRight w:val="0"/>
      <w:marTop w:val="0"/>
      <w:marBottom w:val="0"/>
      <w:divBdr>
        <w:top w:val="none" w:sz="0" w:space="0" w:color="auto"/>
        <w:left w:val="none" w:sz="0" w:space="0" w:color="auto"/>
        <w:bottom w:val="none" w:sz="0" w:space="0" w:color="auto"/>
        <w:right w:val="none" w:sz="0" w:space="0" w:color="auto"/>
      </w:divBdr>
    </w:div>
    <w:div w:id="252251839">
      <w:marLeft w:val="0"/>
      <w:marRight w:val="0"/>
      <w:marTop w:val="0"/>
      <w:marBottom w:val="200"/>
      <w:divBdr>
        <w:top w:val="none" w:sz="0" w:space="0" w:color="auto"/>
        <w:left w:val="none" w:sz="0" w:space="0" w:color="auto"/>
        <w:bottom w:val="none" w:sz="0" w:space="0" w:color="auto"/>
        <w:right w:val="none" w:sz="0" w:space="0" w:color="auto"/>
      </w:divBdr>
    </w:div>
    <w:div w:id="254630131">
      <w:marLeft w:val="0"/>
      <w:marRight w:val="0"/>
      <w:marTop w:val="0"/>
      <w:marBottom w:val="200"/>
      <w:divBdr>
        <w:top w:val="none" w:sz="0" w:space="0" w:color="auto"/>
        <w:left w:val="none" w:sz="0" w:space="0" w:color="auto"/>
        <w:bottom w:val="none" w:sz="0" w:space="0" w:color="auto"/>
        <w:right w:val="none" w:sz="0" w:space="0" w:color="auto"/>
      </w:divBdr>
    </w:div>
    <w:div w:id="258173248">
      <w:marLeft w:val="0"/>
      <w:marRight w:val="0"/>
      <w:marTop w:val="0"/>
      <w:marBottom w:val="0"/>
      <w:divBdr>
        <w:top w:val="none" w:sz="0" w:space="0" w:color="auto"/>
        <w:left w:val="none" w:sz="0" w:space="0" w:color="auto"/>
        <w:bottom w:val="none" w:sz="0" w:space="0" w:color="auto"/>
        <w:right w:val="none" w:sz="0" w:space="0" w:color="auto"/>
      </w:divBdr>
    </w:div>
    <w:div w:id="263806547">
      <w:marLeft w:val="0"/>
      <w:marRight w:val="0"/>
      <w:marTop w:val="0"/>
      <w:marBottom w:val="60"/>
      <w:divBdr>
        <w:top w:val="none" w:sz="0" w:space="0" w:color="auto"/>
        <w:left w:val="none" w:sz="0" w:space="0" w:color="auto"/>
        <w:bottom w:val="none" w:sz="0" w:space="0" w:color="auto"/>
        <w:right w:val="none" w:sz="0" w:space="0" w:color="auto"/>
      </w:divBdr>
    </w:div>
    <w:div w:id="265505744">
      <w:marLeft w:val="0"/>
      <w:marRight w:val="0"/>
      <w:marTop w:val="0"/>
      <w:marBottom w:val="200"/>
      <w:divBdr>
        <w:top w:val="none" w:sz="0" w:space="0" w:color="auto"/>
        <w:left w:val="none" w:sz="0" w:space="0" w:color="auto"/>
        <w:bottom w:val="none" w:sz="0" w:space="0" w:color="auto"/>
        <w:right w:val="none" w:sz="0" w:space="0" w:color="auto"/>
      </w:divBdr>
    </w:div>
    <w:div w:id="273246182">
      <w:marLeft w:val="0"/>
      <w:marRight w:val="0"/>
      <w:marTop w:val="0"/>
      <w:marBottom w:val="0"/>
      <w:divBdr>
        <w:top w:val="none" w:sz="0" w:space="0" w:color="auto"/>
        <w:left w:val="none" w:sz="0" w:space="0" w:color="auto"/>
        <w:bottom w:val="none" w:sz="0" w:space="0" w:color="auto"/>
        <w:right w:val="none" w:sz="0" w:space="0" w:color="auto"/>
      </w:divBdr>
    </w:div>
    <w:div w:id="273363770">
      <w:marLeft w:val="0"/>
      <w:marRight w:val="0"/>
      <w:marTop w:val="0"/>
      <w:marBottom w:val="0"/>
      <w:divBdr>
        <w:top w:val="none" w:sz="0" w:space="0" w:color="auto"/>
        <w:left w:val="none" w:sz="0" w:space="0" w:color="auto"/>
        <w:bottom w:val="none" w:sz="0" w:space="0" w:color="auto"/>
        <w:right w:val="none" w:sz="0" w:space="0" w:color="auto"/>
      </w:divBdr>
    </w:div>
    <w:div w:id="276105034">
      <w:marLeft w:val="0"/>
      <w:marRight w:val="0"/>
      <w:marTop w:val="0"/>
      <w:marBottom w:val="200"/>
      <w:divBdr>
        <w:top w:val="none" w:sz="0" w:space="0" w:color="auto"/>
        <w:left w:val="none" w:sz="0" w:space="0" w:color="auto"/>
        <w:bottom w:val="none" w:sz="0" w:space="0" w:color="auto"/>
        <w:right w:val="none" w:sz="0" w:space="0" w:color="auto"/>
      </w:divBdr>
    </w:div>
    <w:div w:id="285237606">
      <w:marLeft w:val="0"/>
      <w:marRight w:val="0"/>
      <w:marTop w:val="0"/>
      <w:marBottom w:val="200"/>
      <w:divBdr>
        <w:top w:val="none" w:sz="0" w:space="0" w:color="auto"/>
        <w:left w:val="none" w:sz="0" w:space="0" w:color="auto"/>
        <w:bottom w:val="none" w:sz="0" w:space="0" w:color="auto"/>
        <w:right w:val="none" w:sz="0" w:space="0" w:color="auto"/>
      </w:divBdr>
    </w:div>
    <w:div w:id="289167118">
      <w:marLeft w:val="0"/>
      <w:marRight w:val="0"/>
      <w:marTop w:val="0"/>
      <w:marBottom w:val="200"/>
      <w:divBdr>
        <w:top w:val="none" w:sz="0" w:space="0" w:color="auto"/>
        <w:left w:val="none" w:sz="0" w:space="0" w:color="auto"/>
        <w:bottom w:val="none" w:sz="0" w:space="0" w:color="auto"/>
        <w:right w:val="none" w:sz="0" w:space="0" w:color="auto"/>
      </w:divBdr>
    </w:div>
    <w:div w:id="293750970">
      <w:marLeft w:val="0"/>
      <w:marRight w:val="0"/>
      <w:marTop w:val="0"/>
      <w:marBottom w:val="0"/>
      <w:divBdr>
        <w:top w:val="none" w:sz="0" w:space="0" w:color="auto"/>
        <w:left w:val="none" w:sz="0" w:space="0" w:color="auto"/>
        <w:bottom w:val="none" w:sz="0" w:space="0" w:color="auto"/>
        <w:right w:val="none" w:sz="0" w:space="0" w:color="auto"/>
      </w:divBdr>
    </w:div>
    <w:div w:id="301620569">
      <w:marLeft w:val="0"/>
      <w:marRight w:val="0"/>
      <w:marTop w:val="0"/>
      <w:marBottom w:val="0"/>
      <w:divBdr>
        <w:top w:val="none" w:sz="0" w:space="0" w:color="auto"/>
        <w:left w:val="none" w:sz="0" w:space="0" w:color="auto"/>
        <w:bottom w:val="none" w:sz="0" w:space="0" w:color="auto"/>
        <w:right w:val="none" w:sz="0" w:space="0" w:color="auto"/>
      </w:divBdr>
      <w:divsChild>
        <w:div w:id="1060517644">
          <w:marLeft w:val="0"/>
          <w:marRight w:val="0"/>
          <w:marTop w:val="0"/>
          <w:marBottom w:val="0"/>
          <w:divBdr>
            <w:top w:val="none" w:sz="0" w:space="0" w:color="auto"/>
            <w:left w:val="none" w:sz="0" w:space="0" w:color="auto"/>
            <w:bottom w:val="none" w:sz="0" w:space="0" w:color="auto"/>
            <w:right w:val="none" w:sz="0" w:space="0" w:color="auto"/>
          </w:divBdr>
        </w:div>
        <w:div w:id="1732849824">
          <w:marLeft w:val="0"/>
          <w:marRight w:val="0"/>
          <w:marTop w:val="180"/>
          <w:marBottom w:val="0"/>
          <w:divBdr>
            <w:top w:val="none" w:sz="0" w:space="0" w:color="auto"/>
            <w:left w:val="none" w:sz="0" w:space="0" w:color="auto"/>
            <w:bottom w:val="none" w:sz="0" w:space="0" w:color="auto"/>
            <w:right w:val="none" w:sz="0" w:space="0" w:color="auto"/>
          </w:divBdr>
        </w:div>
      </w:divsChild>
    </w:div>
    <w:div w:id="310990436">
      <w:marLeft w:val="0"/>
      <w:marRight w:val="0"/>
      <w:marTop w:val="0"/>
      <w:marBottom w:val="0"/>
      <w:divBdr>
        <w:top w:val="none" w:sz="0" w:space="0" w:color="auto"/>
        <w:left w:val="none" w:sz="0" w:space="0" w:color="auto"/>
        <w:bottom w:val="none" w:sz="0" w:space="0" w:color="auto"/>
        <w:right w:val="none" w:sz="0" w:space="0" w:color="auto"/>
      </w:divBdr>
      <w:divsChild>
        <w:div w:id="632372309">
          <w:marLeft w:val="0"/>
          <w:marRight w:val="0"/>
          <w:marTop w:val="0"/>
          <w:marBottom w:val="0"/>
          <w:divBdr>
            <w:top w:val="none" w:sz="0" w:space="0" w:color="auto"/>
            <w:left w:val="none" w:sz="0" w:space="0" w:color="auto"/>
            <w:bottom w:val="none" w:sz="0" w:space="0" w:color="auto"/>
            <w:right w:val="none" w:sz="0" w:space="0" w:color="auto"/>
          </w:divBdr>
        </w:div>
        <w:div w:id="757560459">
          <w:marLeft w:val="0"/>
          <w:marRight w:val="0"/>
          <w:marTop w:val="180"/>
          <w:marBottom w:val="0"/>
          <w:divBdr>
            <w:top w:val="none" w:sz="0" w:space="0" w:color="auto"/>
            <w:left w:val="none" w:sz="0" w:space="0" w:color="auto"/>
            <w:bottom w:val="none" w:sz="0" w:space="0" w:color="auto"/>
            <w:right w:val="none" w:sz="0" w:space="0" w:color="auto"/>
          </w:divBdr>
        </w:div>
      </w:divsChild>
    </w:div>
    <w:div w:id="311831929">
      <w:marLeft w:val="0"/>
      <w:marRight w:val="0"/>
      <w:marTop w:val="0"/>
      <w:marBottom w:val="0"/>
      <w:divBdr>
        <w:top w:val="none" w:sz="0" w:space="0" w:color="auto"/>
        <w:left w:val="none" w:sz="0" w:space="0" w:color="auto"/>
        <w:bottom w:val="none" w:sz="0" w:space="0" w:color="auto"/>
        <w:right w:val="none" w:sz="0" w:space="0" w:color="auto"/>
      </w:divBdr>
      <w:divsChild>
        <w:div w:id="1595238834">
          <w:marLeft w:val="0"/>
          <w:marRight w:val="0"/>
          <w:marTop w:val="0"/>
          <w:marBottom w:val="0"/>
          <w:divBdr>
            <w:top w:val="none" w:sz="0" w:space="0" w:color="auto"/>
            <w:left w:val="none" w:sz="0" w:space="0" w:color="auto"/>
            <w:bottom w:val="none" w:sz="0" w:space="0" w:color="auto"/>
            <w:right w:val="none" w:sz="0" w:space="0" w:color="auto"/>
          </w:divBdr>
        </w:div>
        <w:div w:id="27222110">
          <w:marLeft w:val="0"/>
          <w:marRight w:val="0"/>
          <w:marTop w:val="0"/>
          <w:marBottom w:val="0"/>
          <w:divBdr>
            <w:top w:val="none" w:sz="0" w:space="0" w:color="auto"/>
            <w:left w:val="none" w:sz="0" w:space="0" w:color="auto"/>
            <w:bottom w:val="none" w:sz="0" w:space="0" w:color="auto"/>
            <w:right w:val="none" w:sz="0" w:space="0" w:color="auto"/>
          </w:divBdr>
        </w:div>
      </w:divsChild>
    </w:div>
    <w:div w:id="311909269">
      <w:marLeft w:val="0"/>
      <w:marRight w:val="0"/>
      <w:marTop w:val="0"/>
      <w:marBottom w:val="200"/>
      <w:divBdr>
        <w:top w:val="none" w:sz="0" w:space="0" w:color="auto"/>
        <w:left w:val="none" w:sz="0" w:space="0" w:color="auto"/>
        <w:bottom w:val="none" w:sz="0" w:space="0" w:color="auto"/>
        <w:right w:val="none" w:sz="0" w:space="0" w:color="auto"/>
      </w:divBdr>
    </w:div>
    <w:div w:id="322661187">
      <w:marLeft w:val="0"/>
      <w:marRight w:val="0"/>
      <w:marTop w:val="180"/>
      <w:marBottom w:val="0"/>
      <w:divBdr>
        <w:top w:val="none" w:sz="0" w:space="0" w:color="auto"/>
        <w:left w:val="none" w:sz="0" w:space="0" w:color="auto"/>
        <w:bottom w:val="none" w:sz="0" w:space="0" w:color="auto"/>
        <w:right w:val="none" w:sz="0" w:space="0" w:color="auto"/>
      </w:divBdr>
    </w:div>
    <w:div w:id="322776651">
      <w:marLeft w:val="0"/>
      <w:marRight w:val="0"/>
      <w:marTop w:val="0"/>
      <w:marBottom w:val="0"/>
      <w:divBdr>
        <w:top w:val="none" w:sz="0" w:space="0" w:color="auto"/>
        <w:left w:val="none" w:sz="0" w:space="0" w:color="auto"/>
        <w:bottom w:val="none" w:sz="0" w:space="0" w:color="auto"/>
        <w:right w:val="none" w:sz="0" w:space="0" w:color="auto"/>
      </w:divBdr>
      <w:divsChild>
        <w:div w:id="1543444736">
          <w:marLeft w:val="0"/>
          <w:marRight w:val="0"/>
          <w:marTop w:val="0"/>
          <w:marBottom w:val="0"/>
          <w:divBdr>
            <w:top w:val="none" w:sz="0" w:space="0" w:color="auto"/>
            <w:left w:val="none" w:sz="0" w:space="0" w:color="auto"/>
            <w:bottom w:val="none" w:sz="0" w:space="0" w:color="auto"/>
            <w:right w:val="none" w:sz="0" w:space="0" w:color="auto"/>
          </w:divBdr>
        </w:div>
      </w:divsChild>
    </w:div>
    <w:div w:id="330530115">
      <w:marLeft w:val="0"/>
      <w:marRight w:val="0"/>
      <w:marTop w:val="0"/>
      <w:marBottom w:val="0"/>
      <w:divBdr>
        <w:top w:val="none" w:sz="0" w:space="0" w:color="auto"/>
        <w:left w:val="none" w:sz="0" w:space="0" w:color="auto"/>
        <w:bottom w:val="none" w:sz="0" w:space="0" w:color="auto"/>
        <w:right w:val="none" w:sz="0" w:space="0" w:color="auto"/>
      </w:divBdr>
      <w:divsChild>
        <w:div w:id="410932047">
          <w:marLeft w:val="0"/>
          <w:marRight w:val="0"/>
          <w:marTop w:val="0"/>
          <w:marBottom w:val="0"/>
          <w:divBdr>
            <w:top w:val="none" w:sz="0" w:space="0" w:color="auto"/>
            <w:left w:val="none" w:sz="0" w:space="0" w:color="auto"/>
            <w:bottom w:val="none" w:sz="0" w:space="0" w:color="auto"/>
            <w:right w:val="none" w:sz="0" w:space="0" w:color="auto"/>
          </w:divBdr>
        </w:div>
      </w:divsChild>
    </w:div>
    <w:div w:id="344403199">
      <w:marLeft w:val="0"/>
      <w:marRight w:val="0"/>
      <w:marTop w:val="0"/>
      <w:marBottom w:val="200"/>
      <w:divBdr>
        <w:top w:val="none" w:sz="0" w:space="0" w:color="auto"/>
        <w:left w:val="none" w:sz="0" w:space="0" w:color="auto"/>
        <w:bottom w:val="none" w:sz="0" w:space="0" w:color="auto"/>
        <w:right w:val="none" w:sz="0" w:space="0" w:color="auto"/>
      </w:divBdr>
    </w:div>
    <w:div w:id="357857715">
      <w:marLeft w:val="0"/>
      <w:marRight w:val="0"/>
      <w:marTop w:val="0"/>
      <w:marBottom w:val="200"/>
      <w:divBdr>
        <w:top w:val="none" w:sz="0" w:space="0" w:color="auto"/>
        <w:left w:val="none" w:sz="0" w:space="0" w:color="auto"/>
        <w:bottom w:val="none" w:sz="0" w:space="0" w:color="auto"/>
        <w:right w:val="none" w:sz="0" w:space="0" w:color="auto"/>
      </w:divBdr>
    </w:div>
    <w:div w:id="367266629">
      <w:marLeft w:val="0"/>
      <w:marRight w:val="0"/>
      <w:marTop w:val="0"/>
      <w:marBottom w:val="200"/>
      <w:divBdr>
        <w:top w:val="none" w:sz="0" w:space="0" w:color="auto"/>
        <w:left w:val="none" w:sz="0" w:space="0" w:color="auto"/>
        <w:bottom w:val="none" w:sz="0" w:space="0" w:color="auto"/>
        <w:right w:val="none" w:sz="0" w:space="0" w:color="auto"/>
      </w:divBdr>
    </w:div>
    <w:div w:id="373038552">
      <w:marLeft w:val="0"/>
      <w:marRight w:val="0"/>
      <w:marTop w:val="0"/>
      <w:marBottom w:val="0"/>
      <w:divBdr>
        <w:top w:val="none" w:sz="0" w:space="0" w:color="auto"/>
        <w:left w:val="none" w:sz="0" w:space="0" w:color="auto"/>
        <w:bottom w:val="none" w:sz="0" w:space="0" w:color="auto"/>
        <w:right w:val="none" w:sz="0" w:space="0" w:color="auto"/>
      </w:divBdr>
      <w:divsChild>
        <w:div w:id="465969495">
          <w:marLeft w:val="0"/>
          <w:marRight w:val="0"/>
          <w:marTop w:val="0"/>
          <w:marBottom w:val="0"/>
          <w:divBdr>
            <w:top w:val="none" w:sz="0" w:space="0" w:color="auto"/>
            <w:left w:val="none" w:sz="0" w:space="0" w:color="auto"/>
            <w:bottom w:val="none" w:sz="0" w:space="0" w:color="auto"/>
            <w:right w:val="none" w:sz="0" w:space="0" w:color="auto"/>
          </w:divBdr>
        </w:div>
      </w:divsChild>
    </w:div>
    <w:div w:id="378474268">
      <w:marLeft w:val="0"/>
      <w:marRight w:val="0"/>
      <w:marTop w:val="100"/>
      <w:marBottom w:val="0"/>
      <w:divBdr>
        <w:top w:val="none" w:sz="0" w:space="0" w:color="auto"/>
        <w:left w:val="none" w:sz="0" w:space="0" w:color="auto"/>
        <w:bottom w:val="none" w:sz="0" w:space="0" w:color="auto"/>
        <w:right w:val="none" w:sz="0" w:space="0" w:color="auto"/>
      </w:divBdr>
    </w:div>
    <w:div w:id="386875940">
      <w:marLeft w:val="0"/>
      <w:marRight w:val="0"/>
      <w:marTop w:val="0"/>
      <w:marBottom w:val="200"/>
      <w:divBdr>
        <w:top w:val="none" w:sz="0" w:space="0" w:color="auto"/>
        <w:left w:val="none" w:sz="0" w:space="0" w:color="auto"/>
        <w:bottom w:val="none" w:sz="0" w:space="0" w:color="auto"/>
        <w:right w:val="none" w:sz="0" w:space="0" w:color="auto"/>
      </w:divBdr>
    </w:div>
    <w:div w:id="400448553">
      <w:marLeft w:val="0"/>
      <w:marRight w:val="0"/>
      <w:marTop w:val="0"/>
      <w:marBottom w:val="0"/>
      <w:divBdr>
        <w:top w:val="none" w:sz="0" w:space="0" w:color="auto"/>
        <w:left w:val="none" w:sz="0" w:space="0" w:color="auto"/>
        <w:bottom w:val="none" w:sz="0" w:space="0" w:color="auto"/>
        <w:right w:val="none" w:sz="0" w:space="0" w:color="auto"/>
      </w:divBdr>
      <w:divsChild>
        <w:div w:id="1593510820">
          <w:marLeft w:val="0"/>
          <w:marRight w:val="0"/>
          <w:marTop w:val="0"/>
          <w:marBottom w:val="0"/>
          <w:divBdr>
            <w:top w:val="none" w:sz="0" w:space="0" w:color="auto"/>
            <w:left w:val="none" w:sz="0" w:space="0" w:color="auto"/>
            <w:bottom w:val="none" w:sz="0" w:space="0" w:color="auto"/>
            <w:right w:val="none" w:sz="0" w:space="0" w:color="auto"/>
          </w:divBdr>
        </w:div>
      </w:divsChild>
    </w:div>
    <w:div w:id="408428883">
      <w:marLeft w:val="0"/>
      <w:marRight w:val="0"/>
      <w:marTop w:val="100"/>
      <w:marBottom w:val="0"/>
      <w:divBdr>
        <w:top w:val="none" w:sz="0" w:space="0" w:color="auto"/>
        <w:left w:val="none" w:sz="0" w:space="0" w:color="auto"/>
        <w:bottom w:val="none" w:sz="0" w:space="0" w:color="auto"/>
        <w:right w:val="none" w:sz="0" w:space="0" w:color="auto"/>
      </w:divBdr>
    </w:div>
    <w:div w:id="408771528">
      <w:marLeft w:val="0"/>
      <w:marRight w:val="0"/>
      <w:marTop w:val="0"/>
      <w:marBottom w:val="200"/>
      <w:divBdr>
        <w:top w:val="none" w:sz="0" w:space="0" w:color="auto"/>
        <w:left w:val="none" w:sz="0" w:space="0" w:color="auto"/>
        <w:bottom w:val="none" w:sz="0" w:space="0" w:color="auto"/>
        <w:right w:val="none" w:sz="0" w:space="0" w:color="auto"/>
      </w:divBdr>
    </w:div>
    <w:div w:id="415709115">
      <w:marLeft w:val="0"/>
      <w:marRight w:val="0"/>
      <w:marTop w:val="0"/>
      <w:marBottom w:val="0"/>
      <w:divBdr>
        <w:top w:val="none" w:sz="0" w:space="0" w:color="auto"/>
        <w:left w:val="none" w:sz="0" w:space="0" w:color="auto"/>
        <w:bottom w:val="none" w:sz="0" w:space="0" w:color="auto"/>
        <w:right w:val="none" w:sz="0" w:space="0" w:color="auto"/>
      </w:divBdr>
      <w:divsChild>
        <w:div w:id="1200437389">
          <w:marLeft w:val="0"/>
          <w:marRight w:val="0"/>
          <w:marTop w:val="0"/>
          <w:marBottom w:val="0"/>
          <w:divBdr>
            <w:top w:val="none" w:sz="0" w:space="0" w:color="auto"/>
            <w:left w:val="none" w:sz="0" w:space="0" w:color="auto"/>
            <w:bottom w:val="none" w:sz="0" w:space="0" w:color="auto"/>
            <w:right w:val="none" w:sz="0" w:space="0" w:color="auto"/>
          </w:divBdr>
        </w:div>
      </w:divsChild>
    </w:div>
    <w:div w:id="424613518">
      <w:marLeft w:val="0"/>
      <w:marRight w:val="0"/>
      <w:marTop w:val="0"/>
      <w:marBottom w:val="200"/>
      <w:divBdr>
        <w:top w:val="none" w:sz="0" w:space="0" w:color="auto"/>
        <w:left w:val="none" w:sz="0" w:space="0" w:color="auto"/>
        <w:bottom w:val="none" w:sz="0" w:space="0" w:color="auto"/>
        <w:right w:val="none" w:sz="0" w:space="0" w:color="auto"/>
      </w:divBdr>
    </w:div>
    <w:div w:id="426847186">
      <w:marLeft w:val="0"/>
      <w:marRight w:val="0"/>
      <w:marTop w:val="0"/>
      <w:marBottom w:val="0"/>
      <w:divBdr>
        <w:top w:val="none" w:sz="0" w:space="0" w:color="auto"/>
        <w:left w:val="none" w:sz="0" w:space="0" w:color="auto"/>
        <w:bottom w:val="none" w:sz="0" w:space="0" w:color="auto"/>
        <w:right w:val="none" w:sz="0" w:space="0" w:color="auto"/>
      </w:divBdr>
    </w:div>
    <w:div w:id="429085184">
      <w:marLeft w:val="0"/>
      <w:marRight w:val="0"/>
      <w:marTop w:val="0"/>
      <w:marBottom w:val="200"/>
      <w:divBdr>
        <w:top w:val="none" w:sz="0" w:space="0" w:color="auto"/>
        <w:left w:val="none" w:sz="0" w:space="0" w:color="auto"/>
        <w:bottom w:val="none" w:sz="0" w:space="0" w:color="auto"/>
        <w:right w:val="none" w:sz="0" w:space="0" w:color="auto"/>
      </w:divBdr>
    </w:div>
    <w:div w:id="438179557">
      <w:marLeft w:val="0"/>
      <w:marRight w:val="0"/>
      <w:marTop w:val="0"/>
      <w:marBottom w:val="200"/>
      <w:divBdr>
        <w:top w:val="none" w:sz="0" w:space="0" w:color="auto"/>
        <w:left w:val="none" w:sz="0" w:space="0" w:color="auto"/>
        <w:bottom w:val="none" w:sz="0" w:space="0" w:color="auto"/>
        <w:right w:val="none" w:sz="0" w:space="0" w:color="auto"/>
      </w:divBdr>
    </w:div>
    <w:div w:id="438598134">
      <w:marLeft w:val="0"/>
      <w:marRight w:val="0"/>
      <w:marTop w:val="0"/>
      <w:marBottom w:val="200"/>
      <w:divBdr>
        <w:top w:val="none" w:sz="0" w:space="0" w:color="auto"/>
        <w:left w:val="none" w:sz="0" w:space="0" w:color="auto"/>
        <w:bottom w:val="none" w:sz="0" w:space="0" w:color="auto"/>
        <w:right w:val="none" w:sz="0" w:space="0" w:color="auto"/>
      </w:divBdr>
    </w:div>
    <w:div w:id="440491095">
      <w:marLeft w:val="0"/>
      <w:marRight w:val="0"/>
      <w:marTop w:val="0"/>
      <w:marBottom w:val="0"/>
      <w:divBdr>
        <w:top w:val="none" w:sz="0" w:space="0" w:color="auto"/>
        <w:left w:val="none" w:sz="0" w:space="0" w:color="auto"/>
        <w:bottom w:val="none" w:sz="0" w:space="0" w:color="auto"/>
        <w:right w:val="none" w:sz="0" w:space="0" w:color="auto"/>
      </w:divBdr>
    </w:div>
    <w:div w:id="440682006">
      <w:marLeft w:val="0"/>
      <w:marRight w:val="0"/>
      <w:marTop w:val="0"/>
      <w:marBottom w:val="0"/>
      <w:divBdr>
        <w:top w:val="none" w:sz="0" w:space="0" w:color="auto"/>
        <w:left w:val="none" w:sz="0" w:space="0" w:color="auto"/>
        <w:bottom w:val="none" w:sz="0" w:space="0" w:color="auto"/>
        <w:right w:val="none" w:sz="0" w:space="0" w:color="auto"/>
      </w:divBdr>
      <w:divsChild>
        <w:div w:id="260718929">
          <w:marLeft w:val="0"/>
          <w:marRight w:val="0"/>
          <w:marTop w:val="0"/>
          <w:marBottom w:val="0"/>
          <w:divBdr>
            <w:top w:val="none" w:sz="0" w:space="0" w:color="auto"/>
            <w:left w:val="none" w:sz="0" w:space="0" w:color="auto"/>
            <w:bottom w:val="none" w:sz="0" w:space="0" w:color="auto"/>
            <w:right w:val="none" w:sz="0" w:space="0" w:color="auto"/>
          </w:divBdr>
        </w:div>
        <w:div w:id="1742021148">
          <w:marLeft w:val="0"/>
          <w:marRight w:val="0"/>
          <w:marTop w:val="180"/>
          <w:marBottom w:val="0"/>
          <w:divBdr>
            <w:top w:val="none" w:sz="0" w:space="0" w:color="auto"/>
            <w:left w:val="none" w:sz="0" w:space="0" w:color="auto"/>
            <w:bottom w:val="none" w:sz="0" w:space="0" w:color="auto"/>
            <w:right w:val="none" w:sz="0" w:space="0" w:color="auto"/>
          </w:divBdr>
        </w:div>
      </w:divsChild>
    </w:div>
    <w:div w:id="442774086">
      <w:marLeft w:val="0"/>
      <w:marRight w:val="0"/>
      <w:marTop w:val="0"/>
      <w:marBottom w:val="200"/>
      <w:divBdr>
        <w:top w:val="none" w:sz="0" w:space="0" w:color="auto"/>
        <w:left w:val="none" w:sz="0" w:space="0" w:color="auto"/>
        <w:bottom w:val="none" w:sz="0" w:space="0" w:color="auto"/>
        <w:right w:val="none" w:sz="0" w:space="0" w:color="auto"/>
      </w:divBdr>
    </w:div>
    <w:div w:id="444734859">
      <w:marLeft w:val="0"/>
      <w:marRight w:val="0"/>
      <w:marTop w:val="0"/>
      <w:marBottom w:val="200"/>
      <w:divBdr>
        <w:top w:val="none" w:sz="0" w:space="0" w:color="auto"/>
        <w:left w:val="none" w:sz="0" w:space="0" w:color="auto"/>
        <w:bottom w:val="none" w:sz="0" w:space="0" w:color="auto"/>
        <w:right w:val="none" w:sz="0" w:space="0" w:color="auto"/>
      </w:divBdr>
    </w:div>
    <w:div w:id="454560955">
      <w:marLeft w:val="0"/>
      <w:marRight w:val="0"/>
      <w:marTop w:val="0"/>
      <w:marBottom w:val="0"/>
      <w:divBdr>
        <w:top w:val="none" w:sz="0" w:space="0" w:color="auto"/>
        <w:left w:val="none" w:sz="0" w:space="0" w:color="auto"/>
        <w:bottom w:val="none" w:sz="0" w:space="0" w:color="auto"/>
        <w:right w:val="none" w:sz="0" w:space="0" w:color="auto"/>
      </w:divBdr>
      <w:divsChild>
        <w:div w:id="1980726391">
          <w:marLeft w:val="0"/>
          <w:marRight w:val="0"/>
          <w:marTop w:val="0"/>
          <w:marBottom w:val="0"/>
          <w:divBdr>
            <w:top w:val="none" w:sz="0" w:space="0" w:color="auto"/>
            <w:left w:val="none" w:sz="0" w:space="0" w:color="auto"/>
            <w:bottom w:val="none" w:sz="0" w:space="0" w:color="auto"/>
            <w:right w:val="none" w:sz="0" w:space="0" w:color="auto"/>
          </w:divBdr>
        </w:div>
      </w:divsChild>
    </w:div>
    <w:div w:id="461769274">
      <w:marLeft w:val="0"/>
      <w:marRight w:val="0"/>
      <w:marTop w:val="0"/>
      <w:marBottom w:val="200"/>
      <w:divBdr>
        <w:top w:val="none" w:sz="0" w:space="0" w:color="auto"/>
        <w:left w:val="none" w:sz="0" w:space="0" w:color="auto"/>
        <w:bottom w:val="none" w:sz="0" w:space="0" w:color="auto"/>
        <w:right w:val="none" w:sz="0" w:space="0" w:color="auto"/>
      </w:divBdr>
    </w:div>
    <w:div w:id="463888124">
      <w:marLeft w:val="0"/>
      <w:marRight w:val="0"/>
      <w:marTop w:val="0"/>
      <w:marBottom w:val="0"/>
      <w:divBdr>
        <w:top w:val="none" w:sz="0" w:space="0" w:color="auto"/>
        <w:left w:val="none" w:sz="0" w:space="0" w:color="auto"/>
        <w:bottom w:val="none" w:sz="0" w:space="0" w:color="auto"/>
        <w:right w:val="none" w:sz="0" w:space="0" w:color="auto"/>
      </w:divBdr>
    </w:div>
    <w:div w:id="470681578">
      <w:marLeft w:val="0"/>
      <w:marRight w:val="0"/>
      <w:marTop w:val="0"/>
      <w:marBottom w:val="0"/>
      <w:divBdr>
        <w:top w:val="none" w:sz="0" w:space="0" w:color="auto"/>
        <w:left w:val="none" w:sz="0" w:space="0" w:color="auto"/>
        <w:bottom w:val="none" w:sz="0" w:space="0" w:color="auto"/>
        <w:right w:val="none" w:sz="0" w:space="0" w:color="auto"/>
      </w:divBdr>
      <w:divsChild>
        <w:div w:id="1565021734">
          <w:marLeft w:val="0"/>
          <w:marRight w:val="0"/>
          <w:marTop w:val="0"/>
          <w:marBottom w:val="0"/>
          <w:divBdr>
            <w:top w:val="none" w:sz="0" w:space="0" w:color="auto"/>
            <w:left w:val="none" w:sz="0" w:space="0" w:color="auto"/>
            <w:bottom w:val="none" w:sz="0" w:space="0" w:color="auto"/>
            <w:right w:val="none" w:sz="0" w:space="0" w:color="auto"/>
          </w:divBdr>
        </w:div>
      </w:divsChild>
    </w:div>
    <w:div w:id="472406790">
      <w:marLeft w:val="0"/>
      <w:marRight w:val="0"/>
      <w:marTop w:val="0"/>
      <w:marBottom w:val="200"/>
      <w:divBdr>
        <w:top w:val="none" w:sz="0" w:space="0" w:color="auto"/>
        <w:left w:val="none" w:sz="0" w:space="0" w:color="auto"/>
        <w:bottom w:val="none" w:sz="0" w:space="0" w:color="auto"/>
        <w:right w:val="none" w:sz="0" w:space="0" w:color="auto"/>
      </w:divBdr>
    </w:div>
    <w:div w:id="473761269">
      <w:marLeft w:val="0"/>
      <w:marRight w:val="0"/>
      <w:marTop w:val="0"/>
      <w:marBottom w:val="0"/>
      <w:divBdr>
        <w:top w:val="none" w:sz="0" w:space="0" w:color="auto"/>
        <w:left w:val="none" w:sz="0" w:space="0" w:color="auto"/>
        <w:bottom w:val="none" w:sz="0" w:space="0" w:color="auto"/>
        <w:right w:val="none" w:sz="0" w:space="0" w:color="auto"/>
      </w:divBdr>
      <w:divsChild>
        <w:div w:id="811218271">
          <w:marLeft w:val="0"/>
          <w:marRight w:val="0"/>
          <w:marTop w:val="0"/>
          <w:marBottom w:val="0"/>
          <w:divBdr>
            <w:top w:val="none" w:sz="0" w:space="0" w:color="auto"/>
            <w:left w:val="none" w:sz="0" w:space="0" w:color="auto"/>
            <w:bottom w:val="none" w:sz="0" w:space="0" w:color="auto"/>
            <w:right w:val="none" w:sz="0" w:space="0" w:color="auto"/>
          </w:divBdr>
        </w:div>
      </w:divsChild>
    </w:div>
    <w:div w:id="474416890">
      <w:marLeft w:val="0"/>
      <w:marRight w:val="0"/>
      <w:marTop w:val="0"/>
      <w:marBottom w:val="0"/>
      <w:divBdr>
        <w:top w:val="none" w:sz="0" w:space="0" w:color="auto"/>
        <w:left w:val="none" w:sz="0" w:space="0" w:color="auto"/>
        <w:bottom w:val="none" w:sz="0" w:space="0" w:color="auto"/>
        <w:right w:val="none" w:sz="0" w:space="0" w:color="auto"/>
      </w:divBdr>
      <w:divsChild>
        <w:div w:id="1155562472">
          <w:marLeft w:val="0"/>
          <w:marRight w:val="0"/>
          <w:marTop w:val="0"/>
          <w:marBottom w:val="0"/>
          <w:divBdr>
            <w:top w:val="none" w:sz="0" w:space="0" w:color="auto"/>
            <w:left w:val="none" w:sz="0" w:space="0" w:color="auto"/>
            <w:bottom w:val="none" w:sz="0" w:space="0" w:color="auto"/>
            <w:right w:val="none" w:sz="0" w:space="0" w:color="auto"/>
          </w:divBdr>
        </w:div>
      </w:divsChild>
    </w:div>
    <w:div w:id="481242921">
      <w:marLeft w:val="0"/>
      <w:marRight w:val="0"/>
      <w:marTop w:val="0"/>
      <w:marBottom w:val="0"/>
      <w:divBdr>
        <w:top w:val="none" w:sz="0" w:space="0" w:color="auto"/>
        <w:left w:val="none" w:sz="0" w:space="0" w:color="auto"/>
        <w:bottom w:val="none" w:sz="0" w:space="0" w:color="auto"/>
        <w:right w:val="none" w:sz="0" w:space="0" w:color="auto"/>
      </w:divBdr>
    </w:div>
    <w:div w:id="483932073">
      <w:marLeft w:val="0"/>
      <w:marRight w:val="0"/>
      <w:marTop w:val="0"/>
      <w:marBottom w:val="200"/>
      <w:divBdr>
        <w:top w:val="none" w:sz="0" w:space="0" w:color="auto"/>
        <w:left w:val="none" w:sz="0" w:space="0" w:color="auto"/>
        <w:bottom w:val="none" w:sz="0" w:space="0" w:color="auto"/>
        <w:right w:val="none" w:sz="0" w:space="0" w:color="auto"/>
      </w:divBdr>
    </w:div>
    <w:div w:id="487788853">
      <w:marLeft w:val="0"/>
      <w:marRight w:val="0"/>
      <w:marTop w:val="0"/>
      <w:marBottom w:val="200"/>
      <w:divBdr>
        <w:top w:val="none" w:sz="0" w:space="0" w:color="auto"/>
        <w:left w:val="none" w:sz="0" w:space="0" w:color="auto"/>
        <w:bottom w:val="none" w:sz="0" w:space="0" w:color="auto"/>
        <w:right w:val="none" w:sz="0" w:space="0" w:color="auto"/>
      </w:divBdr>
    </w:div>
    <w:div w:id="508254252">
      <w:marLeft w:val="0"/>
      <w:marRight w:val="0"/>
      <w:marTop w:val="0"/>
      <w:marBottom w:val="0"/>
      <w:divBdr>
        <w:top w:val="none" w:sz="0" w:space="0" w:color="auto"/>
        <w:left w:val="none" w:sz="0" w:space="0" w:color="auto"/>
        <w:bottom w:val="none" w:sz="0" w:space="0" w:color="auto"/>
        <w:right w:val="none" w:sz="0" w:space="0" w:color="auto"/>
      </w:divBdr>
      <w:divsChild>
        <w:div w:id="719212700">
          <w:marLeft w:val="0"/>
          <w:marRight w:val="0"/>
          <w:marTop w:val="0"/>
          <w:marBottom w:val="0"/>
          <w:divBdr>
            <w:top w:val="none" w:sz="0" w:space="0" w:color="auto"/>
            <w:left w:val="none" w:sz="0" w:space="0" w:color="auto"/>
            <w:bottom w:val="none" w:sz="0" w:space="0" w:color="auto"/>
            <w:right w:val="none" w:sz="0" w:space="0" w:color="auto"/>
          </w:divBdr>
        </w:div>
      </w:divsChild>
    </w:div>
    <w:div w:id="509104226">
      <w:marLeft w:val="0"/>
      <w:marRight w:val="0"/>
      <w:marTop w:val="0"/>
      <w:marBottom w:val="200"/>
      <w:divBdr>
        <w:top w:val="none" w:sz="0" w:space="0" w:color="auto"/>
        <w:left w:val="none" w:sz="0" w:space="0" w:color="auto"/>
        <w:bottom w:val="none" w:sz="0" w:space="0" w:color="auto"/>
        <w:right w:val="none" w:sz="0" w:space="0" w:color="auto"/>
      </w:divBdr>
    </w:div>
    <w:div w:id="510414762">
      <w:marLeft w:val="0"/>
      <w:marRight w:val="0"/>
      <w:marTop w:val="0"/>
      <w:marBottom w:val="0"/>
      <w:divBdr>
        <w:top w:val="none" w:sz="0" w:space="0" w:color="auto"/>
        <w:left w:val="none" w:sz="0" w:space="0" w:color="auto"/>
        <w:bottom w:val="none" w:sz="0" w:space="0" w:color="auto"/>
        <w:right w:val="none" w:sz="0" w:space="0" w:color="auto"/>
      </w:divBdr>
    </w:div>
    <w:div w:id="522986633">
      <w:marLeft w:val="0"/>
      <w:marRight w:val="0"/>
      <w:marTop w:val="0"/>
      <w:marBottom w:val="0"/>
      <w:divBdr>
        <w:top w:val="none" w:sz="0" w:space="0" w:color="auto"/>
        <w:left w:val="none" w:sz="0" w:space="0" w:color="auto"/>
        <w:bottom w:val="none" w:sz="0" w:space="0" w:color="auto"/>
        <w:right w:val="none" w:sz="0" w:space="0" w:color="auto"/>
      </w:divBdr>
      <w:divsChild>
        <w:div w:id="861166899">
          <w:marLeft w:val="0"/>
          <w:marRight w:val="0"/>
          <w:marTop w:val="0"/>
          <w:marBottom w:val="0"/>
          <w:divBdr>
            <w:top w:val="none" w:sz="0" w:space="0" w:color="auto"/>
            <w:left w:val="none" w:sz="0" w:space="0" w:color="auto"/>
            <w:bottom w:val="none" w:sz="0" w:space="0" w:color="auto"/>
            <w:right w:val="none" w:sz="0" w:space="0" w:color="auto"/>
          </w:divBdr>
        </w:div>
      </w:divsChild>
    </w:div>
    <w:div w:id="523598718">
      <w:marLeft w:val="0"/>
      <w:marRight w:val="0"/>
      <w:marTop w:val="0"/>
      <w:marBottom w:val="200"/>
      <w:divBdr>
        <w:top w:val="none" w:sz="0" w:space="0" w:color="auto"/>
        <w:left w:val="none" w:sz="0" w:space="0" w:color="auto"/>
        <w:bottom w:val="none" w:sz="0" w:space="0" w:color="auto"/>
        <w:right w:val="none" w:sz="0" w:space="0" w:color="auto"/>
      </w:divBdr>
    </w:div>
    <w:div w:id="526916511">
      <w:marLeft w:val="0"/>
      <w:marRight w:val="0"/>
      <w:marTop w:val="0"/>
      <w:marBottom w:val="200"/>
      <w:divBdr>
        <w:top w:val="none" w:sz="0" w:space="0" w:color="auto"/>
        <w:left w:val="none" w:sz="0" w:space="0" w:color="auto"/>
        <w:bottom w:val="none" w:sz="0" w:space="0" w:color="auto"/>
        <w:right w:val="none" w:sz="0" w:space="0" w:color="auto"/>
      </w:divBdr>
    </w:div>
    <w:div w:id="527572111">
      <w:marLeft w:val="0"/>
      <w:marRight w:val="0"/>
      <w:marTop w:val="0"/>
      <w:marBottom w:val="0"/>
      <w:divBdr>
        <w:top w:val="none" w:sz="0" w:space="0" w:color="auto"/>
        <w:left w:val="none" w:sz="0" w:space="0" w:color="auto"/>
        <w:bottom w:val="none" w:sz="0" w:space="0" w:color="auto"/>
        <w:right w:val="none" w:sz="0" w:space="0" w:color="auto"/>
      </w:divBdr>
    </w:div>
    <w:div w:id="531697330">
      <w:marLeft w:val="0"/>
      <w:marRight w:val="0"/>
      <w:marTop w:val="0"/>
      <w:marBottom w:val="200"/>
      <w:divBdr>
        <w:top w:val="none" w:sz="0" w:space="0" w:color="auto"/>
        <w:left w:val="none" w:sz="0" w:space="0" w:color="auto"/>
        <w:bottom w:val="none" w:sz="0" w:space="0" w:color="auto"/>
        <w:right w:val="none" w:sz="0" w:space="0" w:color="auto"/>
      </w:divBdr>
    </w:div>
    <w:div w:id="532227499">
      <w:marLeft w:val="0"/>
      <w:marRight w:val="0"/>
      <w:marTop w:val="0"/>
      <w:marBottom w:val="0"/>
      <w:divBdr>
        <w:top w:val="none" w:sz="0" w:space="0" w:color="auto"/>
        <w:left w:val="none" w:sz="0" w:space="0" w:color="auto"/>
        <w:bottom w:val="none" w:sz="0" w:space="0" w:color="auto"/>
        <w:right w:val="none" w:sz="0" w:space="0" w:color="auto"/>
      </w:divBdr>
    </w:div>
    <w:div w:id="534465085">
      <w:marLeft w:val="0"/>
      <w:marRight w:val="0"/>
      <w:marTop w:val="0"/>
      <w:marBottom w:val="160"/>
      <w:divBdr>
        <w:top w:val="none" w:sz="0" w:space="0" w:color="auto"/>
        <w:left w:val="none" w:sz="0" w:space="0" w:color="auto"/>
        <w:bottom w:val="none" w:sz="0" w:space="0" w:color="auto"/>
        <w:right w:val="none" w:sz="0" w:space="0" w:color="auto"/>
      </w:divBdr>
    </w:div>
    <w:div w:id="537863778">
      <w:marLeft w:val="0"/>
      <w:marRight w:val="0"/>
      <w:marTop w:val="0"/>
      <w:marBottom w:val="0"/>
      <w:divBdr>
        <w:top w:val="none" w:sz="0" w:space="0" w:color="auto"/>
        <w:left w:val="none" w:sz="0" w:space="0" w:color="auto"/>
        <w:bottom w:val="none" w:sz="0" w:space="0" w:color="auto"/>
        <w:right w:val="none" w:sz="0" w:space="0" w:color="auto"/>
      </w:divBdr>
    </w:div>
    <w:div w:id="540096124">
      <w:marLeft w:val="0"/>
      <w:marRight w:val="0"/>
      <w:marTop w:val="0"/>
      <w:marBottom w:val="200"/>
      <w:divBdr>
        <w:top w:val="none" w:sz="0" w:space="0" w:color="auto"/>
        <w:left w:val="none" w:sz="0" w:space="0" w:color="auto"/>
        <w:bottom w:val="none" w:sz="0" w:space="0" w:color="auto"/>
        <w:right w:val="none" w:sz="0" w:space="0" w:color="auto"/>
      </w:divBdr>
    </w:div>
    <w:div w:id="541748432">
      <w:marLeft w:val="0"/>
      <w:marRight w:val="0"/>
      <w:marTop w:val="0"/>
      <w:marBottom w:val="0"/>
      <w:divBdr>
        <w:top w:val="none" w:sz="0" w:space="0" w:color="auto"/>
        <w:left w:val="none" w:sz="0" w:space="0" w:color="auto"/>
        <w:bottom w:val="none" w:sz="0" w:space="0" w:color="auto"/>
        <w:right w:val="none" w:sz="0" w:space="0" w:color="auto"/>
      </w:divBdr>
    </w:div>
    <w:div w:id="553543177">
      <w:marLeft w:val="0"/>
      <w:marRight w:val="0"/>
      <w:marTop w:val="0"/>
      <w:marBottom w:val="0"/>
      <w:divBdr>
        <w:top w:val="none" w:sz="0" w:space="0" w:color="auto"/>
        <w:left w:val="none" w:sz="0" w:space="0" w:color="auto"/>
        <w:bottom w:val="none" w:sz="0" w:space="0" w:color="auto"/>
        <w:right w:val="none" w:sz="0" w:space="0" w:color="auto"/>
      </w:divBdr>
    </w:div>
    <w:div w:id="553930121">
      <w:marLeft w:val="0"/>
      <w:marRight w:val="0"/>
      <w:marTop w:val="0"/>
      <w:marBottom w:val="0"/>
      <w:divBdr>
        <w:top w:val="none" w:sz="0" w:space="0" w:color="auto"/>
        <w:left w:val="none" w:sz="0" w:space="0" w:color="auto"/>
        <w:bottom w:val="none" w:sz="0" w:space="0" w:color="auto"/>
        <w:right w:val="none" w:sz="0" w:space="0" w:color="auto"/>
      </w:divBdr>
    </w:div>
    <w:div w:id="556283138">
      <w:marLeft w:val="0"/>
      <w:marRight w:val="0"/>
      <w:marTop w:val="0"/>
      <w:marBottom w:val="0"/>
      <w:divBdr>
        <w:top w:val="none" w:sz="0" w:space="0" w:color="auto"/>
        <w:left w:val="none" w:sz="0" w:space="0" w:color="auto"/>
        <w:bottom w:val="none" w:sz="0" w:space="0" w:color="auto"/>
        <w:right w:val="none" w:sz="0" w:space="0" w:color="auto"/>
      </w:divBdr>
    </w:div>
    <w:div w:id="566233730">
      <w:marLeft w:val="0"/>
      <w:marRight w:val="0"/>
      <w:marTop w:val="0"/>
      <w:marBottom w:val="200"/>
      <w:divBdr>
        <w:top w:val="none" w:sz="0" w:space="0" w:color="auto"/>
        <w:left w:val="none" w:sz="0" w:space="0" w:color="auto"/>
        <w:bottom w:val="none" w:sz="0" w:space="0" w:color="auto"/>
        <w:right w:val="none" w:sz="0" w:space="0" w:color="auto"/>
      </w:divBdr>
    </w:div>
    <w:div w:id="566840509">
      <w:marLeft w:val="0"/>
      <w:marRight w:val="0"/>
      <w:marTop w:val="0"/>
      <w:marBottom w:val="0"/>
      <w:divBdr>
        <w:top w:val="none" w:sz="0" w:space="0" w:color="auto"/>
        <w:left w:val="none" w:sz="0" w:space="0" w:color="auto"/>
        <w:bottom w:val="none" w:sz="0" w:space="0" w:color="auto"/>
        <w:right w:val="none" w:sz="0" w:space="0" w:color="auto"/>
      </w:divBdr>
    </w:div>
    <w:div w:id="567038498">
      <w:marLeft w:val="0"/>
      <w:marRight w:val="0"/>
      <w:marTop w:val="0"/>
      <w:marBottom w:val="0"/>
      <w:divBdr>
        <w:top w:val="none" w:sz="0" w:space="0" w:color="auto"/>
        <w:left w:val="none" w:sz="0" w:space="0" w:color="auto"/>
        <w:bottom w:val="none" w:sz="0" w:space="0" w:color="auto"/>
        <w:right w:val="none" w:sz="0" w:space="0" w:color="auto"/>
      </w:divBdr>
      <w:divsChild>
        <w:div w:id="511645184">
          <w:marLeft w:val="0"/>
          <w:marRight w:val="0"/>
          <w:marTop w:val="0"/>
          <w:marBottom w:val="0"/>
          <w:divBdr>
            <w:top w:val="none" w:sz="0" w:space="0" w:color="auto"/>
            <w:left w:val="none" w:sz="0" w:space="0" w:color="auto"/>
            <w:bottom w:val="none" w:sz="0" w:space="0" w:color="auto"/>
            <w:right w:val="none" w:sz="0" w:space="0" w:color="auto"/>
          </w:divBdr>
        </w:div>
        <w:div w:id="2072535595">
          <w:marLeft w:val="0"/>
          <w:marRight w:val="0"/>
          <w:marTop w:val="180"/>
          <w:marBottom w:val="0"/>
          <w:divBdr>
            <w:top w:val="none" w:sz="0" w:space="0" w:color="auto"/>
            <w:left w:val="none" w:sz="0" w:space="0" w:color="auto"/>
            <w:bottom w:val="none" w:sz="0" w:space="0" w:color="auto"/>
            <w:right w:val="none" w:sz="0" w:space="0" w:color="auto"/>
          </w:divBdr>
        </w:div>
      </w:divsChild>
    </w:div>
    <w:div w:id="572398731">
      <w:marLeft w:val="0"/>
      <w:marRight w:val="0"/>
      <w:marTop w:val="0"/>
      <w:marBottom w:val="200"/>
      <w:divBdr>
        <w:top w:val="none" w:sz="0" w:space="0" w:color="auto"/>
        <w:left w:val="none" w:sz="0" w:space="0" w:color="auto"/>
        <w:bottom w:val="none" w:sz="0" w:space="0" w:color="auto"/>
        <w:right w:val="none" w:sz="0" w:space="0" w:color="auto"/>
      </w:divBdr>
    </w:div>
    <w:div w:id="574053023">
      <w:marLeft w:val="0"/>
      <w:marRight w:val="0"/>
      <w:marTop w:val="0"/>
      <w:marBottom w:val="0"/>
      <w:divBdr>
        <w:top w:val="none" w:sz="0" w:space="0" w:color="auto"/>
        <w:left w:val="none" w:sz="0" w:space="0" w:color="auto"/>
        <w:bottom w:val="none" w:sz="0" w:space="0" w:color="auto"/>
        <w:right w:val="none" w:sz="0" w:space="0" w:color="auto"/>
      </w:divBdr>
    </w:div>
    <w:div w:id="584581778">
      <w:marLeft w:val="0"/>
      <w:marRight w:val="0"/>
      <w:marTop w:val="0"/>
      <w:marBottom w:val="0"/>
      <w:divBdr>
        <w:top w:val="none" w:sz="0" w:space="0" w:color="auto"/>
        <w:left w:val="none" w:sz="0" w:space="0" w:color="auto"/>
        <w:bottom w:val="none" w:sz="0" w:space="0" w:color="auto"/>
        <w:right w:val="none" w:sz="0" w:space="0" w:color="auto"/>
      </w:divBdr>
      <w:divsChild>
        <w:div w:id="1212111519">
          <w:marLeft w:val="0"/>
          <w:marRight w:val="0"/>
          <w:marTop w:val="0"/>
          <w:marBottom w:val="0"/>
          <w:divBdr>
            <w:top w:val="none" w:sz="0" w:space="0" w:color="auto"/>
            <w:left w:val="none" w:sz="0" w:space="0" w:color="auto"/>
            <w:bottom w:val="none" w:sz="0" w:space="0" w:color="auto"/>
            <w:right w:val="none" w:sz="0" w:space="0" w:color="auto"/>
          </w:divBdr>
        </w:div>
        <w:div w:id="571499881">
          <w:marLeft w:val="0"/>
          <w:marRight w:val="0"/>
          <w:marTop w:val="0"/>
          <w:marBottom w:val="0"/>
          <w:divBdr>
            <w:top w:val="none" w:sz="0" w:space="0" w:color="auto"/>
            <w:left w:val="none" w:sz="0" w:space="0" w:color="auto"/>
            <w:bottom w:val="none" w:sz="0" w:space="0" w:color="auto"/>
            <w:right w:val="none" w:sz="0" w:space="0" w:color="auto"/>
          </w:divBdr>
        </w:div>
      </w:divsChild>
    </w:div>
    <w:div w:id="604925533">
      <w:marLeft w:val="0"/>
      <w:marRight w:val="0"/>
      <w:marTop w:val="0"/>
      <w:marBottom w:val="200"/>
      <w:divBdr>
        <w:top w:val="none" w:sz="0" w:space="0" w:color="auto"/>
        <w:left w:val="none" w:sz="0" w:space="0" w:color="auto"/>
        <w:bottom w:val="none" w:sz="0" w:space="0" w:color="auto"/>
        <w:right w:val="none" w:sz="0" w:space="0" w:color="auto"/>
      </w:divBdr>
    </w:div>
    <w:div w:id="608699967">
      <w:marLeft w:val="0"/>
      <w:marRight w:val="0"/>
      <w:marTop w:val="0"/>
      <w:marBottom w:val="0"/>
      <w:divBdr>
        <w:top w:val="none" w:sz="0" w:space="0" w:color="auto"/>
        <w:left w:val="none" w:sz="0" w:space="0" w:color="auto"/>
        <w:bottom w:val="none" w:sz="0" w:space="0" w:color="auto"/>
        <w:right w:val="none" w:sz="0" w:space="0" w:color="auto"/>
      </w:divBdr>
      <w:divsChild>
        <w:div w:id="167673653">
          <w:marLeft w:val="0"/>
          <w:marRight w:val="0"/>
          <w:marTop w:val="0"/>
          <w:marBottom w:val="0"/>
          <w:divBdr>
            <w:top w:val="none" w:sz="0" w:space="0" w:color="auto"/>
            <w:left w:val="none" w:sz="0" w:space="0" w:color="auto"/>
            <w:bottom w:val="none" w:sz="0" w:space="0" w:color="auto"/>
            <w:right w:val="none" w:sz="0" w:space="0" w:color="auto"/>
          </w:divBdr>
        </w:div>
        <w:div w:id="1260257785">
          <w:marLeft w:val="0"/>
          <w:marRight w:val="0"/>
          <w:marTop w:val="180"/>
          <w:marBottom w:val="0"/>
          <w:divBdr>
            <w:top w:val="none" w:sz="0" w:space="0" w:color="auto"/>
            <w:left w:val="none" w:sz="0" w:space="0" w:color="auto"/>
            <w:bottom w:val="none" w:sz="0" w:space="0" w:color="auto"/>
            <w:right w:val="none" w:sz="0" w:space="0" w:color="auto"/>
          </w:divBdr>
        </w:div>
      </w:divsChild>
    </w:div>
    <w:div w:id="609820755">
      <w:marLeft w:val="0"/>
      <w:marRight w:val="0"/>
      <w:marTop w:val="0"/>
      <w:marBottom w:val="200"/>
      <w:divBdr>
        <w:top w:val="none" w:sz="0" w:space="0" w:color="auto"/>
        <w:left w:val="none" w:sz="0" w:space="0" w:color="auto"/>
        <w:bottom w:val="none" w:sz="0" w:space="0" w:color="auto"/>
        <w:right w:val="none" w:sz="0" w:space="0" w:color="auto"/>
      </w:divBdr>
    </w:div>
    <w:div w:id="611784580">
      <w:marLeft w:val="0"/>
      <w:marRight w:val="0"/>
      <w:marTop w:val="0"/>
      <w:marBottom w:val="0"/>
      <w:divBdr>
        <w:top w:val="none" w:sz="0" w:space="0" w:color="auto"/>
        <w:left w:val="none" w:sz="0" w:space="0" w:color="auto"/>
        <w:bottom w:val="none" w:sz="0" w:space="0" w:color="auto"/>
        <w:right w:val="none" w:sz="0" w:space="0" w:color="auto"/>
      </w:divBdr>
      <w:divsChild>
        <w:div w:id="1804229476">
          <w:marLeft w:val="0"/>
          <w:marRight w:val="0"/>
          <w:marTop w:val="0"/>
          <w:marBottom w:val="0"/>
          <w:divBdr>
            <w:top w:val="none" w:sz="0" w:space="0" w:color="auto"/>
            <w:left w:val="none" w:sz="0" w:space="0" w:color="auto"/>
            <w:bottom w:val="none" w:sz="0" w:space="0" w:color="auto"/>
            <w:right w:val="none" w:sz="0" w:space="0" w:color="auto"/>
          </w:divBdr>
        </w:div>
      </w:divsChild>
    </w:div>
    <w:div w:id="614941583">
      <w:marLeft w:val="0"/>
      <w:marRight w:val="0"/>
      <w:marTop w:val="0"/>
      <w:marBottom w:val="0"/>
      <w:divBdr>
        <w:top w:val="none" w:sz="0" w:space="0" w:color="auto"/>
        <w:left w:val="none" w:sz="0" w:space="0" w:color="auto"/>
        <w:bottom w:val="none" w:sz="0" w:space="0" w:color="auto"/>
        <w:right w:val="none" w:sz="0" w:space="0" w:color="auto"/>
      </w:divBdr>
      <w:divsChild>
        <w:div w:id="219368351">
          <w:marLeft w:val="0"/>
          <w:marRight w:val="0"/>
          <w:marTop w:val="0"/>
          <w:marBottom w:val="0"/>
          <w:divBdr>
            <w:top w:val="none" w:sz="0" w:space="0" w:color="auto"/>
            <w:left w:val="none" w:sz="0" w:space="0" w:color="auto"/>
            <w:bottom w:val="none" w:sz="0" w:space="0" w:color="auto"/>
            <w:right w:val="none" w:sz="0" w:space="0" w:color="auto"/>
          </w:divBdr>
        </w:div>
      </w:divsChild>
    </w:div>
    <w:div w:id="615521342">
      <w:marLeft w:val="0"/>
      <w:marRight w:val="0"/>
      <w:marTop w:val="0"/>
      <w:marBottom w:val="0"/>
      <w:divBdr>
        <w:top w:val="none" w:sz="0" w:space="0" w:color="auto"/>
        <w:left w:val="none" w:sz="0" w:space="0" w:color="auto"/>
        <w:bottom w:val="none" w:sz="0" w:space="0" w:color="auto"/>
        <w:right w:val="none" w:sz="0" w:space="0" w:color="auto"/>
      </w:divBdr>
      <w:divsChild>
        <w:div w:id="849829615">
          <w:marLeft w:val="0"/>
          <w:marRight w:val="0"/>
          <w:marTop w:val="0"/>
          <w:marBottom w:val="0"/>
          <w:divBdr>
            <w:top w:val="none" w:sz="0" w:space="0" w:color="auto"/>
            <w:left w:val="none" w:sz="0" w:space="0" w:color="auto"/>
            <w:bottom w:val="none" w:sz="0" w:space="0" w:color="auto"/>
            <w:right w:val="none" w:sz="0" w:space="0" w:color="auto"/>
          </w:divBdr>
        </w:div>
      </w:divsChild>
    </w:div>
    <w:div w:id="616254449">
      <w:marLeft w:val="0"/>
      <w:marRight w:val="0"/>
      <w:marTop w:val="0"/>
      <w:marBottom w:val="200"/>
      <w:divBdr>
        <w:top w:val="none" w:sz="0" w:space="0" w:color="auto"/>
        <w:left w:val="none" w:sz="0" w:space="0" w:color="auto"/>
        <w:bottom w:val="none" w:sz="0" w:space="0" w:color="auto"/>
        <w:right w:val="none" w:sz="0" w:space="0" w:color="auto"/>
      </w:divBdr>
    </w:div>
    <w:div w:id="620310756">
      <w:marLeft w:val="0"/>
      <w:marRight w:val="0"/>
      <w:marTop w:val="0"/>
      <w:marBottom w:val="0"/>
      <w:divBdr>
        <w:top w:val="none" w:sz="0" w:space="0" w:color="auto"/>
        <w:left w:val="none" w:sz="0" w:space="0" w:color="auto"/>
        <w:bottom w:val="none" w:sz="0" w:space="0" w:color="auto"/>
        <w:right w:val="none" w:sz="0" w:space="0" w:color="auto"/>
      </w:divBdr>
      <w:divsChild>
        <w:div w:id="1608581791">
          <w:marLeft w:val="0"/>
          <w:marRight w:val="0"/>
          <w:marTop w:val="0"/>
          <w:marBottom w:val="0"/>
          <w:divBdr>
            <w:top w:val="none" w:sz="0" w:space="0" w:color="auto"/>
            <w:left w:val="none" w:sz="0" w:space="0" w:color="auto"/>
            <w:bottom w:val="none" w:sz="0" w:space="0" w:color="auto"/>
            <w:right w:val="none" w:sz="0" w:space="0" w:color="auto"/>
          </w:divBdr>
        </w:div>
      </w:divsChild>
    </w:div>
    <w:div w:id="632978426">
      <w:marLeft w:val="0"/>
      <w:marRight w:val="0"/>
      <w:marTop w:val="100"/>
      <w:marBottom w:val="0"/>
      <w:divBdr>
        <w:top w:val="none" w:sz="0" w:space="0" w:color="auto"/>
        <w:left w:val="none" w:sz="0" w:space="0" w:color="auto"/>
        <w:bottom w:val="none" w:sz="0" w:space="0" w:color="auto"/>
        <w:right w:val="none" w:sz="0" w:space="0" w:color="auto"/>
      </w:divBdr>
    </w:div>
    <w:div w:id="642853052">
      <w:marLeft w:val="0"/>
      <w:marRight w:val="0"/>
      <w:marTop w:val="200"/>
      <w:marBottom w:val="0"/>
      <w:divBdr>
        <w:top w:val="none" w:sz="0" w:space="0" w:color="auto"/>
        <w:left w:val="none" w:sz="0" w:space="0" w:color="auto"/>
        <w:bottom w:val="none" w:sz="0" w:space="0" w:color="auto"/>
        <w:right w:val="none" w:sz="0" w:space="0" w:color="auto"/>
      </w:divBdr>
    </w:div>
    <w:div w:id="646013745">
      <w:marLeft w:val="0"/>
      <w:marRight w:val="0"/>
      <w:marTop w:val="0"/>
      <w:marBottom w:val="0"/>
      <w:divBdr>
        <w:top w:val="none" w:sz="0" w:space="0" w:color="auto"/>
        <w:left w:val="none" w:sz="0" w:space="0" w:color="auto"/>
        <w:bottom w:val="none" w:sz="0" w:space="0" w:color="auto"/>
        <w:right w:val="none" w:sz="0" w:space="0" w:color="auto"/>
      </w:divBdr>
      <w:divsChild>
        <w:div w:id="1905867564">
          <w:marLeft w:val="0"/>
          <w:marRight w:val="0"/>
          <w:marTop w:val="0"/>
          <w:marBottom w:val="0"/>
          <w:divBdr>
            <w:top w:val="none" w:sz="0" w:space="0" w:color="auto"/>
            <w:left w:val="none" w:sz="0" w:space="0" w:color="auto"/>
            <w:bottom w:val="none" w:sz="0" w:space="0" w:color="auto"/>
            <w:right w:val="none" w:sz="0" w:space="0" w:color="auto"/>
          </w:divBdr>
        </w:div>
      </w:divsChild>
    </w:div>
    <w:div w:id="646976180">
      <w:marLeft w:val="0"/>
      <w:marRight w:val="0"/>
      <w:marTop w:val="0"/>
      <w:marBottom w:val="200"/>
      <w:divBdr>
        <w:top w:val="none" w:sz="0" w:space="0" w:color="auto"/>
        <w:left w:val="none" w:sz="0" w:space="0" w:color="auto"/>
        <w:bottom w:val="none" w:sz="0" w:space="0" w:color="auto"/>
        <w:right w:val="none" w:sz="0" w:space="0" w:color="auto"/>
      </w:divBdr>
    </w:div>
    <w:div w:id="650715213">
      <w:marLeft w:val="0"/>
      <w:marRight w:val="0"/>
      <w:marTop w:val="0"/>
      <w:marBottom w:val="160"/>
      <w:divBdr>
        <w:top w:val="none" w:sz="0" w:space="0" w:color="auto"/>
        <w:left w:val="none" w:sz="0" w:space="0" w:color="auto"/>
        <w:bottom w:val="none" w:sz="0" w:space="0" w:color="auto"/>
        <w:right w:val="none" w:sz="0" w:space="0" w:color="auto"/>
      </w:divBdr>
    </w:div>
    <w:div w:id="655959624">
      <w:marLeft w:val="0"/>
      <w:marRight w:val="0"/>
      <w:marTop w:val="0"/>
      <w:marBottom w:val="0"/>
      <w:divBdr>
        <w:top w:val="none" w:sz="0" w:space="0" w:color="auto"/>
        <w:left w:val="none" w:sz="0" w:space="0" w:color="auto"/>
        <w:bottom w:val="none" w:sz="0" w:space="0" w:color="auto"/>
        <w:right w:val="none" w:sz="0" w:space="0" w:color="auto"/>
      </w:divBdr>
      <w:divsChild>
        <w:div w:id="416949385">
          <w:marLeft w:val="0"/>
          <w:marRight w:val="0"/>
          <w:marTop w:val="0"/>
          <w:marBottom w:val="0"/>
          <w:divBdr>
            <w:top w:val="none" w:sz="0" w:space="0" w:color="auto"/>
            <w:left w:val="none" w:sz="0" w:space="0" w:color="auto"/>
            <w:bottom w:val="none" w:sz="0" w:space="0" w:color="auto"/>
            <w:right w:val="none" w:sz="0" w:space="0" w:color="auto"/>
          </w:divBdr>
        </w:div>
      </w:divsChild>
    </w:div>
    <w:div w:id="668756393">
      <w:marLeft w:val="0"/>
      <w:marRight w:val="0"/>
      <w:marTop w:val="0"/>
      <w:marBottom w:val="0"/>
      <w:divBdr>
        <w:top w:val="none" w:sz="0" w:space="0" w:color="auto"/>
        <w:left w:val="none" w:sz="0" w:space="0" w:color="auto"/>
        <w:bottom w:val="none" w:sz="0" w:space="0" w:color="auto"/>
        <w:right w:val="none" w:sz="0" w:space="0" w:color="auto"/>
      </w:divBdr>
      <w:divsChild>
        <w:div w:id="1765301562">
          <w:marLeft w:val="0"/>
          <w:marRight w:val="0"/>
          <w:marTop w:val="0"/>
          <w:marBottom w:val="0"/>
          <w:divBdr>
            <w:top w:val="none" w:sz="0" w:space="0" w:color="auto"/>
            <w:left w:val="none" w:sz="0" w:space="0" w:color="auto"/>
            <w:bottom w:val="none" w:sz="0" w:space="0" w:color="auto"/>
            <w:right w:val="none" w:sz="0" w:space="0" w:color="auto"/>
          </w:divBdr>
        </w:div>
      </w:divsChild>
    </w:div>
    <w:div w:id="671178608">
      <w:marLeft w:val="0"/>
      <w:marRight w:val="0"/>
      <w:marTop w:val="0"/>
      <w:marBottom w:val="0"/>
      <w:divBdr>
        <w:top w:val="none" w:sz="0" w:space="0" w:color="auto"/>
        <w:left w:val="none" w:sz="0" w:space="0" w:color="auto"/>
        <w:bottom w:val="none" w:sz="0" w:space="0" w:color="auto"/>
        <w:right w:val="none" w:sz="0" w:space="0" w:color="auto"/>
      </w:divBdr>
      <w:divsChild>
        <w:div w:id="934436384">
          <w:marLeft w:val="0"/>
          <w:marRight w:val="0"/>
          <w:marTop w:val="0"/>
          <w:marBottom w:val="0"/>
          <w:divBdr>
            <w:top w:val="none" w:sz="0" w:space="0" w:color="auto"/>
            <w:left w:val="none" w:sz="0" w:space="0" w:color="auto"/>
            <w:bottom w:val="none" w:sz="0" w:space="0" w:color="auto"/>
            <w:right w:val="none" w:sz="0" w:space="0" w:color="auto"/>
          </w:divBdr>
        </w:div>
      </w:divsChild>
    </w:div>
    <w:div w:id="674066234">
      <w:marLeft w:val="0"/>
      <w:marRight w:val="0"/>
      <w:marTop w:val="0"/>
      <w:marBottom w:val="0"/>
      <w:divBdr>
        <w:top w:val="none" w:sz="0" w:space="0" w:color="auto"/>
        <w:left w:val="none" w:sz="0" w:space="0" w:color="auto"/>
        <w:bottom w:val="none" w:sz="0" w:space="0" w:color="auto"/>
        <w:right w:val="none" w:sz="0" w:space="0" w:color="auto"/>
      </w:divBdr>
      <w:divsChild>
        <w:div w:id="918910265">
          <w:marLeft w:val="0"/>
          <w:marRight w:val="0"/>
          <w:marTop w:val="0"/>
          <w:marBottom w:val="0"/>
          <w:divBdr>
            <w:top w:val="none" w:sz="0" w:space="0" w:color="auto"/>
            <w:left w:val="none" w:sz="0" w:space="0" w:color="auto"/>
            <w:bottom w:val="none" w:sz="0" w:space="0" w:color="auto"/>
            <w:right w:val="none" w:sz="0" w:space="0" w:color="auto"/>
          </w:divBdr>
        </w:div>
      </w:divsChild>
    </w:div>
    <w:div w:id="681129819">
      <w:marLeft w:val="0"/>
      <w:marRight w:val="0"/>
      <w:marTop w:val="100"/>
      <w:marBottom w:val="0"/>
      <w:divBdr>
        <w:top w:val="none" w:sz="0" w:space="0" w:color="auto"/>
        <w:left w:val="none" w:sz="0" w:space="0" w:color="auto"/>
        <w:bottom w:val="none" w:sz="0" w:space="0" w:color="auto"/>
        <w:right w:val="none" w:sz="0" w:space="0" w:color="auto"/>
      </w:divBdr>
    </w:div>
    <w:div w:id="692417503">
      <w:marLeft w:val="0"/>
      <w:marRight w:val="0"/>
      <w:marTop w:val="0"/>
      <w:marBottom w:val="0"/>
      <w:divBdr>
        <w:top w:val="none" w:sz="0" w:space="0" w:color="auto"/>
        <w:left w:val="none" w:sz="0" w:space="0" w:color="auto"/>
        <w:bottom w:val="none" w:sz="0" w:space="0" w:color="auto"/>
        <w:right w:val="none" w:sz="0" w:space="0" w:color="auto"/>
      </w:divBdr>
      <w:divsChild>
        <w:div w:id="1523006459">
          <w:marLeft w:val="0"/>
          <w:marRight w:val="0"/>
          <w:marTop w:val="0"/>
          <w:marBottom w:val="0"/>
          <w:divBdr>
            <w:top w:val="none" w:sz="0" w:space="0" w:color="auto"/>
            <w:left w:val="none" w:sz="0" w:space="0" w:color="auto"/>
            <w:bottom w:val="none" w:sz="0" w:space="0" w:color="auto"/>
            <w:right w:val="none" w:sz="0" w:space="0" w:color="auto"/>
          </w:divBdr>
        </w:div>
      </w:divsChild>
    </w:div>
    <w:div w:id="692538467">
      <w:marLeft w:val="0"/>
      <w:marRight w:val="0"/>
      <w:marTop w:val="360"/>
      <w:marBottom w:val="0"/>
      <w:divBdr>
        <w:top w:val="none" w:sz="0" w:space="0" w:color="auto"/>
        <w:left w:val="none" w:sz="0" w:space="0" w:color="auto"/>
        <w:bottom w:val="none" w:sz="0" w:space="0" w:color="auto"/>
        <w:right w:val="none" w:sz="0" w:space="0" w:color="auto"/>
      </w:divBdr>
    </w:div>
    <w:div w:id="693000247">
      <w:marLeft w:val="0"/>
      <w:marRight w:val="0"/>
      <w:marTop w:val="0"/>
      <w:marBottom w:val="200"/>
      <w:divBdr>
        <w:top w:val="none" w:sz="0" w:space="0" w:color="auto"/>
        <w:left w:val="none" w:sz="0" w:space="0" w:color="auto"/>
        <w:bottom w:val="none" w:sz="0" w:space="0" w:color="auto"/>
        <w:right w:val="none" w:sz="0" w:space="0" w:color="auto"/>
      </w:divBdr>
    </w:div>
    <w:div w:id="695470055">
      <w:marLeft w:val="0"/>
      <w:marRight w:val="0"/>
      <w:marTop w:val="100"/>
      <w:marBottom w:val="0"/>
      <w:divBdr>
        <w:top w:val="none" w:sz="0" w:space="0" w:color="auto"/>
        <w:left w:val="none" w:sz="0" w:space="0" w:color="auto"/>
        <w:bottom w:val="none" w:sz="0" w:space="0" w:color="auto"/>
        <w:right w:val="none" w:sz="0" w:space="0" w:color="auto"/>
      </w:divBdr>
    </w:div>
    <w:div w:id="700671900">
      <w:marLeft w:val="0"/>
      <w:marRight w:val="0"/>
      <w:marTop w:val="0"/>
      <w:marBottom w:val="0"/>
      <w:divBdr>
        <w:top w:val="none" w:sz="0" w:space="0" w:color="auto"/>
        <w:left w:val="none" w:sz="0" w:space="0" w:color="auto"/>
        <w:bottom w:val="none" w:sz="0" w:space="0" w:color="auto"/>
        <w:right w:val="none" w:sz="0" w:space="0" w:color="auto"/>
      </w:divBdr>
      <w:divsChild>
        <w:div w:id="1059088692">
          <w:marLeft w:val="0"/>
          <w:marRight w:val="0"/>
          <w:marTop w:val="0"/>
          <w:marBottom w:val="0"/>
          <w:divBdr>
            <w:top w:val="none" w:sz="0" w:space="0" w:color="auto"/>
            <w:left w:val="none" w:sz="0" w:space="0" w:color="auto"/>
            <w:bottom w:val="none" w:sz="0" w:space="0" w:color="auto"/>
            <w:right w:val="none" w:sz="0" w:space="0" w:color="auto"/>
          </w:divBdr>
        </w:div>
      </w:divsChild>
    </w:div>
    <w:div w:id="702360338">
      <w:marLeft w:val="0"/>
      <w:marRight w:val="0"/>
      <w:marTop w:val="0"/>
      <w:marBottom w:val="0"/>
      <w:divBdr>
        <w:top w:val="none" w:sz="0" w:space="0" w:color="auto"/>
        <w:left w:val="none" w:sz="0" w:space="0" w:color="auto"/>
        <w:bottom w:val="none" w:sz="0" w:space="0" w:color="auto"/>
        <w:right w:val="none" w:sz="0" w:space="0" w:color="auto"/>
      </w:divBdr>
      <w:divsChild>
        <w:div w:id="196966803">
          <w:marLeft w:val="0"/>
          <w:marRight w:val="0"/>
          <w:marTop w:val="0"/>
          <w:marBottom w:val="0"/>
          <w:divBdr>
            <w:top w:val="none" w:sz="0" w:space="0" w:color="auto"/>
            <w:left w:val="none" w:sz="0" w:space="0" w:color="auto"/>
            <w:bottom w:val="none" w:sz="0" w:space="0" w:color="auto"/>
            <w:right w:val="none" w:sz="0" w:space="0" w:color="auto"/>
          </w:divBdr>
        </w:div>
      </w:divsChild>
    </w:div>
    <w:div w:id="713430152">
      <w:marLeft w:val="0"/>
      <w:marRight w:val="0"/>
      <w:marTop w:val="0"/>
      <w:marBottom w:val="0"/>
      <w:divBdr>
        <w:top w:val="none" w:sz="0" w:space="0" w:color="auto"/>
        <w:left w:val="none" w:sz="0" w:space="0" w:color="auto"/>
        <w:bottom w:val="none" w:sz="0" w:space="0" w:color="auto"/>
        <w:right w:val="none" w:sz="0" w:space="0" w:color="auto"/>
      </w:divBdr>
      <w:divsChild>
        <w:div w:id="1702825176">
          <w:marLeft w:val="0"/>
          <w:marRight w:val="0"/>
          <w:marTop w:val="0"/>
          <w:marBottom w:val="0"/>
          <w:divBdr>
            <w:top w:val="none" w:sz="0" w:space="0" w:color="auto"/>
            <w:left w:val="none" w:sz="0" w:space="0" w:color="auto"/>
            <w:bottom w:val="none" w:sz="0" w:space="0" w:color="auto"/>
            <w:right w:val="none" w:sz="0" w:space="0" w:color="auto"/>
          </w:divBdr>
        </w:div>
        <w:div w:id="877740481">
          <w:marLeft w:val="0"/>
          <w:marRight w:val="0"/>
          <w:marTop w:val="180"/>
          <w:marBottom w:val="0"/>
          <w:divBdr>
            <w:top w:val="none" w:sz="0" w:space="0" w:color="auto"/>
            <w:left w:val="none" w:sz="0" w:space="0" w:color="auto"/>
            <w:bottom w:val="none" w:sz="0" w:space="0" w:color="auto"/>
            <w:right w:val="none" w:sz="0" w:space="0" w:color="auto"/>
          </w:divBdr>
        </w:div>
      </w:divsChild>
    </w:div>
    <w:div w:id="717777058">
      <w:marLeft w:val="0"/>
      <w:marRight w:val="0"/>
      <w:marTop w:val="0"/>
      <w:marBottom w:val="0"/>
      <w:divBdr>
        <w:top w:val="none" w:sz="0" w:space="0" w:color="auto"/>
        <w:left w:val="none" w:sz="0" w:space="0" w:color="auto"/>
        <w:bottom w:val="none" w:sz="0" w:space="0" w:color="auto"/>
        <w:right w:val="none" w:sz="0" w:space="0" w:color="auto"/>
      </w:divBdr>
    </w:div>
    <w:div w:id="717970991">
      <w:marLeft w:val="0"/>
      <w:marRight w:val="0"/>
      <w:marTop w:val="0"/>
      <w:marBottom w:val="0"/>
      <w:divBdr>
        <w:top w:val="none" w:sz="0" w:space="0" w:color="auto"/>
        <w:left w:val="none" w:sz="0" w:space="0" w:color="auto"/>
        <w:bottom w:val="none" w:sz="0" w:space="0" w:color="auto"/>
        <w:right w:val="none" w:sz="0" w:space="0" w:color="auto"/>
      </w:divBdr>
      <w:divsChild>
        <w:div w:id="846408443">
          <w:marLeft w:val="0"/>
          <w:marRight w:val="0"/>
          <w:marTop w:val="0"/>
          <w:marBottom w:val="0"/>
          <w:divBdr>
            <w:top w:val="none" w:sz="0" w:space="0" w:color="auto"/>
            <w:left w:val="none" w:sz="0" w:space="0" w:color="auto"/>
            <w:bottom w:val="none" w:sz="0" w:space="0" w:color="auto"/>
            <w:right w:val="none" w:sz="0" w:space="0" w:color="auto"/>
          </w:divBdr>
        </w:div>
        <w:div w:id="1692098961">
          <w:marLeft w:val="0"/>
          <w:marRight w:val="0"/>
          <w:marTop w:val="180"/>
          <w:marBottom w:val="0"/>
          <w:divBdr>
            <w:top w:val="none" w:sz="0" w:space="0" w:color="auto"/>
            <w:left w:val="none" w:sz="0" w:space="0" w:color="auto"/>
            <w:bottom w:val="none" w:sz="0" w:space="0" w:color="auto"/>
            <w:right w:val="none" w:sz="0" w:space="0" w:color="auto"/>
          </w:divBdr>
        </w:div>
      </w:divsChild>
    </w:div>
    <w:div w:id="720399500">
      <w:marLeft w:val="0"/>
      <w:marRight w:val="0"/>
      <w:marTop w:val="0"/>
      <w:marBottom w:val="0"/>
      <w:divBdr>
        <w:top w:val="none" w:sz="0" w:space="0" w:color="auto"/>
        <w:left w:val="none" w:sz="0" w:space="0" w:color="auto"/>
        <w:bottom w:val="none" w:sz="0" w:space="0" w:color="auto"/>
        <w:right w:val="none" w:sz="0" w:space="0" w:color="auto"/>
      </w:divBdr>
    </w:div>
    <w:div w:id="725833765">
      <w:marLeft w:val="0"/>
      <w:marRight w:val="0"/>
      <w:marTop w:val="0"/>
      <w:marBottom w:val="0"/>
      <w:divBdr>
        <w:top w:val="none" w:sz="0" w:space="0" w:color="auto"/>
        <w:left w:val="none" w:sz="0" w:space="0" w:color="auto"/>
        <w:bottom w:val="none" w:sz="0" w:space="0" w:color="auto"/>
        <w:right w:val="none" w:sz="0" w:space="0" w:color="auto"/>
      </w:divBdr>
      <w:divsChild>
        <w:div w:id="2060668678">
          <w:marLeft w:val="0"/>
          <w:marRight w:val="0"/>
          <w:marTop w:val="0"/>
          <w:marBottom w:val="0"/>
          <w:divBdr>
            <w:top w:val="none" w:sz="0" w:space="0" w:color="auto"/>
            <w:left w:val="none" w:sz="0" w:space="0" w:color="auto"/>
            <w:bottom w:val="none" w:sz="0" w:space="0" w:color="auto"/>
            <w:right w:val="none" w:sz="0" w:space="0" w:color="auto"/>
          </w:divBdr>
        </w:div>
        <w:div w:id="1001197036">
          <w:marLeft w:val="0"/>
          <w:marRight w:val="0"/>
          <w:marTop w:val="180"/>
          <w:marBottom w:val="0"/>
          <w:divBdr>
            <w:top w:val="none" w:sz="0" w:space="0" w:color="auto"/>
            <w:left w:val="none" w:sz="0" w:space="0" w:color="auto"/>
            <w:bottom w:val="none" w:sz="0" w:space="0" w:color="auto"/>
            <w:right w:val="none" w:sz="0" w:space="0" w:color="auto"/>
          </w:divBdr>
        </w:div>
      </w:divsChild>
    </w:div>
    <w:div w:id="735592698">
      <w:marLeft w:val="0"/>
      <w:marRight w:val="0"/>
      <w:marTop w:val="200"/>
      <w:marBottom w:val="0"/>
      <w:divBdr>
        <w:top w:val="none" w:sz="0" w:space="0" w:color="auto"/>
        <w:left w:val="none" w:sz="0" w:space="0" w:color="auto"/>
        <w:bottom w:val="none" w:sz="0" w:space="0" w:color="auto"/>
        <w:right w:val="none" w:sz="0" w:space="0" w:color="auto"/>
      </w:divBdr>
    </w:div>
    <w:div w:id="740323689">
      <w:marLeft w:val="0"/>
      <w:marRight w:val="0"/>
      <w:marTop w:val="0"/>
      <w:marBottom w:val="160"/>
      <w:divBdr>
        <w:top w:val="none" w:sz="0" w:space="0" w:color="auto"/>
        <w:left w:val="none" w:sz="0" w:space="0" w:color="auto"/>
        <w:bottom w:val="none" w:sz="0" w:space="0" w:color="auto"/>
        <w:right w:val="none" w:sz="0" w:space="0" w:color="auto"/>
      </w:divBdr>
    </w:div>
    <w:div w:id="742680247">
      <w:marLeft w:val="0"/>
      <w:marRight w:val="0"/>
      <w:marTop w:val="0"/>
      <w:marBottom w:val="200"/>
      <w:divBdr>
        <w:top w:val="none" w:sz="0" w:space="0" w:color="auto"/>
        <w:left w:val="none" w:sz="0" w:space="0" w:color="auto"/>
        <w:bottom w:val="none" w:sz="0" w:space="0" w:color="auto"/>
        <w:right w:val="none" w:sz="0" w:space="0" w:color="auto"/>
      </w:divBdr>
    </w:div>
    <w:div w:id="755133238">
      <w:marLeft w:val="0"/>
      <w:marRight w:val="0"/>
      <w:marTop w:val="0"/>
      <w:marBottom w:val="200"/>
      <w:divBdr>
        <w:top w:val="none" w:sz="0" w:space="0" w:color="auto"/>
        <w:left w:val="none" w:sz="0" w:space="0" w:color="auto"/>
        <w:bottom w:val="none" w:sz="0" w:space="0" w:color="auto"/>
        <w:right w:val="none" w:sz="0" w:space="0" w:color="auto"/>
      </w:divBdr>
    </w:div>
    <w:div w:id="755633104">
      <w:marLeft w:val="0"/>
      <w:marRight w:val="0"/>
      <w:marTop w:val="0"/>
      <w:marBottom w:val="200"/>
      <w:divBdr>
        <w:top w:val="none" w:sz="0" w:space="0" w:color="auto"/>
        <w:left w:val="none" w:sz="0" w:space="0" w:color="auto"/>
        <w:bottom w:val="none" w:sz="0" w:space="0" w:color="auto"/>
        <w:right w:val="none" w:sz="0" w:space="0" w:color="auto"/>
      </w:divBdr>
    </w:div>
    <w:div w:id="763888819">
      <w:marLeft w:val="0"/>
      <w:marRight w:val="0"/>
      <w:marTop w:val="0"/>
      <w:marBottom w:val="160"/>
      <w:divBdr>
        <w:top w:val="none" w:sz="0" w:space="0" w:color="auto"/>
        <w:left w:val="none" w:sz="0" w:space="0" w:color="auto"/>
        <w:bottom w:val="none" w:sz="0" w:space="0" w:color="auto"/>
        <w:right w:val="none" w:sz="0" w:space="0" w:color="auto"/>
      </w:divBdr>
    </w:div>
    <w:div w:id="764807522">
      <w:marLeft w:val="0"/>
      <w:marRight w:val="0"/>
      <w:marTop w:val="0"/>
      <w:marBottom w:val="0"/>
      <w:divBdr>
        <w:top w:val="none" w:sz="0" w:space="0" w:color="auto"/>
        <w:left w:val="none" w:sz="0" w:space="0" w:color="auto"/>
        <w:bottom w:val="none" w:sz="0" w:space="0" w:color="auto"/>
        <w:right w:val="none" w:sz="0" w:space="0" w:color="auto"/>
      </w:divBdr>
      <w:divsChild>
        <w:div w:id="2113893572">
          <w:marLeft w:val="0"/>
          <w:marRight w:val="0"/>
          <w:marTop w:val="0"/>
          <w:marBottom w:val="0"/>
          <w:divBdr>
            <w:top w:val="none" w:sz="0" w:space="0" w:color="auto"/>
            <w:left w:val="none" w:sz="0" w:space="0" w:color="auto"/>
            <w:bottom w:val="none" w:sz="0" w:space="0" w:color="auto"/>
            <w:right w:val="none" w:sz="0" w:space="0" w:color="auto"/>
          </w:divBdr>
        </w:div>
      </w:divsChild>
    </w:div>
    <w:div w:id="766970403">
      <w:marLeft w:val="0"/>
      <w:marRight w:val="0"/>
      <w:marTop w:val="0"/>
      <w:marBottom w:val="0"/>
      <w:divBdr>
        <w:top w:val="none" w:sz="0" w:space="0" w:color="auto"/>
        <w:left w:val="none" w:sz="0" w:space="0" w:color="auto"/>
        <w:bottom w:val="none" w:sz="0" w:space="0" w:color="auto"/>
        <w:right w:val="none" w:sz="0" w:space="0" w:color="auto"/>
      </w:divBdr>
      <w:divsChild>
        <w:div w:id="1421951838">
          <w:marLeft w:val="0"/>
          <w:marRight w:val="0"/>
          <w:marTop w:val="0"/>
          <w:marBottom w:val="0"/>
          <w:divBdr>
            <w:top w:val="none" w:sz="0" w:space="0" w:color="auto"/>
            <w:left w:val="none" w:sz="0" w:space="0" w:color="auto"/>
            <w:bottom w:val="none" w:sz="0" w:space="0" w:color="auto"/>
            <w:right w:val="none" w:sz="0" w:space="0" w:color="auto"/>
          </w:divBdr>
        </w:div>
        <w:div w:id="442850498">
          <w:marLeft w:val="0"/>
          <w:marRight w:val="0"/>
          <w:marTop w:val="180"/>
          <w:marBottom w:val="0"/>
          <w:divBdr>
            <w:top w:val="none" w:sz="0" w:space="0" w:color="auto"/>
            <w:left w:val="none" w:sz="0" w:space="0" w:color="auto"/>
            <w:bottom w:val="none" w:sz="0" w:space="0" w:color="auto"/>
            <w:right w:val="none" w:sz="0" w:space="0" w:color="auto"/>
          </w:divBdr>
        </w:div>
      </w:divsChild>
    </w:div>
    <w:div w:id="769395883">
      <w:marLeft w:val="0"/>
      <w:marRight w:val="0"/>
      <w:marTop w:val="200"/>
      <w:marBottom w:val="0"/>
      <w:divBdr>
        <w:top w:val="none" w:sz="0" w:space="0" w:color="auto"/>
        <w:left w:val="none" w:sz="0" w:space="0" w:color="auto"/>
        <w:bottom w:val="none" w:sz="0" w:space="0" w:color="auto"/>
        <w:right w:val="none" w:sz="0" w:space="0" w:color="auto"/>
      </w:divBdr>
    </w:div>
    <w:div w:id="773482926">
      <w:marLeft w:val="0"/>
      <w:marRight w:val="0"/>
      <w:marTop w:val="0"/>
      <w:marBottom w:val="0"/>
      <w:divBdr>
        <w:top w:val="none" w:sz="0" w:space="0" w:color="auto"/>
        <w:left w:val="none" w:sz="0" w:space="0" w:color="auto"/>
        <w:bottom w:val="none" w:sz="0" w:space="0" w:color="auto"/>
        <w:right w:val="none" w:sz="0" w:space="0" w:color="auto"/>
      </w:divBdr>
      <w:divsChild>
        <w:div w:id="1949658237">
          <w:marLeft w:val="0"/>
          <w:marRight w:val="0"/>
          <w:marTop w:val="0"/>
          <w:marBottom w:val="0"/>
          <w:divBdr>
            <w:top w:val="none" w:sz="0" w:space="0" w:color="auto"/>
            <w:left w:val="none" w:sz="0" w:space="0" w:color="auto"/>
            <w:bottom w:val="none" w:sz="0" w:space="0" w:color="auto"/>
            <w:right w:val="none" w:sz="0" w:space="0" w:color="auto"/>
          </w:divBdr>
        </w:div>
      </w:divsChild>
    </w:div>
    <w:div w:id="787234233">
      <w:marLeft w:val="0"/>
      <w:marRight w:val="0"/>
      <w:marTop w:val="0"/>
      <w:marBottom w:val="0"/>
      <w:divBdr>
        <w:top w:val="none" w:sz="0" w:space="0" w:color="auto"/>
        <w:left w:val="none" w:sz="0" w:space="0" w:color="auto"/>
        <w:bottom w:val="none" w:sz="0" w:space="0" w:color="auto"/>
        <w:right w:val="none" w:sz="0" w:space="0" w:color="auto"/>
      </w:divBdr>
      <w:divsChild>
        <w:div w:id="623392536">
          <w:marLeft w:val="0"/>
          <w:marRight w:val="0"/>
          <w:marTop w:val="0"/>
          <w:marBottom w:val="0"/>
          <w:divBdr>
            <w:top w:val="none" w:sz="0" w:space="0" w:color="auto"/>
            <w:left w:val="none" w:sz="0" w:space="0" w:color="auto"/>
            <w:bottom w:val="none" w:sz="0" w:space="0" w:color="auto"/>
            <w:right w:val="none" w:sz="0" w:space="0" w:color="auto"/>
          </w:divBdr>
        </w:div>
      </w:divsChild>
    </w:div>
    <w:div w:id="792601590">
      <w:marLeft w:val="0"/>
      <w:marRight w:val="0"/>
      <w:marTop w:val="0"/>
      <w:marBottom w:val="0"/>
      <w:divBdr>
        <w:top w:val="none" w:sz="0" w:space="0" w:color="auto"/>
        <w:left w:val="none" w:sz="0" w:space="0" w:color="auto"/>
        <w:bottom w:val="none" w:sz="0" w:space="0" w:color="auto"/>
        <w:right w:val="none" w:sz="0" w:space="0" w:color="auto"/>
      </w:divBdr>
      <w:divsChild>
        <w:div w:id="141852225">
          <w:marLeft w:val="0"/>
          <w:marRight w:val="0"/>
          <w:marTop w:val="0"/>
          <w:marBottom w:val="0"/>
          <w:divBdr>
            <w:top w:val="none" w:sz="0" w:space="0" w:color="auto"/>
            <w:left w:val="none" w:sz="0" w:space="0" w:color="auto"/>
            <w:bottom w:val="none" w:sz="0" w:space="0" w:color="auto"/>
            <w:right w:val="none" w:sz="0" w:space="0" w:color="auto"/>
          </w:divBdr>
        </w:div>
      </w:divsChild>
    </w:div>
    <w:div w:id="792678549">
      <w:marLeft w:val="0"/>
      <w:marRight w:val="0"/>
      <w:marTop w:val="0"/>
      <w:marBottom w:val="0"/>
      <w:divBdr>
        <w:top w:val="none" w:sz="0" w:space="0" w:color="auto"/>
        <w:left w:val="none" w:sz="0" w:space="0" w:color="auto"/>
        <w:bottom w:val="none" w:sz="0" w:space="0" w:color="auto"/>
        <w:right w:val="none" w:sz="0" w:space="0" w:color="auto"/>
      </w:divBdr>
    </w:div>
    <w:div w:id="793907878">
      <w:marLeft w:val="0"/>
      <w:marRight w:val="0"/>
      <w:marTop w:val="0"/>
      <w:marBottom w:val="0"/>
      <w:divBdr>
        <w:top w:val="none" w:sz="0" w:space="0" w:color="auto"/>
        <w:left w:val="none" w:sz="0" w:space="0" w:color="auto"/>
        <w:bottom w:val="none" w:sz="0" w:space="0" w:color="auto"/>
        <w:right w:val="none" w:sz="0" w:space="0" w:color="auto"/>
      </w:divBdr>
    </w:div>
    <w:div w:id="796529370">
      <w:marLeft w:val="0"/>
      <w:marRight w:val="0"/>
      <w:marTop w:val="0"/>
      <w:marBottom w:val="0"/>
      <w:divBdr>
        <w:top w:val="none" w:sz="0" w:space="0" w:color="auto"/>
        <w:left w:val="none" w:sz="0" w:space="0" w:color="auto"/>
        <w:bottom w:val="none" w:sz="0" w:space="0" w:color="auto"/>
        <w:right w:val="none" w:sz="0" w:space="0" w:color="auto"/>
      </w:divBdr>
      <w:divsChild>
        <w:div w:id="48111395">
          <w:marLeft w:val="0"/>
          <w:marRight w:val="0"/>
          <w:marTop w:val="0"/>
          <w:marBottom w:val="0"/>
          <w:divBdr>
            <w:top w:val="none" w:sz="0" w:space="0" w:color="auto"/>
            <w:left w:val="none" w:sz="0" w:space="0" w:color="auto"/>
            <w:bottom w:val="none" w:sz="0" w:space="0" w:color="auto"/>
            <w:right w:val="none" w:sz="0" w:space="0" w:color="auto"/>
          </w:divBdr>
        </w:div>
        <w:div w:id="177233574">
          <w:marLeft w:val="0"/>
          <w:marRight w:val="0"/>
          <w:marTop w:val="180"/>
          <w:marBottom w:val="0"/>
          <w:divBdr>
            <w:top w:val="none" w:sz="0" w:space="0" w:color="auto"/>
            <w:left w:val="none" w:sz="0" w:space="0" w:color="auto"/>
            <w:bottom w:val="none" w:sz="0" w:space="0" w:color="auto"/>
            <w:right w:val="none" w:sz="0" w:space="0" w:color="auto"/>
          </w:divBdr>
        </w:div>
      </w:divsChild>
    </w:div>
    <w:div w:id="798113847">
      <w:marLeft w:val="0"/>
      <w:marRight w:val="0"/>
      <w:marTop w:val="0"/>
      <w:marBottom w:val="200"/>
      <w:divBdr>
        <w:top w:val="none" w:sz="0" w:space="0" w:color="auto"/>
        <w:left w:val="none" w:sz="0" w:space="0" w:color="auto"/>
        <w:bottom w:val="none" w:sz="0" w:space="0" w:color="auto"/>
        <w:right w:val="none" w:sz="0" w:space="0" w:color="auto"/>
      </w:divBdr>
    </w:div>
    <w:div w:id="801076278">
      <w:marLeft w:val="0"/>
      <w:marRight w:val="0"/>
      <w:marTop w:val="0"/>
      <w:marBottom w:val="0"/>
      <w:divBdr>
        <w:top w:val="none" w:sz="0" w:space="0" w:color="auto"/>
        <w:left w:val="none" w:sz="0" w:space="0" w:color="auto"/>
        <w:bottom w:val="none" w:sz="0" w:space="0" w:color="auto"/>
        <w:right w:val="none" w:sz="0" w:space="0" w:color="auto"/>
      </w:divBdr>
      <w:divsChild>
        <w:div w:id="1956671822">
          <w:marLeft w:val="0"/>
          <w:marRight w:val="0"/>
          <w:marTop w:val="0"/>
          <w:marBottom w:val="0"/>
          <w:divBdr>
            <w:top w:val="none" w:sz="0" w:space="0" w:color="auto"/>
            <w:left w:val="none" w:sz="0" w:space="0" w:color="auto"/>
            <w:bottom w:val="none" w:sz="0" w:space="0" w:color="auto"/>
            <w:right w:val="none" w:sz="0" w:space="0" w:color="auto"/>
          </w:divBdr>
        </w:div>
        <w:div w:id="2038965028">
          <w:marLeft w:val="0"/>
          <w:marRight w:val="0"/>
          <w:marTop w:val="180"/>
          <w:marBottom w:val="0"/>
          <w:divBdr>
            <w:top w:val="none" w:sz="0" w:space="0" w:color="auto"/>
            <w:left w:val="none" w:sz="0" w:space="0" w:color="auto"/>
            <w:bottom w:val="none" w:sz="0" w:space="0" w:color="auto"/>
            <w:right w:val="none" w:sz="0" w:space="0" w:color="auto"/>
          </w:divBdr>
        </w:div>
      </w:divsChild>
    </w:div>
    <w:div w:id="801387441">
      <w:marLeft w:val="0"/>
      <w:marRight w:val="0"/>
      <w:marTop w:val="100"/>
      <w:marBottom w:val="0"/>
      <w:divBdr>
        <w:top w:val="none" w:sz="0" w:space="0" w:color="auto"/>
        <w:left w:val="none" w:sz="0" w:space="0" w:color="auto"/>
        <w:bottom w:val="none" w:sz="0" w:space="0" w:color="auto"/>
        <w:right w:val="none" w:sz="0" w:space="0" w:color="auto"/>
      </w:divBdr>
    </w:div>
    <w:div w:id="804391498">
      <w:marLeft w:val="0"/>
      <w:marRight w:val="0"/>
      <w:marTop w:val="0"/>
      <w:marBottom w:val="0"/>
      <w:divBdr>
        <w:top w:val="none" w:sz="0" w:space="0" w:color="auto"/>
        <w:left w:val="none" w:sz="0" w:space="0" w:color="auto"/>
        <w:bottom w:val="none" w:sz="0" w:space="0" w:color="auto"/>
        <w:right w:val="none" w:sz="0" w:space="0" w:color="auto"/>
      </w:divBdr>
      <w:divsChild>
        <w:div w:id="1565095025">
          <w:marLeft w:val="0"/>
          <w:marRight w:val="0"/>
          <w:marTop w:val="0"/>
          <w:marBottom w:val="0"/>
          <w:divBdr>
            <w:top w:val="none" w:sz="0" w:space="0" w:color="auto"/>
            <w:left w:val="none" w:sz="0" w:space="0" w:color="auto"/>
            <w:bottom w:val="none" w:sz="0" w:space="0" w:color="auto"/>
            <w:right w:val="none" w:sz="0" w:space="0" w:color="auto"/>
          </w:divBdr>
        </w:div>
      </w:divsChild>
    </w:div>
    <w:div w:id="808519538">
      <w:marLeft w:val="0"/>
      <w:marRight w:val="0"/>
      <w:marTop w:val="100"/>
      <w:marBottom w:val="0"/>
      <w:divBdr>
        <w:top w:val="none" w:sz="0" w:space="0" w:color="auto"/>
        <w:left w:val="none" w:sz="0" w:space="0" w:color="auto"/>
        <w:bottom w:val="none" w:sz="0" w:space="0" w:color="auto"/>
        <w:right w:val="none" w:sz="0" w:space="0" w:color="auto"/>
      </w:divBdr>
    </w:div>
    <w:div w:id="812452161">
      <w:marLeft w:val="0"/>
      <w:marRight w:val="0"/>
      <w:marTop w:val="280"/>
      <w:marBottom w:val="0"/>
      <w:divBdr>
        <w:top w:val="none" w:sz="0" w:space="0" w:color="auto"/>
        <w:left w:val="none" w:sz="0" w:space="0" w:color="auto"/>
        <w:bottom w:val="none" w:sz="0" w:space="0" w:color="auto"/>
        <w:right w:val="none" w:sz="0" w:space="0" w:color="auto"/>
      </w:divBdr>
    </w:div>
    <w:div w:id="814761756">
      <w:marLeft w:val="0"/>
      <w:marRight w:val="0"/>
      <w:marTop w:val="0"/>
      <w:marBottom w:val="0"/>
      <w:divBdr>
        <w:top w:val="none" w:sz="0" w:space="0" w:color="auto"/>
        <w:left w:val="none" w:sz="0" w:space="0" w:color="auto"/>
        <w:bottom w:val="none" w:sz="0" w:space="0" w:color="auto"/>
        <w:right w:val="none" w:sz="0" w:space="0" w:color="auto"/>
      </w:divBdr>
      <w:divsChild>
        <w:div w:id="598606929">
          <w:marLeft w:val="0"/>
          <w:marRight w:val="0"/>
          <w:marTop w:val="0"/>
          <w:marBottom w:val="0"/>
          <w:divBdr>
            <w:top w:val="none" w:sz="0" w:space="0" w:color="auto"/>
            <w:left w:val="none" w:sz="0" w:space="0" w:color="auto"/>
            <w:bottom w:val="none" w:sz="0" w:space="0" w:color="auto"/>
            <w:right w:val="none" w:sz="0" w:space="0" w:color="auto"/>
          </w:divBdr>
        </w:div>
      </w:divsChild>
    </w:div>
    <w:div w:id="819420490">
      <w:marLeft w:val="0"/>
      <w:marRight w:val="0"/>
      <w:marTop w:val="100"/>
      <w:marBottom w:val="0"/>
      <w:divBdr>
        <w:top w:val="none" w:sz="0" w:space="0" w:color="auto"/>
        <w:left w:val="none" w:sz="0" w:space="0" w:color="auto"/>
        <w:bottom w:val="none" w:sz="0" w:space="0" w:color="auto"/>
        <w:right w:val="none" w:sz="0" w:space="0" w:color="auto"/>
      </w:divBdr>
    </w:div>
    <w:div w:id="821625038">
      <w:marLeft w:val="0"/>
      <w:marRight w:val="0"/>
      <w:marTop w:val="0"/>
      <w:marBottom w:val="0"/>
      <w:divBdr>
        <w:top w:val="none" w:sz="0" w:space="0" w:color="auto"/>
        <w:left w:val="none" w:sz="0" w:space="0" w:color="auto"/>
        <w:bottom w:val="none" w:sz="0" w:space="0" w:color="auto"/>
        <w:right w:val="none" w:sz="0" w:space="0" w:color="auto"/>
      </w:divBdr>
      <w:divsChild>
        <w:div w:id="103890923">
          <w:marLeft w:val="0"/>
          <w:marRight w:val="0"/>
          <w:marTop w:val="0"/>
          <w:marBottom w:val="0"/>
          <w:divBdr>
            <w:top w:val="none" w:sz="0" w:space="0" w:color="auto"/>
            <w:left w:val="none" w:sz="0" w:space="0" w:color="auto"/>
            <w:bottom w:val="none" w:sz="0" w:space="0" w:color="auto"/>
            <w:right w:val="none" w:sz="0" w:space="0" w:color="auto"/>
          </w:divBdr>
        </w:div>
      </w:divsChild>
    </w:div>
    <w:div w:id="822238435">
      <w:marLeft w:val="0"/>
      <w:marRight w:val="0"/>
      <w:marTop w:val="100"/>
      <w:marBottom w:val="0"/>
      <w:divBdr>
        <w:top w:val="none" w:sz="0" w:space="0" w:color="auto"/>
        <w:left w:val="none" w:sz="0" w:space="0" w:color="auto"/>
        <w:bottom w:val="none" w:sz="0" w:space="0" w:color="auto"/>
        <w:right w:val="none" w:sz="0" w:space="0" w:color="auto"/>
      </w:divBdr>
    </w:div>
    <w:div w:id="829369363">
      <w:marLeft w:val="0"/>
      <w:marRight w:val="0"/>
      <w:marTop w:val="0"/>
      <w:marBottom w:val="0"/>
      <w:divBdr>
        <w:top w:val="none" w:sz="0" w:space="0" w:color="auto"/>
        <w:left w:val="none" w:sz="0" w:space="0" w:color="auto"/>
        <w:bottom w:val="none" w:sz="0" w:space="0" w:color="auto"/>
        <w:right w:val="none" w:sz="0" w:space="0" w:color="auto"/>
      </w:divBdr>
      <w:divsChild>
        <w:div w:id="93676969">
          <w:marLeft w:val="0"/>
          <w:marRight w:val="0"/>
          <w:marTop w:val="0"/>
          <w:marBottom w:val="0"/>
          <w:divBdr>
            <w:top w:val="none" w:sz="0" w:space="0" w:color="auto"/>
            <w:left w:val="none" w:sz="0" w:space="0" w:color="auto"/>
            <w:bottom w:val="none" w:sz="0" w:space="0" w:color="auto"/>
            <w:right w:val="none" w:sz="0" w:space="0" w:color="auto"/>
          </w:divBdr>
        </w:div>
      </w:divsChild>
    </w:div>
    <w:div w:id="833493267">
      <w:marLeft w:val="0"/>
      <w:marRight w:val="0"/>
      <w:marTop w:val="100"/>
      <w:marBottom w:val="0"/>
      <w:divBdr>
        <w:top w:val="none" w:sz="0" w:space="0" w:color="auto"/>
        <w:left w:val="none" w:sz="0" w:space="0" w:color="auto"/>
        <w:bottom w:val="none" w:sz="0" w:space="0" w:color="auto"/>
        <w:right w:val="none" w:sz="0" w:space="0" w:color="auto"/>
      </w:divBdr>
    </w:div>
    <w:div w:id="833568890">
      <w:marLeft w:val="0"/>
      <w:marRight w:val="0"/>
      <w:marTop w:val="100"/>
      <w:marBottom w:val="0"/>
      <w:divBdr>
        <w:top w:val="none" w:sz="0" w:space="0" w:color="auto"/>
        <w:left w:val="none" w:sz="0" w:space="0" w:color="auto"/>
        <w:bottom w:val="none" w:sz="0" w:space="0" w:color="auto"/>
        <w:right w:val="none" w:sz="0" w:space="0" w:color="auto"/>
      </w:divBdr>
      <w:divsChild>
        <w:div w:id="489518056">
          <w:marLeft w:val="0"/>
          <w:marRight w:val="0"/>
          <w:marTop w:val="0"/>
          <w:marBottom w:val="0"/>
          <w:divBdr>
            <w:top w:val="none" w:sz="0" w:space="0" w:color="auto"/>
            <w:left w:val="none" w:sz="0" w:space="0" w:color="auto"/>
            <w:bottom w:val="none" w:sz="0" w:space="0" w:color="auto"/>
            <w:right w:val="none" w:sz="0" w:space="0" w:color="auto"/>
          </w:divBdr>
        </w:div>
      </w:divsChild>
    </w:div>
    <w:div w:id="840848147">
      <w:marLeft w:val="0"/>
      <w:marRight w:val="0"/>
      <w:marTop w:val="0"/>
      <w:marBottom w:val="0"/>
      <w:divBdr>
        <w:top w:val="none" w:sz="0" w:space="0" w:color="auto"/>
        <w:left w:val="none" w:sz="0" w:space="0" w:color="auto"/>
        <w:bottom w:val="none" w:sz="0" w:space="0" w:color="auto"/>
        <w:right w:val="none" w:sz="0" w:space="0" w:color="auto"/>
      </w:divBdr>
      <w:divsChild>
        <w:div w:id="1790320100">
          <w:marLeft w:val="0"/>
          <w:marRight w:val="0"/>
          <w:marTop w:val="0"/>
          <w:marBottom w:val="0"/>
          <w:divBdr>
            <w:top w:val="none" w:sz="0" w:space="0" w:color="auto"/>
            <w:left w:val="none" w:sz="0" w:space="0" w:color="auto"/>
            <w:bottom w:val="none" w:sz="0" w:space="0" w:color="auto"/>
            <w:right w:val="none" w:sz="0" w:space="0" w:color="auto"/>
          </w:divBdr>
        </w:div>
      </w:divsChild>
    </w:div>
    <w:div w:id="844515948">
      <w:marLeft w:val="0"/>
      <w:marRight w:val="0"/>
      <w:marTop w:val="0"/>
      <w:marBottom w:val="200"/>
      <w:divBdr>
        <w:top w:val="none" w:sz="0" w:space="0" w:color="auto"/>
        <w:left w:val="none" w:sz="0" w:space="0" w:color="auto"/>
        <w:bottom w:val="none" w:sz="0" w:space="0" w:color="auto"/>
        <w:right w:val="none" w:sz="0" w:space="0" w:color="auto"/>
      </w:divBdr>
    </w:div>
    <w:div w:id="851408804">
      <w:marLeft w:val="0"/>
      <w:marRight w:val="0"/>
      <w:marTop w:val="100"/>
      <w:marBottom w:val="0"/>
      <w:divBdr>
        <w:top w:val="none" w:sz="0" w:space="0" w:color="auto"/>
        <w:left w:val="none" w:sz="0" w:space="0" w:color="auto"/>
        <w:bottom w:val="none" w:sz="0" w:space="0" w:color="auto"/>
        <w:right w:val="none" w:sz="0" w:space="0" w:color="auto"/>
      </w:divBdr>
    </w:div>
    <w:div w:id="855466927">
      <w:marLeft w:val="0"/>
      <w:marRight w:val="0"/>
      <w:marTop w:val="0"/>
      <w:marBottom w:val="200"/>
      <w:divBdr>
        <w:top w:val="none" w:sz="0" w:space="0" w:color="auto"/>
        <w:left w:val="none" w:sz="0" w:space="0" w:color="auto"/>
        <w:bottom w:val="none" w:sz="0" w:space="0" w:color="auto"/>
        <w:right w:val="none" w:sz="0" w:space="0" w:color="auto"/>
      </w:divBdr>
    </w:div>
    <w:div w:id="855773923">
      <w:marLeft w:val="0"/>
      <w:marRight w:val="0"/>
      <w:marTop w:val="0"/>
      <w:marBottom w:val="0"/>
      <w:divBdr>
        <w:top w:val="none" w:sz="0" w:space="0" w:color="auto"/>
        <w:left w:val="none" w:sz="0" w:space="0" w:color="auto"/>
        <w:bottom w:val="none" w:sz="0" w:space="0" w:color="auto"/>
        <w:right w:val="none" w:sz="0" w:space="0" w:color="auto"/>
      </w:divBdr>
    </w:div>
    <w:div w:id="859703965">
      <w:marLeft w:val="0"/>
      <w:marRight w:val="0"/>
      <w:marTop w:val="0"/>
      <w:marBottom w:val="0"/>
      <w:divBdr>
        <w:top w:val="none" w:sz="0" w:space="0" w:color="auto"/>
        <w:left w:val="none" w:sz="0" w:space="0" w:color="auto"/>
        <w:bottom w:val="none" w:sz="0" w:space="0" w:color="auto"/>
        <w:right w:val="none" w:sz="0" w:space="0" w:color="auto"/>
      </w:divBdr>
    </w:div>
    <w:div w:id="862868062">
      <w:marLeft w:val="0"/>
      <w:marRight w:val="0"/>
      <w:marTop w:val="0"/>
      <w:marBottom w:val="200"/>
      <w:divBdr>
        <w:top w:val="none" w:sz="0" w:space="0" w:color="auto"/>
        <w:left w:val="none" w:sz="0" w:space="0" w:color="auto"/>
        <w:bottom w:val="none" w:sz="0" w:space="0" w:color="auto"/>
        <w:right w:val="none" w:sz="0" w:space="0" w:color="auto"/>
      </w:divBdr>
    </w:div>
    <w:div w:id="863441131">
      <w:marLeft w:val="0"/>
      <w:marRight w:val="0"/>
      <w:marTop w:val="0"/>
      <w:marBottom w:val="200"/>
      <w:divBdr>
        <w:top w:val="none" w:sz="0" w:space="0" w:color="auto"/>
        <w:left w:val="none" w:sz="0" w:space="0" w:color="auto"/>
        <w:bottom w:val="none" w:sz="0" w:space="0" w:color="auto"/>
        <w:right w:val="none" w:sz="0" w:space="0" w:color="auto"/>
      </w:divBdr>
    </w:div>
    <w:div w:id="866406626">
      <w:marLeft w:val="0"/>
      <w:marRight w:val="0"/>
      <w:marTop w:val="0"/>
      <w:marBottom w:val="200"/>
      <w:divBdr>
        <w:top w:val="none" w:sz="0" w:space="0" w:color="auto"/>
        <w:left w:val="none" w:sz="0" w:space="0" w:color="auto"/>
        <w:bottom w:val="none" w:sz="0" w:space="0" w:color="auto"/>
        <w:right w:val="none" w:sz="0" w:space="0" w:color="auto"/>
      </w:divBdr>
    </w:div>
    <w:div w:id="870731587">
      <w:marLeft w:val="0"/>
      <w:marRight w:val="0"/>
      <w:marTop w:val="0"/>
      <w:marBottom w:val="0"/>
      <w:divBdr>
        <w:top w:val="none" w:sz="0" w:space="0" w:color="auto"/>
        <w:left w:val="none" w:sz="0" w:space="0" w:color="auto"/>
        <w:bottom w:val="none" w:sz="0" w:space="0" w:color="auto"/>
        <w:right w:val="none" w:sz="0" w:space="0" w:color="auto"/>
      </w:divBdr>
      <w:divsChild>
        <w:div w:id="2013098370">
          <w:marLeft w:val="0"/>
          <w:marRight w:val="0"/>
          <w:marTop w:val="0"/>
          <w:marBottom w:val="0"/>
          <w:divBdr>
            <w:top w:val="none" w:sz="0" w:space="0" w:color="auto"/>
            <w:left w:val="none" w:sz="0" w:space="0" w:color="auto"/>
            <w:bottom w:val="none" w:sz="0" w:space="0" w:color="auto"/>
            <w:right w:val="none" w:sz="0" w:space="0" w:color="auto"/>
          </w:divBdr>
        </w:div>
        <w:div w:id="703869883">
          <w:marLeft w:val="0"/>
          <w:marRight w:val="0"/>
          <w:marTop w:val="180"/>
          <w:marBottom w:val="0"/>
          <w:divBdr>
            <w:top w:val="none" w:sz="0" w:space="0" w:color="auto"/>
            <w:left w:val="none" w:sz="0" w:space="0" w:color="auto"/>
            <w:bottom w:val="none" w:sz="0" w:space="0" w:color="auto"/>
            <w:right w:val="none" w:sz="0" w:space="0" w:color="auto"/>
          </w:divBdr>
        </w:div>
      </w:divsChild>
    </w:div>
    <w:div w:id="877202433">
      <w:marLeft w:val="0"/>
      <w:marRight w:val="0"/>
      <w:marTop w:val="0"/>
      <w:marBottom w:val="200"/>
      <w:divBdr>
        <w:top w:val="none" w:sz="0" w:space="0" w:color="auto"/>
        <w:left w:val="none" w:sz="0" w:space="0" w:color="auto"/>
        <w:bottom w:val="none" w:sz="0" w:space="0" w:color="auto"/>
        <w:right w:val="none" w:sz="0" w:space="0" w:color="auto"/>
      </w:divBdr>
    </w:div>
    <w:div w:id="878863470">
      <w:marLeft w:val="0"/>
      <w:marRight w:val="0"/>
      <w:marTop w:val="0"/>
      <w:marBottom w:val="0"/>
      <w:divBdr>
        <w:top w:val="none" w:sz="0" w:space="0" w:color="auto"/>
        <w:left w:val="none" w:sz="0" w:space="0" w:color="auto"/>
        <w:bottom w:val="none" w:sz="0" w:space="0" w:color="auto"/>
        <w:right w:val="none" w:sz="0" w:space="0" w:color="auto"/>
      </w:divBdr>
    </w:div>
    <w:div w:id="886376285">
      <w:marLeft w:val="0"/>
      <w:marRight w:val="0"/>
      <w:marTop w:val="0"/>
      <w:marBottom w:val="0"/>
      <w:divBdr>
        <w:top w:val="none" w:sz="0" w:space="0" w:color="auto"/>
        <w:left w:val="none" w:sz="0" w:space="0" w:color="auto"/>
        <w:bottom w:val="none" w:sz="0" w:space="0" w:color="auto"/>
        <w:right w:val="none" w:sz="0" w:space="0" w:color="auto"/>
      </w:divBdr>
      <w:divsChild>
        <w:div w:id="478690903">
          <w:marLeft w:val="0"/>
          <w:marRight w:val="0"/>
          <w:marTop w:val="0"/>
          <w:marBottom w:val="0"/>
          <w:divBdr>
            <w:top w:val="none" w:sz="0" w:space="0" w:color="auto"/>
            <w:left w:val="none" w:sz="0" w:space="0" w:color="auto"/>
            <w:bottom w:val="none" w:sz="0" w:space="0" w:color="auto"/>
            <w:right w:val="none" w:sz="0" w:space="0" w:color="auto"/>
          </w:divBdr>
        </w:div>
      </w:divsChild>
    </w:div>
    <w:div w:id="886377457">
      <w:marLeft w:val="0"/>
      <w:marRight w:val="0"/>
      <w:marTop w:val="0"/>
      <w:marBottom w:val="200"/>
      <w:divBdr>
        <w:top w:val="none" w:sz="0" w:space="0" w:color="auto"/>
        <w:left w:val="none" w:sz="0" w:space="0" w:color="auto"/>
        <w:bottom w:val="none" w:sz="0" w:space="0" w:color="auto"/>
        <w:right w:val="none" w:sz="0" w:space="0" w:color="auto"/>
      </w:divBdr>
    </w:div>
    <w:div w:id="892155320">
      <w:marLeft w:val="0"/>
      <w:marRight w:val="0"/>
      <w:marTop w:val="0"/>
      <w:marBottom w:val="120"/>
      <w:divBdr>
        <w:top w:val="none" w:sz="0" w:space="0" w:color="auto"/>
        <w:left w:val="none" w:sz="0" w:space="0" w:color="auto"/>
        <w:bottom w:val="none" w:sz="0" w:space="0" w:color="auto"/>
        <w:right w:val="none" w:sz="0" w:space="0" w:color="auto"/>
      </w:divBdr>
    </w:div>
    <w:div w:id="893001088">
      <w:marLeft w:val="0"/>
      <w:marRight w:val="0"/>
      <w:marTop w:val="0"/>
      <w:marBottom w:val="0"/>
      <w:divBdr>
        <w:top w:val="none" w:sz="0" w:space="0" w:color="auto"/>
        <w:left w:val="none" w:sz="0" w:space="0" w:color="auto"/>
        <w:bottom w:val="none" w:sz="0" w:space="0" w:color="auto"/>
        <w:right w:val="none" w:sz="0" w:space="0" w:color="auto"/>
      </w:divBdr>
      <w:divsChild>
        <w:div w:id="1488664221">
          <w:marLeft w:val="0"/>
          <w:marRight w:val="0"/>
          <w:marTop w:val="0"/>
          <w:marBottom w:val="0"/>
          <w:divBdr>
            <w:top w:val="none" w:sz="0" w:space="0" w:color="auto"/>
            <w:left w:val="none" w:sz="0" w:space="0" w:color="auto"/>
            <w:bottom w:val="none" w:sz="0" w:space="0" w:color="auto"/>
            <w:right w:val="none" w:sz="0" w:space="0" w:color="auto"/>
          </w:divBdr>
        </w:div>
      </w:divsChild>
    </w:div>
    <w:div w:id="898369017">
      <w:marLeft w:val="0"/>
      <w:marRight w:val="0"/>
      <w:marTop w:val="0"/>
      <w:marBottom w:val="200"/>
      <w:divBdr>
        <w:top w:val="none" w:sz="0" w:space="0" w:color="auto"/>
        <w:left w:val="none" w:sz="0" w:space="0" w:color="auto"/>
        <w:bottom w:val="none" w:sz="0" w:space="0" w:color="auto"/>
        <w:right w:val="none" w:sz="0" w:space="0" w:color="auto"/>
      </w:divBdr>
    </w:div>
    <w:div w:id="902524894">
      <w:marLeft w:val="0"/>
      <w:marRight w:val="0"/>
      <w:marTop w:val="0"/>
      <w:marBottom w:val="0"/>
      <w:divBdr>
        <w:top w:val="none" w:sz="0" w:space="0" w:color="auto"/>
        <w:left w:val="none" w:sz="0" w:space="0" w:color="auto"/>
        <w:bottom w:val="none" w:sz="0" w:space="0" w:color="auto"/>
        <w:right w:val="none" w:sz="0" w:space="0" w:color="auto"/>
      </w:divBdr>
      <w:divsChild>
        <w:div w:id="1808862374">
          <w:marLeft w:val="0"/>
          <w:marRight w:val="0"/>
          <w:marTop w:val="0"/>
          <w:marBottom w:val="0"/>
          <w:divBdr>
            <w:top w:val="none" w:sz="0" w:space="0" w:color="auto"/>
            <w:left w:val="none" w:sz="0" w:space="0" w:color="auto"/>
            <w:bottom w:val="none" w:sz="0" w:space="0" w:color="auto"/>
            <w:right w:val="none" w:sz="0" w:space="0" w:color="auto"/>
          </w:divBdr>
        </w:div>
      </w:divsChild>
    </w:div>
    <w:div w:id="903174443">
      <w:marLeft w:val="0"/>
      <w:marRight w:val="0"/>
      <w:marTop w:val="100"/>
      <w:marBottom w:val="0"/>
      <w:divBdr>
        <w:top w:val="none" w:sz="0" w:space="0" w:color="auto"/>
        <w:left w:val="none" w:sz="0" w:space="0" w:color="auto"/>
        <w:bottom w:val="none" w:sz="0" w:space="0" w:color="auto"/>
        <w:right w:val="none" w:sz="0" w:space="0" w:color="auto"/>
      </w:divBdr>
    </w:div>
    <w:div w:id="909342967">
      <w:marLeft w:val="0"/>
      <w:marRight w:val="0"/>
      <w:marTop w:val="0"/>
      <w:marBottom w:val="0"/>
      <w:divBdr>
        <w:top w:val="none" w:sz="0" w:space="0" w:color="auto"/>
        <w:left w:val="none" w:sz="0" w:space="0" w:color="auto"/>
        <w:bottom w:val="none" w:sz="0" w:space="0" w:color="auto"/>
        <w:right w:val="none" w:sz="0" w:space="0" w:color="auto"/>
      </w:divBdr>
      <w:divsChild>
        <w:div w:id="1995259099">
          <w:marLeft w:val="0"/>
          <w:marRight w:val="0"/>
          <w:marTop w:val="0"/>
          <w:marBottom w:val="0"/>
          <w:divBdr>
            <w:top w:val="none" w:sz="0" w:space="0" w:color="auto"/>
            <w:left w:val="none" w:sz="0" w:space="0" w:color="auto"/>
            <w:bottom w:val="none" w:sz="0" w:space="0" w:color="auto"/>
            <w:right w:val="none" w:sz="0" w:space="0" w:color="auto"/>
          </w:divBdr>
        </w:div>
      </w:divsChild>
    </w:div>
    <w:div w:id="911232059">
      <w:marLeft w:val="0"/>
      <w:marRight w:val="0"/>
      <w:marTop w:val="0"/>
      <w:marBottom w:val="0"/>
      <w:divBdr>
        <w:top w:val="none" w:sz="0" w:space="0" w:color="auto"/>
        <w:left w:val="none" w:sz="0" w:space="0" w:color="auto"/>
        <w:bottom w:val="none" w:sz="0" w:space="0" w:color="auto"/>
        <w:right w:val="none" w:sz="0" w:space="0" w:color="auto"/>
      </w:divBdr>
      <w:divsChild>
        <w:div w:id="2014183427">
          <w:marLeft w:val="0"/>
          <w:marRight w:val="0"/>
          <w:marTop w:val="0"/>
          <w:marBottom w:val="0"/>
          <w:divBdr>
            <w:top w:val="none" w:sz="0" w:space="0" w:color="auto"/>
            <w:left w:val="none" w:sz="0" w:space="0" w:color="auto"/>
            <w:bottom w:val="none" w:sz="0" w:space="0" w:color="auto"/>
            <w:right w:val="none" w:sz="0" w:space="0" w:color="auto"/>
          </w:divBdr>
        </w:div>
        <w:div w:id="1810441560">
          <w:marLeft w:val="0"/>
          <w:marRight w:val="0"/>
          <w:marTop w:val="180"/>
          <w:marBottom w:val="0"/>
          <w:divBdr>
            <w:top w:val="none" w:sz="0" w:space="0" w:color="auto"/>
            <w:left w:val="none" w:sz="0" w:space="0" w:color="auto"/>
            <w:bottom w:val="none" w:sz="0" w:space="0" w:color="auto"/>
            <w:right w:val="none" w:sz="0" w:space="0" w:color="auto"/>
          </w:divBdr>
        </w:div>
      </w:divsChild>
    </w:div>
    <w:div w:id="911542720">
      <w:marLeft w:val="0"/>
      <w:marRight w:val="0"/>
      <w:marTop w:val="0"/>
      <w:marBottom w:val="0"/>
      <w:divBdr>
        <w:top w:val="none" w:sz="0" w:space="0" w:color="auto"/>
        <w:left w:val="none" w:sz="0" w:space="0" w:color="auto"/>
        <w:bottom w:val="none" w:sz="0" w:space="0" w:color="auto"/>
        <w:right w:val="none" w:sz="0" w:space="0" w:color="auto"/>
      </w:divBdr>
      <w:divsChild>
        <w:div w:id="16200391">
          <w:marLeft w:val="0"/>
          <w:marRight w:val="0"/>
          <w:marTop w:val="0"/>
          <w:marBottom w:val="0"/>
          <w:divBdr>
            <w:top w:val="none" w:sz="0" w:space="0" w:color="auto"/>
            <w:left w:val="none" w:sz="0" w:space="0" w:color="auto"/>
            <w:bottom w:val="none" w:sz="0" w:space="0" w:color="auto"/>
            <w:right w:val="none" w:sz="0" w:space="0" w:color="auto"/>
          </w:divBdr>
        </w:div>
        <w:div w:id="556165275">
          <w:marLeft w:val="0"/>
          <w:marRight w:val="0"/>
          <w:marTop w:val="180"/>
          <w:marBottom w:val="0"/>
          <w:divBdr>
            <w:top w:val="none" w:sz="0" w:space="0" w:color="auto"/>
            <w:left w:val="none" w:sz="0" w:space="0" w:color="auto"/>
            <w:bottom w:val="none" w:sz="0" w:space="0" w:color="auto"/>
            <w:right w:val="none" w:sz="0" w:space="0" w:color="auto"/>
          </w:divBdr>
        </w:div>
      </w:divsChild>
    </w:div>
    <w:div w:id="913007934">
      <w:marLeft w:val="0"/>
      <w:marRight w:val="0"/>
      <w:marTop w:val="0"/>
      <w:marBottom w:val="200"/>
      <w:divBdr>
        <w:top w:val="none" w:sz="0" w:space="0" w:color="auto"/>
        <w:left w:val="none" w:sz="0" w:space="0" w:color="auto"/>
        <w:bottom w:val="none" w:sz="0" w:space="0" w:color="auto"/>
        <w:right w:val="none" w:sz="0" w:space="0" w:color="auto"/>
      </w:divBdr>
    </w:div>
    <w:div w:id="917984168">
      <w:marLeft w:val="0"/>
      <w:marRight w:val="0"/>
      <w:marTop w:val="0"/>
      <w:marBottom w:val="0"/>
      <w:divBdr>
        <w:top w:val="none" w:sz="0" w:space="0" w:color="auto"/>
        <w:left w:val="none" w:sz="0" w:space="0" w:color="auto"/>
        <w:bottom w:val="none" w:sz="0" w:space="0" w:color="auto"/>
        <w:right w:val="none" w:sz="0" w:space="0" w:color="auto"/>
      </w:divBdr>
      <w:divsChild>
        <w:div w:id="104157972">
          <w:marLeft w:val="0"/>
          <w:marRight w:val="0"/>
          <w:marTop w:val="0"/>
          <w:marBottom w:val="0"/>
          <w:divBdr>
            <w:top w:val="none" w:sz="0" w:space="0" w:color="auto"/>
            <w:left w:val="none" w:sz="0" w:space="0" w:color="auto"/>
            <w:bottom w:val="none" w:sz="0" w:space="0" w:color="auto"/>
            <w:right w:val="none" w:sz="0" w:space="0" w:color="auto"/>
          </w:divBdr>
        </w:div>
      </w:divsChild>
    </w:div>
    <w:div w:id="919632815">
      <w:marLeft w:val="0"/>
      <w:marRight w:val="0"/>
      <w:marTop w:val="0"/>
      <w:marBottom w:val="0"/>
      <w:divBdr>
        <w:top w:val="none" w:sz="0" w:space="0" w:color="auto"/>
        <w:left w:val="none" w:sz="0" w:space="0" w:color="auto"/>
        <w:bottom w:val="none" w:sz="0" w:space="0" w:color="auto"/>
        <w:right w:val="none" w:sz="0" w:space="0" w:color="auto"/>
      </w:divBdr>
    </w:div>
    <w:div w:id="921597986">
      <w:marLeft w:val="0"/>
      <w:marRight w:val="0"/>
      <w:marTop w:val="0"/>
      <w:marBottom w:val="0"/>
      <w:divBdr>
        <w:top w:val="none" w:sz="0" w:space="0" w:color="auto"/>
        <w:left w:val="none" w:sz="0" w:space="0" w:color="auto"/>
        <w:bottom w:val="none" w:sz="0" w:space="0" w:color="auto"/>
        <w:right w:val="none" w:sz="0" w:space="0" w:color="auto"/>
      </w:divBdr>
    </w:div>
    <w:div w:id="921912400">
      <w:marLeft w:val="0"/>
      <w:marRight w:val="0"/>
      <w:marTop w:val="0"/>
      <w:marBottom w:val="200"/>
      <w:divBdr>
        <w:top w:val="none" w:sz="0" w:space="0" w:color="auto"/>
        <w:left w:val="none" w:sz="0" w:space="0" w:color="auto"/>
        <w:bottom w:val="none" w:sz="0" w:space="0" w:color="auto"/>
        <w:right w:val="none" w:sz="0" w:space="0" w:color="auto"/>
      </w:divBdr>
    </w:div>
    <w:div w:id="924532624">
      <w:marLeft w:val="0"/>
      <w:marRight w:val="0"/>
      <w:marTop w:val="0"/>
      <w:marBottom w:val="0"/>
      <w:divBdr>
        <w:top w:val="none" w:sz="0" w:space="0" w:color="auto"/>
        <w:left w:val="none" w:sz="0" w:space="0" w:color="auto"/>
        <w:bottom w:val="none" w:sz="0" w:space="0" w:color="auto"/>
        <w:right w:val="none" w:sz="0" w:space="0" w:color="auto"/>
      </w:divBdr>
      <w:divsChild>
        <w:div w:id="1922448153">
          <w:marLeft w:val="0"/>
          <w:marRight w:val="0"/>
          <w:marTop w:val="0"/>
          <w:marBottom w:val="0"/>
          <w:divBdr>
            <w:top w:val="none" w:sz="0" w:space="0" w:color="auto"/>
            <w:left w:val="none" w:sz="0" w:space="0" w:color="auto"/>
            <w:bottom w:val="none" w:sz="0" w:space="0" w:color="auto"/>
            <w:right w:val="none" w:sz="0" w:space="0" w:color="auto"/>
          </w:divBdr>
        </w:div>
      </w:divsChild>
    </w:div>
    <w:div w:id="927737385">
      <w:marLeft w:val="0"/>
      <w:marRight w:val="0"/>
      <w:marTop w:val="0"/>
      <w:marBottom w:val="0"/>
      <w:divBdr>
        <w:top w:val="none" w:sz="0" w:space="0" w:color="auto"/>
        <w:left w:val="none" w:sz="0" w:space="0" w:color="auto"/>
        <w:bottom w:val="none" w:sz="0" w:space="0" w:color="auto"/>
        <w:right w:val="none" w:sz="0" w:space="0" w:color="auto"/>
      </w:divBdr>
      <w:divsChild>
        <w:div w:id="1437209703">
          <w:marLeft w:val="0"/>
          <w:marRight w:val="0"/>
          <w:marTop w:val="0"/>
          <w:marBottom w:val="0"/>
          <w:divBdr>
            <w:top w:val="none" w:sz="0" w:space="0" w:color="auto"/>
            <w:left w:val="none" w:sz="0" w:space="0" w:color="auto"/>
            <w:bottom w:val="none" w:sz="0" w:space="0" w:color="auto"/>
            <w:right w:val="none" w:sz="0" w:space="0" w:color="auto"/>
          </w:divBdr>
        </w:div>
      </w:divsChild>
    </w:div>
    <w:div w:id="939069619">
      <w:marLeft w:val="0"/>
      <w:marRight w:val="0"/>
      <w:marTop w:val="200"/>
      <w:marBottom w:val="0"/>
      <w:divBdr>
        <w:top w:val="none" w:sz="0" w:space="0" w:color="auto"/>
        <w:left w:val="none" w:sz="0" w:space="0" w:color="auto"/>
        <w:bottom w:val="none" w:sz="0" w:space="0" w:color="auto"/>
        <w:right w:val="none" w:sz="0" w:space="0" w:color="auto"/>
      </w:divBdr>
    </w:div>
    <w:div w:id="941033371">
      <w:marLeft w:val="0"/>
      <w:marRight w:val="0"/>
      <w:marTop w:val="0"/>
      <w:marBottom w:val="200"/>
      <w:divBdr>
        <w:top w:val="none" w:sz="0" w:space="0" w:color="auto"/>
        <w:left w:val="none" w:sz="0" w:space="0" w:color="auto"/>
        <w:bottom w:val="none" w:sz="0" w:space="0" w:color="auto"/>
        <w:right w:val="none" w:sz="0" w:space="0" w:color="auto"/>
      </w:divBdr>
    </w:div>
    <w:div w:id="951009390">
      <w:marLeft w:val="0"/>
      <w:marRight w:val="0"/>
      <w:marTop w:val="0"/>
      <w:marBottom w:val="0"/>
      <w:divBdr>
        <w:top w:val="none" w:sz="0" w:space="0" w:color="auto"/>
        <w:left w:val="none" w:sz="0" w:space="0" w:color="auto"/>
        <w:bottom w:val="none" w:sz="0" w:space="0" w:color="auto"/>
        <w:right w:val="none" w:sz="0" w:space="0" w:color="auto"/>
      </w:divBdr>
    </w:div>
    <w:div w:id="973411916">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
      </w:divsChild>
    </w:div>
    <w:div w:id="981423389">
      <w:marLeft w:val="0"/>
      <w:marRight w:val="0"/>
      <w:marTop w:val="0"/>
      <w:marBottom w:val="0"/>
      <w:divBdr>
        <w:top w:val="none" w:sz="0" w:space="0" w:color="auto"/>
        <w:left w:val="none" w:sz="0" w:space="0" w:color="auto"/>
        <w:bottom w:val="none" w:sz="0" w:space="0" w:color="auto"/>
        <w:right w:val="none" w:sz="0" w:space="0" w:color="auto"/>
      </w:divBdr>
      <w:divsChild>
        <w:div w:id="53546770">
          <w:marLeft w:val="0"/>
          <w:marRight w:val="0"/>
          <w:marTop w:val="0"/>
          <w:marBottom w:val="0"/>
          <w:divBdr>
            <w:top w:val="none" w:sz="0" w:space="0" w:color="auto"/>
            <w:left w:val="none" w:sz="0" w:space="0" w:color="auto"/>
            <w:bottom w:val="none" w:sz="0" w:space="0" w:color="auto"/>
            <w:right w:val="none" w:sz="0" w:space="0" w:color="auto"/>
          </w:divBdr>
        </w:div>
      </w:divsChild>
    </w:div>
    <w:div w:id="983512037">
      <w:marLeft w:val="0"/>
      <w:marRight w:val="0"/>
      <w:marTop w:val="0"/>
      <w:marBottom w:val="0"/>
      <w:divBdr>
        <w:top w:val="none" w:sz="0" w:space="0" w:color="auto"/>
        <w:left w:val="none" w:sz="0" w:space="0" w:color="auto"/>
        <w:bottom w:val="none" w:sz="0" w:space="0" w:color="auto"/>
        <w:right w:val="none" w:sz="0" w:space="0" w:color="auto"/>
      </w:divBdr>
      <w:divsChild>
        <w:div w:id="365257592">
          <w:marLeft w:val="0"/>
          <w:marRight w:val="0"/>
          <w:marTop w:val="0"/>
          <w:marBottom w:val="0"/>
          <w:divBdr>
            <w:top w:val="none" w:sz="0" w:space="0" w:color="auto"/>
            <w:left w:val="none" w:sz="0" w:space="0" w:color="auto"/>
            <w:bottom w:val="none" w:sz="0" w:space="0" w:color="auto"/>
            <w:right w:val="none" w:sz="0" w:space="0" w:color="auto"/>
          </w:divBdr>
        </w:div>
        <w:div w:id="243927366">
          <w:marLeft w:val="0"/>
          <w:marRight w:val="0"/>
          <w:marTop w:val="180"/>
          <w:marBottom w:val="0"/>
          <w:divBdr>
            <w:top w:val="none" w:sz="0" w:space="0" w:color="auto"/>
            <w:left w:val="none" w:sz="0" w:space="0" w:color="auto"/>
            <w:bottom w:val="none" w:sz="0" w:space="0" w:color="auto"/>
            <w:right w:val="none" w:sz="0" w:space="0" w:color="auto"/>
          </w:divBdr>
        </w:div>
      </w:divsChild>
    </w:div>
    <w:div w:id="988099167">
      <w:marLeft w:val="0"/>
      <w:marRight w:val="0"/>
      <w:marTop w:val="0"/>
      <w:marBottom w:val="200"/>
      <w:divBdr>
        <w:top w:val="none" w:sz="0" w:space="0" w:color="auto"/>
        <w:left w:val="none" w:sz="0" w:space="0" w:color="auto"/>
        <w:bottom w:val="none" w:sz="0" w:space="0" w:color="auto"/>
        <w:right w:val="none" w:sz="0" w:space="0" w:color="auto"/>
      </w:divBdr>
    </w:div>
    <w:div w:id="992484542">
      <w:marLeft w:val="0"/>
      <w:marRight w:val="0"/>
      <w:marTop w:val="0"/>
      <w:marBottom w:val="0"/>
      <w:divBdr>
        <w:top w:val="none" w:sz="0" w:space="0" w:color="auto"/>
        <w:left w:val="none" w:sz="0" w:space="0" w:color="auto"/>
        <w:bottom w:val="none" w:sz="0" w:space="0" w:color="auto"/>
        <w:right w:val="none" w:sz="0" w:space="0" w:color="auto"/>
      </w:divBdr>
    </w:div>
    <w:div w:id="995916426">
      <w:marLeft w:val="0"/>
      <w:marRight w:val="0"/>
      <w:marTop w:val="0"/>
      <w:marBottom w:val="60"/>
      <w:divBdr>
        <w:top w:val="none" w:sz="0" w:space="0" w:color="auto"/>
        <w:left w:val="none" w:sz="0" w:space="0" w:color="auto"/>
        <w:bottom w:val="none" w:sz="0" w:space="0" w:color="auto"/>
        <w:right w:val="none" w:sz="0" w:space="0" w:color="auto"/>
      </w:divBdr>
    </w:div>
    <w:div w:id="996031404">
      <w:marLeft w:val="0"/>
      <w:marRight w:val="0"/>
      <w:marTop w:val="100"/>
      <w:marBottom w:val="0"/>
      <w:divBdr>
        <w:top w:val="none" w:sz="0" w:space="0" w:color="auto"/>
        <w:left w:val="none" w:sz="0" w:space="0" w:color="auto"/>
        <w:bottom w:val="none" w:sz="0" w:space="0" w:color="auto"/>
        <w:right w:val="none" w:sz="0" w:space="0" w:color="auto"/>
      </w:divBdr>
    </w:div>
    <w:div w:id="1002052559">
      <w:marLeft w:val="0"/>
      <w:marRight w:val="0"/>
      <w:marTop w:val="0"/>
      <w:marBottom w:val="0"/>
      <w:divBdr>
        <w:top w:val="none" w:sz="0" w:space="0" w:color="auto"/>
        <w:left w:val="none" w:sz="0" w:space="0" w:color="auto"/>
        <w:bottom w:val="none" w:sz="0" w:space="0" w:color="auto"/>
        <w:right w:val="none" w:sz="0" w:space="0" w:color="auto"/>
      </w:divBdr>
    </w:div>
    <w:div w:id="1004627679">
      <w:marLeft w:val="0"/>
      <w:marRight w:val="0"/>
      <w:marTop w:val="100"/>
      <w:marBottom w:val="0"/>
      <w:divBdr>
        <w:top w:val="none" w:sz="0" w:space="0" w:color="auto"/>
        <w:left w:val="none" w:sz="0" w:space="0" w:color="auto"/>
        <w:bottom w:val="none" w:sz="0" w:space="0" w:color="auto"/>
        <w:right w:val="none" w:sz="0" w:space="0" w:color="auto"/>
      </w:divBdr>
    </w:div>
    <w:div w:id="1016157395">
      <w:marLeft w:val="0"/>
      <w:marRight w:val="0"/>
      <w:marTop w:val="0"/>
      <w:marBottom w:val="200"/>
      <w:divBdr>
        <w:top w:val="none" w:sz="0" w:space="0" w:color="auto"/>
        <w:left w:val="none" w:sz="0" w:space="0" w:color="auto"/>
        <w:bottom w:val="none" w:sz="0" w:space="0" w:color="auto"/>
        <w:right w:val="none" w:sz="0" w:space="0" w:color="auto"/>
      </w:divBdr>
    </w:div>
    <w:div w:id="1020474354">
      <w:marLeft w:val="0"/>
      <w:marRight w:val="0"/>
      <w:marTop w:val="120"/>
      <w:marBottom w:val="0"/>
      <w:divBdr>
        <w:top w:val="none" w:sz="0" w:space="0" w:color="auto"/>
        <w:left w:val="none" w:sz="0" w:space="0" w:color="auto"/>
        <w:bottom w:val="none" w:sz="0" w:space="0" w:color="auto"/>
        <w:right w:val="none" w:sz="0" w:space="0" w:color="auto"/>
      </w:divBdr>
    </w:div>
    <w:div w:id="1028221339">
      <w:marLeft w:val="0"/>
      <w:marRight w:val="0"/>
      <w:marTop w:val="0"/>
      <w:marBottom w:val="0"/>
      <w:divBdr>
        <w:top w:val="none" w:sz="0" w:space="0" w:color="auto"/>
        <w:left w:val="none" w:sz="0" w:space="0" w:color="auto"/>
        <w:bottom w:val="none" w:sz="0" w:space="0" w:color="auto"/>
        <w:right w:val="none" w:sz="0" w:space="0" w:color="auto"/>
      </w:divBdr>
      <w:divsChild>
        <w:div w:id="1011034353">
          <w:marLeft w:val="0"/>
          <w:marRight w:val="0"/>
          <w:marTop w:val="0"/>
          <w:marBottom w:val="0"/>
          <w:divBdr>
            <w:top w:val="none" w:sz="0" w:space="0" w:color="auto"/>
            <w:left w:val="none" w:sz="0" w:space="0" w:color="auto"/>
            <w:bottom w:val="none" w:sz="0" w:space="0" w:color="auto"/>
            <w:right w:val="none" w:sz="0" w:space="0" w:color="auto"/>
          </w:divBdr>
        </w:div>
      </w:divsChild>
    </w:div>
    <w:div w:id="1034696971">
      <w:marLeft w:val="0"/>
      <w:marRight w:val="0"/>
      <w:marTop w:val="0"/>
      <w:marBottom w:val="200"/>
      <w:divBdr>
        <w:top w:val="none" w:sz="0" w:space="0" w:color="auto"/>
        <w:left w:val="none" w:sz="0" w:space="0" w:color="auto"/>
        <w:bottom w:val="none" w:sz="0" w:space="0" w:color="auto"/>
        <w:right w:val="none" w:sz="0" w:space="0" w:color="auto"/>
      </w:divBdr>
    </w:div>
    <w:div w:id="1044866371">
      <w:marLeft w:val="0"/>
      <w:marRight w:val="0"/>
      <w:marTop w:val="0"/>
      <w:marBottom w:val="160"/>
      <w:divBdr>
        <w:top w:val="none" w:sz="0" w:space="0" w:color="auto"/>
        <w:left w:val="none" w:sz="0" w:space="0" w:color="auto"/>
        <w:bottom w:val="none" w:sz="0" w:space="0" w:color="auto"/>
        <w:right w:val="none" w:sz="0" w:space="0" w:color="auto"/>
      </w:divBdr>
    </w:div>
    <w:div w:id="1053430392">
      <w:marLeft w:val="0"/>
      <w:marRight w:val="0"/>
      <w:marTop w:val="0"/>
      <w:marBottom w:val="100"/>
      <w:divBdr>
        <w:top w:val="none" w:sz="0" w:space="0" w:color="auto"/>
        <w:left w:val="none" w:sz="0" w:space="0" w:color="auto"/>
        <w:bottom w:val="none" w:sz="0" w:space="0" w:color="auto"/>
        <w:right w:val="none" w:sz="0" w:space="0" w:color="auto"/>
      </w:divBdr>
      <w:divsChild>
        <w:div w:id="1302685081">
          <w:marLeft w:val="0"/>
          <w:marRight w:val="0"/>
          <w:marTop w:val="0"/>
          <w:marBottom w:val="0"/>
          <w:divBdr>
            <w:top w:val="none" w:sz="0" w:space="0" w:color="auto"/>
            <w:left w:val="none" w:sz="0" w:space="0" w:color="auto"/>
            <w:bottom w:val="none" w:sz="0" w:space="0" w:color="auto"/>
            <w:right w:val="none" w:sz="0" w:space="0" w:color="auto"/>
          </w:divBdr>
        </w:div>
        <w:div w:id="1301157428">
          <w:marLeft w:val="0"/>
          <w:marRight w:val="0"/>
          <w:marTop w:val="0"/>
          <w:marBottom w:val="0"/>
          <w:divBdr>
            <w:top w:val="none" w:sz="0" w:space="0" w:color="auto"/>
            <w:left w:val="none" w:sz="0" w:space="0" w:color="auto"/>
            <w:bottom w:val="none" w:sz="0" w:space="0" w:color="auto"/>
            <w:right w:val="none" w:sz="0" w:space="0" w:color="auto"/>
          </w:divBdr>
        </w:div>
        <w:div w:id="1693920033">
          <w:marLeft w:val="0"/>
          <w:marRight w:val="0"/>
          <w:marTop w:val="0"/>
          <w:marBottom w:val="0"/>
          <w:divBdr>
            <w:top w:val="none" w:sz="0" w:space="0" w:color="auto"/>
            <w:left w:val="none" w:sz="0" w:space="0" w:color="auto"/>
            <w:bottom w:val="none" w:sz="0" w:space="0" w:color="auto"/>
            <w:right w:val="none" w:sz="0" w:space="0" w:color="auto"/>
          </w:divBdr>
        </w:div>
      </w:divsChild>
    </w:div>
    <w:div w:id="1056587197">
      <w:marLeft w:val="0"/>
      <w:marRight w:val="0"/>
      <w:marTop w:val="0"/>
      <w:marBottom w:val="200"/>
      <w:divBdr>
        <w:top w:val="none" w:sz="0" w:space="0" w:color="auto"/>
        <w:left w:val="none" w:sz="0" w:space="0" w:color="auto"/>
        <w:bottom w:val="none" w:sz="0" w:space="0" w:color="auto"/>
        <w:right w:val="none" w:sz="0" w:space="0" w:color="auto"/>
      </w:divBdr>
    </w:div>
    <w:div w:id="1057783495">
      <w:marLeft w:val="0"/>
      <w:marRight w:val="0"/>
      <w:marTop w:val="100"/>
      <w:marBottom w:val="60"/>
      <w:divBdr>
        <w:top w:val="none" w:sz="0" w:space="0" w:color="auto"/>
        <w:left w:val="none" w:sz="0" w:space="0" w:color="auto"/>
        <w:bottom w:val="none" w:sz="0" w:space="0" w:color="auto"/>
        <w:right w:val="none" w:sz="0" w:space="0" w:color="auto"/>
      </w:divBdr>
    </w:div>
    <w:div w:id="1061440706">
      <w:marLeft w:val="0"/>
      <w:marRight w:val="0"/>
      <w:marTop w:val="0"/>
      <w:marBottom w:val="0"/>
      <w:divBdr>
        <w:top w:val="none" w:sz="0" w:space="0" w:color="auto"/>
        <w:left w:val="none" w:sz="0" w:space="0" w:color="auto"/>
        <w:bottom w:val="none" w:sz="0" w:space="0" w:color="auto"/>
        <w:right w:val="none" w:sz="0" w:space="0" w:color="auto"/>
      </w:divBdr>
      <w:divsChild>
        <w:div w:id="1153452887">
          <w:marLeft w:val="0"/>
          <w:marRight w:val="0"/>
          <w:marTop w:val="0"/>
          <w:marBottom w:val="0"/>
          <w:divBdr>
            <w:top w:val="none" w:sz="0" w:space="0" w:color="auto"/>
            <w:left w:val="none" w:sz="0" w:space="0" w:color="auto"/>
            <w:bottom w:val="none" w:sz="0" w:space="0" w:color="auto"/>
            <w:right w:val="none" w:sz="0" w:space="0" w:color="auto"/>
          </w:divBdr>
        </w:div>
        <w:div w:id="1489860314">
          <w:marLeft w:val="0"/>
          <w:marRight w:val="0"/>
          <w:marTop w:val="180"/>
          <w:marBottom w:val="0"/>
          <w:divBdr>
            <w:top w:val="none" w:sz="0" w:space="0" w:color="auto"/>
            <w:left w:val="none" w:sz="0" w:space="0" w:color="auto"/>
            <w:bottom w:val="none" w:sz="0" w:space="0" w:color="auto"/>
            <w:right w:val="none" w:sz="0" w:space="0" w:color="auto"/>
          </w:divBdr>
        </w:div>
      </w:divsChild>
    </w:div>
    <w:div w:id="1101219187">
      <w:marLeft w:val="0"/>
      <w:marRight w:val="0"/>
      <w:marTop w:val="0"/>
      <w:marBottom w:val="0"/>
      <w:divBdr>
        <w:top w:val="none" w:sz="0" w:space="0" w:color="auto"/>
        <w:left w:val="none" w:sz="0" w:space="0" w:color="auto"/>
        <w:bottom w:val="none" w:sz="0" w:space="0" w:color="auto"/>
        <w:right w:val="none" w:sz="0" w:space="0" w:color="auto"/>
      </w:divBdr>
      <w:divsChild>
        <w:div w:id="2011562589">
          <w:marLeft w:val="0"/>
          <w:marRight w:val="0"/>
          <w:marTop w:val="0"/>
          <w:marBottom w:val="0"/>
          <w:divBdr>
            <w:top w:val="none" w:sz="0" w:space="0" w:color="auto"/>
            <w:left w:val="none" w:sz="0" w:space="0" w:color="auto"/>
            <w:bottom w:val="none" w:sz="0" w:space="0" w:color="auto"/>
            <w:right w:val="none" w:sz="0" w:space="0" w:color="auto"/>
          </w:divBdr>
        </w:div>
      </w:divsChild>
    </w:div>
    <w:div w:id="1105734638">
      <w:marLeft w:val="0"/>
      <w:marRight w:val="0"/>
      <w:marTop w:val="100"/>
      <w:marBottom w:val="0"/>
      <w:divBdr>
        <w:top w:val="none" w:sz="0" w:space="0" w:color="auto"/>
        <w:left w:val="none" w:sz="0" w:space="0" w:color="auto"/>
        <w:bottom w:val="none" w:sz="0" w:space="0" w:color="auto"/>
        <w:right w:val="none" w:sz="0" w:space="0" w:color="auto"/>
      </w:divBdr>
    </w:div>
    <w:div w:id="1107196777">
      <w:marLeft w:val="0"/>
      <w:marRight w:val="0"/>
      <w:marTop w:val="0"/>
      <w:marBottom w:val="0"/>
      <w:divBdr>
        <w:top w:val="none" w:sz="0" w:space="0" w:color="auto"/>
        <w:left w:val="none" w:sz="0" w:space="0" w:color="auto"/>
        <w:bottom w:val="none" w:sz="0" w:space="0" w:color="auto"/>
        <w:right w:val="none" w:sz="0" w:space="0" w:color="auto"/>
      </w:divBdr>
    </w:div>
    <w:div w:id="1124273700">
      <w:marLeft w:val="0"/>
      <w:marRight w:val="0"/>
      <w:marTop w:val="100"/>
      <w:marBottom w:val="0"/>
      <w:divBdr>
        <w:top w:val="none" w:sz="0" w:space="0" w:color="auto"/>
        <w:left w:val="none" w:sz="0" w:space="0" w:color="auto"/>
        <w:bottom w:val="none" w:sz="0" w:space="0" w:color="auto"/>
        <w:right w:val="none" w:sz="0" w:space="0" w:color="auto"/>
      </w:divBdr>
    </w:div>
    <w:div w:id="1124496239">
      <w:marLeft w:val="0"/>
      <w:marRight w:val="0"/>
      <w:marTop w:val="0"/>
      <w:marBottom w:val="200"/>
      <w:divBdr>
        <w:top w:val="none" w:sz="0" w:space="0" w:color="auto"/>
        <w:left w:val="none" w:sz="0" w:space="0" w:color="auto"/>
        <w:bottom w:val="none" w:sz="0" w:space="0" w:color="auto"/>
        <w:right w:val="none" w:sz="0" w:space="0" w:color="auto"/>
      </w:divBdr>
    </w:div>
    <w:div w:id="1126508363">
      <w:marLeft w:val="0"/>
      <w:marRight w:val="0"/>
      <w:marTop w:val="0"/>
      <w:marBottom w:val="200"/>
      <w:divBdr>
        <w:top w:val="none" w:sz="0" w:space="0" w:color="auto"/>
        <w:left w:val="none" w:sz="0" w:space="0" w:color="auto"/>
        <w:bottom w:val="none" w:sz="0" w:space="0" w:color="auto"/>
        <w:right w:val="none" w:sz="0" w:space="0" w:color="auto"/>
      </w:divBdr>
    </w:div>
    <w:div w:id="1127816055">
      <w:marLeft w:val="0"/>
      <w:marRight w:val="0"/>
      <w:marTop w:val="100"/>
      <w:marBottom w:val="0"/>
      <w:divBdr>
        <w:top w:val="none" w:sz="0" w:space="0" w:color="auto"/>
        <w:left w:val="none" w:sz="0" w:space="0" w:color="auto"/>
        <w:bottom w:val="none" w:sz="0" w:space="0" w:color="auto"/>
        <w:right w:val="none" w:sz="0" w:space="0" w:color="auto"/>
      </w:divBdr>
    </w:div>
    <w:div w:id="1128936777">
      <w:marLeft w:val="0"/>
      <w:marRight w:val="0"/>
      <w:marTop w:val="0"/>
      <w:marBottom w:val="0"/>
      <w:divBdr>
        <w:top w:val="none" w:sz="0" w:space="0" w:color="auto"/>
        <w:left w:val="none" w:sz="0" w:space="0" w:color="auto"/>
        <w:bottom w:val="none" w:sz="0" w:space="0" w:color="auto"/>
        <w:right w:val="none" w:sz="0" w:space="0" w:color="auto"/>
      </w:divBdr>
      <w:divsChild>
        <w:div w:id="60908156">
          <w:marLeft w:val="0"/>
          <w:marRight w:val="0"/>
          <w:marTop w:val="0"/>
          <w:marBottom w:val="0"/>
          <w:divBdr>
            <w:top w:val="none" w:sz="0" w:space="0" w:color="auto"/>
            <w:left w:val="none" w:sz="0" w:space="0" w:color="auto"/>
            <w:bottom w:val="none" w:sz="0" w:space="0" w:color="auto"/>
            <w:right w:val="none" w:sz="0" w:space="0" w:color="auto"/>
          </w:divBdr>
        </w:div>
      </w:divsChild>
    </w:div>
    <w:div w:id="1131904203">
      <w:marLeft w:val="0"/>
      <w:marRight w:val="0"/>
      <w:marTop w:val="0"/>
      <w:marBottom w:val="200"/>
      <w:divBdr>
        <w:top w:val="none" w:sz="0" w:space="0" w:color="auto"/>
        <w:left w:val="none" w:sz="0" w:space="0" w:color="auto"/>
        <w:bottom w:val="none" w:sz="0" w:space="0" w:color="auto"/>
        <w:right w:val="none" w:sz="0" w:space="0" w:color="auto"/>
      </w:divBdr>
    </w:div>
    <w:div w:id="1153064579">
      <w:marLeft w:val="0"/>
      <w:marRight w:val="0"/>
      <w:marTop w:val="0"/>
      <w:marBottom w:val="0"/>
      <w:divBdr>
        <w:top w:val="none" w:sz="0" w:space="0" w:color="auto"/>
        <w:left w:val="none" w:sz="0" w:space="0" w:color="auto"/>
        <w:bottom w:val="none" w:sz="0" w:space="0" w:color="auto"/>
        <w:right w:val="none" w:sz="0" w:space="0" w:color="auto"/>
      </w:divBdr>
      <w:divsChild>
        <w:div w:id="708922754">
          <w:marLeft w:val="0"/>
          <w:marRight w:val="0"/>
          <w:marTop w:val="0"/>
          <w:marBottom w:val="0"/>
          <w:divBdr>
            <w:top w:val="none" w:sz="0" w:space="0" w:color="auto"/>
            <w:left w:val="none" w:sz="0" w:space="0" w:color="auto"/>
            <w:bottom w:val="none" w:sz="0" w:space="0" w:color="auto"/>
            <w:right w:val="none" w:sz="0" w:space="0" w:color="auto"/>
          </w:divBdr>
        </w:div>
        <w:div w:id="68163794">
          <w:marLeft w:val="0"/>
          <w:marRight w:val="0"/>
          <w:marTop w:val="180"/>
          <w:marBottom w:val="0"/>
          <w:divBdr>
            <w:top w:val="none" w:sz="0" w:space="0" w:color="auto"/>
            <w:left w:val="none" w:sz="0" w:space="0" w:color="auto"/>
            <w:bottom w:val="none" w:sz="0" w:space="0" w:color="auto"/>
            <w:right w:val="none" w:sz="0" w:space="0" w:color="auto"/>
          </w:divBdr>
        </w:div>
      </w:divsChild>
    </w:div>
    <w:div w:id="1155804146">
      <w:marLeft w:val="0"/>
      <w:marRight w:val="0"/>
      <w:marTop w:val="0"/>
      <w:marBottom w:val="0"/>
      <w:divBdr>
        <w:top w:val="none" w:sz="0" w:space="0" w:color="auto"/>
        <w:left w:val="none" w:sz="0" w:space="0" w:color="auto"/>
        <w:bottom w:val="none" w:sz="0" w:space="0" w:color="auto"/>
        <w:right w:val="none" w:sz="0" w:space="0" w:color="auto"/>
      </w:divBdr>
      <w:divsChild>
        <w:div w:id="116333885">
          <w:marLeft w:val="0"/>
          <w:marRight w:val="0"/>
          <w:marTop w:val="0"/>
          <w:marBottom w:val="0"/>
          <w:divBdr>
            <w:top w:val="none" w:sz="0" w:space="0" w:color="auto"/>
            <w:left w:val="none" w:sz="0" w:space="0" w:color="auto"/>
            <w:bottom w:val="none" w:sz="0" w:space="0" w:color="auto"/>
            <w:right w:val="none" w:sz="0" w:space="0" w:color="auto"/>
          </w:divBdr>
        </w:div>
      </w:divsChild>
    </w:div>
    <w:div w:id="1162506051">
      <w:marLeft w:val="0"/>
      <w:marRight w:val="0"/>
      <w:marTop w:val="0"/>
      <w:marBottom w:val="200"/>
      <w:divBdr>
        <w:top w:val="none" w:sz="0" w:space="0" w:color="auto"/>
        <w:left w:val="none" w:sz="0" w:space="0" w:color="auto"/>
        <w:bottom w:val="none" w:sz="0" w:space="0" w:color="auto"/>
        <w:right w:val="none" w:sz="0" w:space="0" w:color="auto"/>
      </w:divBdr>
    </w:div>
    <w:div w:id="1163620822">
      <w:marLeft w:val="0"/>
      <w:marRight w:val="0"/>
      <w:marTop w:val="100"/>
      <w:marBottom w:val="60"/>
      <w:divBdr>
        <w:top w:val="none" w:sz="0" w:space="0" w:color="auto"/>
        <w:left w:val="none" w:sz="0" w:space="0" w:color="auto"/>
        <w:bottom w:val="none" w:sz="0" w:space="0" w:color="auto"/>
        <w:right w:val="none" w:sz="0" w:space="0" w:color="auto"/>
      </w:divBdr>
    </w:div>
    <w:div w:id="1167597916">
      <w:marLeft w:val="0"/>
      <w:marRight w:val="0"/>
      <w:marTop w:val="200"/>
      <w:marBottom w:val="0"/>
      <w:divBdr>
        <w:top w:val="none" w:sz="0" w:space="0" w:color="auto"/>
        <w:left w:val="none" w:sz="0" w:space="0" w:color="auto"/>
        <w:bottom w:val="none" w:sz="0" w:space="0" w:color="auto"/>
        <w:right w:val="none" w:sz="0" w:space="0" w:color="auto"/>
      </w:divBdr>
    </w:div>
    <w:div w:id="1173300209">
      <w:marLeft w:val="0"/>
      <w:marRight w:val="0"/>
      <w:marTop w:val="0"/>
      <w:marBottom w:val="0"/>
      <w:divBdr>
        <w:top w:val="none" w:sz="0" w:space="0" w:color="auto"/>
        <w:left w:val="none" w:sz="0" w:space="0" w:color="auto"/>
        <w:bottom w:val="none" w:sz="0" w:space="0" w:color="auto"/>
        <w:right w:val="none" w:sz="0" w:space="0" w:color="auto"/>
      </w:divBdr>
    </w:div>
    <w:div w:id="1174682177">
      <w:marLeft w:val="0"/>
      <w:marRight w:val="0"/>
      <w:marTop w:val="0"/>
      <w:marBottom w:val="200"/>
      <w:divBdr>
        <w:top w:val="none" w:sz="0" w:space="0" w:color="auto"/>
        <w:left w:val="none" w:sz="0" w:space="0" w:color="auto"/>
        <w:bottom w:val="none" w:sz="0" w:space="0" w:color="auto"/>
        <w:right w:val="none" w:sz="0" w:space="0" w:color="auto"/>
      </w:divBdr>
    </w:div>
    <w:div w:id="1187325776">
      <w:marLeft w:val="0"/>
      <w:marRight w:val="0"/>
      <w:marTop w:val="0"/>
      <w:marBottom w:val="0"/>
      <w:divBdr>
        <w:top w:val="none" w:sz="0" w:space="0" w:color="auto"/>
        <w:left w:val="none" w:sz="0" w:space="0" w:color="auto"/>
        <w:bottom w:val="none" w:sz="0" w:space="0" w:color="auto"/>
        <w:right w:val="none" w:sz="0" w:space="0" w:color="auto"/>
      </w:divBdr>
      <w:divsChild>
        <w:div w:id="1265260885">
          <w:marLeft w:val="0"/>
          <w:marRight w:val="0"/>
          <w:marTop w:val="0"/>
          <w:marBottom w:val="0"/>
          <w:divBdr>
            <w:top w:val="none" w:sz="0" w:space="0" w:color="auto"/>
            <w:left w:val="none" w:sz="0" w:space="0" w:color="auto"/>
            <w:bottom w:val="none" w:sz="0" w:space="0" w:color="auto"/>
            <w:right w:val="none" w:sz="0" w:space="0" w:color="auto"/>
          </w:divBdr>
        </w:div>
      </w:divsChild>
    </w:div>
    <w:div w:id="1197768003">
      <w:marLeft w:val="0"/>
      <w:marRight w:val="0"/>
      <w:marTop w:val="200"/>
      <w:marBottom w:val="0"/>
      <w:divBdr>
        <w:top w:val="none" w:sz="0" w:space="0" w:color="auto"/>
        <w:left w:val="none" w:sz="0" w:space="0" w:color="auto"/>
        <w:bottom w:val="none" w:sz="0" w:space="0" w:color="auto"/>
        <w:right w:val="none" w:sz="0" w:space="0" w:color="auto"/>
      </w:divBdr>
    </w:div>
    <w:div w:id="1202400752">
      <w:marLeft w:val="0"/>
      <w:marRight w:val="0"/>
      <w:marTop w:val="0"/>
      <w:marBottom w:val="200"/>
      <w:divBdr>
        <w:top w:val="none" w:sz="0" w:space="0" w:color="auto"/>
        <w:left w:val="none" w:sz="0" w:space="0" w:color="auto"/>
        <w:bottom w:val="none" w:sz="0" w:space="0" w:color="auto"/>
        <w:right w:val="none" w:sz="0" w:space="0" w:color="auto"/>
      </w:divBdr>
    </w:div>
    <w:div w:id="1213035722">
      <w:marLeft w:val="0"/>
      <w:marRight w:val="0"/>
      <w:marTop w:val="100"/>
      <w:marBottom w:val="60"/>
      <w:divBdr>
        <w:top w:val="none" w:sz="0" w:space="0" w:color="auto"/>
        <w:left w:val="none" w:sz="0" w:space="0" w:color="auto"/>
        <w:bottom w:val="none" w:sz="0" w:space="0" w:color="auto"/>
        <w:right w:val="none" w:sz="0" w:space="0" w:color="auto"/>
      </w:divBdr>
    </w:div>
    <w:div w:id="1216159233">
      <w:marLeft w:val="0"/>
      <w:marRight w:val="0"/>
      <w:marTop w:val="0"/>
      <w:marBottom w:val="200"/>
      <w:divBdr>
        <w:top w:val="none" w:sz="0" w:space="0" w:color="auto"/>
        <w:left w:val="none" w:sz="0" w:space="0" w:color="auto"/>
        <w:bottom w:val="none" w:sz="0" w:space="0" w:color="auto"/>
        <w:right w:val="none" w:sz="0" w:space="0" w:color="auto"/>
      </w:divBdr>
    </w:div>
    <w:div w:id="1217009456">
      <w:marLeft w:val="0"/>
      <w:marRight w:val="0"/>
      <w:marTop w:val="0"/>
      <w:marBottom w:val="200"/>
      <w:divBdr>
        <w:top w:val="none" w:sz="0" w:space="0" w:color="auto"/>
        <w:left w:val="none" w:sz="0" w:space="0" w:color="auto"/>
        <w:bottom w:val="none" w:sz="0" w:space="0" w:color="auto"/>
        <w:right w:val="none" w:sz="0" w:space="0" w:color="auto"/>
      </w:divBdr>
    </w:div>
    <w:div w:id="1225414119">
      <w:marLeft w:val="0"/>
      <w:marRight w:val="0"/>
      <w:marTop w:val="0"/>
      <w:marBottom w:val="0"/>
      <w:divBdr>
        <w:top w:val="none" w:sz="0" w:space="0" w:color="auto"/>
        <w:left w:val="none" w:sz="0" w:space="0" w:color="auto"/>
        <w:bottom w:val="none" w:sz="0" w:space="0" w:color="auto"/>
        <w:right w:val="none" w:sz="0" w:space="0" w:color="auto"/>
      </w:divBdr>
      <w:divsChild>
        <w:div w:id="895355079">
          <w:marLeft w:val="0"/>
          <w:marRight w:val="0"/>
          <w:marTop w:val="0"/>
          <w:marBottom w:val="0"/>
          <w:divBdr>
            <w:top w:val="none" w:sz="0" w:space="0" w:color="auto"/>
            <w:left w:val="none" w:sz="0" w:space="0" w:color="auto"/>
            <w:bottom w:val="none" w:sz="0" w:space="0" w:color="auto"/>
            <w:right w:val="none" w:sz="0" w:space="0" w:color="auto"/>
          </w:divBdr>
        </w:div>
      </w:divsChild>
    </w:div>
    <w:div w:id="1226338507">
      <w:marLeft w:val="0"/>
      <w:marRight w:val="0"/>
      <w:marTop w:val="0"/>
      <w:marBottom w:val="0"/>
      <w:divBdr>
        <w:top w:val="none" w:sz="0" w:space="0" w:color="auto"/>
        <w:left w:val="none" w:sz="0" w:space="0" w:color="auto"/>
        <w:bottom w:val="none" w:sz="0" w:space="0" w:color="auto"/>
        <w:right w:val="none" w:sz="0" w:space="0" w:color="auto"/>
      </w:divBdr>
      <w:divsChild>
        <w:div w:id="293606855">
          <w:marLeft w:val="0"/>
          <w:marRight w:val="0"/>
          <w:marTop w:val="0"/>
          <w:marBottom w:val="0"/>
          <w:divBdr>
            <w:top w:val="none" w:sz="0" w:space="0" w:color="auto"/>
            <w:left w:val="none" w:sz="0" w:space="0" w:color="auto"/>
            <w:bottom w:val="none" w:sz="0" w:space="0" w:color="auto"/>
            <w:right w:val="none" w:sz="0" w:space="0" w:color="auto"/>
          </w:divBdr>
        </w:div>
        <w:div w:id="322247450">
          <w:marLeft w:val="0"/>
          <w:marRight w:val="0"/>
          <w:marTop w:val="180"/>
          <w:marBottom w:val="0"/>
          <w:divBdr>
            <w:top w:val="none" w:sz="0" w:space="0" w:color="auto"/>
            <w:left w:val="none" w:sz="0" w:space="0" w:color="auto"/>
            <w:bottom w:val="none" w:sz="0" w:space="0" w:color="auto"/>
            <w:right w:val="none" w:sz="0" w:space="0" w:color="auto"/>
          </w:divBdr>
        </w:div>
      </w:divsChild>
    </w:div>
    <w:div w:id="1236552604">
      <w:marLeft w:val="0"/>
      <w:marRight w:val="0"/>
      <w:marTop w:val="20"/>
      <w:marBottom w:val="0"/>
      <w:divBdr>
        <w:top w:val="none" w:sz="0" w:space="0" w:color="auto"/>
        <w:left w:val="none" w:sz="0" w:space="0" w:color="auto"/>
        <w:bottom w:val="none" w:sz="0" w:space="0" w:color="auto"/>
        <w:right w:val="none" w:sz="0" w:space="0" w:color="auto"/>
      </w:divBdr>
    </w:div>
    <w:div w:id="1237397189">
      <w:marLeft w:val="0"/>
      <w:marRight w:val="0"/>
      <w:marTop w:val="0"/>
      <w:marBottom w:val="100"/>
      <w:divBdr>
        <w:top w:val="none" w:sz="0" w:space="0" w:color="auto"/>
        <w:left w:val="none" w:sz="0" w:space="0" w:color="auto"/>
        <w:bottom w:val="none" w:sz="0" w:space="0" w:color="auto"/>
        <w:right w:val="none" w:sz="0" w:space="0" w:color="auto"/>
      </w:divBdr>
      <w:divsChild>
        <w:div w:id="474488194">
          <w:marLeft w:val="0"/>
          <w:marRight w:val="0"/>
          <w:marTop w:val="0"/>
          <w:marBottom w:val="0"/>
          <w:divBdr>
            <w:top w:val="none" w:sz="0" w:space="0" w:color="auto"/>
            <w:left w:val="none" w:sz="0" w:space="0" w:color="auto"/>
            <w:bottom w:val="none" w:sz="0" w:space="0" w:color="auto"/>
            <w:right w:val="none" w:sz="0" w:space="0" w:color="auto"/>
          </w:divBdr>
        </w:div>
        <w:div w:id="521359947">
          <w:marLeft w:val="0"/>
          <w:marRight w:val="0"/>
          <w:marTop w:val="0"/>
          <w:marBottom w:val="0"/>
          <w:divBdr>
            <w:top w:val="none" w:sz="0" w:space="0" w:color="auto"/>
            <w:left w:val="none" w:sz="0" w:space="0" w:color="auto"/>
            <w:bottom w:val="none" w:sz="0" w:space="0" w:color="auto"/>
            <w:right w:val="none" w:sz="0" w:space="0" w:color="auto"/>
          </w:divBdr>
        </w:div>
        <w:div w:id="581598318">
          <w:marLeft w:val="0"/>
          <w:marRight w:val="0"/>
          <w:marTop w:val="0"/>
          <w:marBottom w:val="0"/>
          <w:divBdr>
            <w:top w:val="none" w:sz="0" w:space="0" w:color="auto"/>
            <w:left w:val="none" w:sz="0" w:space="0" w:color="auto"/>
            <w:bottom w:val="none" w:sz="0" w:space="0" w:color="auto"/>
            <w:right w:val="none" w:sz="0" w:space="0" w:color="auto"/>
          </w:divBdr>
        </w:div>
        <w:div w:id="832841750">
          <w:marLeft w:val="0"/>
          <w:marRight w:val="0"/>
          <w:marTop w:val="0"/>
          <w:marBottom w:val="0"/>
          <w:divBdr>
            <w:top w:val="none" w:sz="0" w:space="0" w:color="auto"/>
            <w:left w:val="none" w:sz="0" w:space="0" w:color="auto"/>
            <w:bottom w:val="none" w:sz="0" w:space="0" w:color="auto"/>
            <w:right w:val="none" w:sz="0" w:space="0" w:color="auto"/>
          </w:divBdr>
        </w:div>
        <w:div w:id="1949967109">
          <w:marLeft w:val="0"/>
          <w:marRight w:val="0"/>
          <w:marTop w:val="0"/>
          <w:marBottom w:val="0"/>
          <w:divBdr>
            <w:top w:val="none" w:sz="0" w:space="0" w:color="auto"/>
            <w:left w:val="none" w:sz="0" w:space="0" w:color="auto"/>
            <w:bottom w:val="none" w:sz="0" w:space="0" w:color="auto"/>
            <w:right w:val="none" w:sz="0" w:space="0" w:color="auto"/>
          </w:divBdr>
        </w:div>
        <w:div w:id="333269191">
          <w:marLeft w:val="0"/>
          <w:marRight w:val="0"/>
          <w:marTop w:val="0"/>
          <w:marBottom w:val="0"/>
          <w:divBdr>
            <w:top w:val="none" w:sz="0" w:space="0" w:color="auto"/>
            <w:left w:val="none" w:sz="0" w:space="0" w:color="auto"/>
            <w:bottom w:val="none" w:sz="0" w:space="0" w:color="auto"/>
            <w:right w:val="none" w:sz="0" w:space="0" w:color="auto"/>
          </w:divBdr>
        </w:div>
        <w:div w:id="718284547">
          <w:marLeft w:val="0"/>
          <w:marRight w:val="0"/>
          <w:marTop w:val="0"/>
          <w:marBottom w:val="0"/>
          <w:divBdr>
            <w:top w:val="none" w:sz="0" w:space="0" w:color="auto"/>
            <w:left w:val="none" w:sz="0" w:space="0" w:color="auto"/>
            <w:bottom w:val="none" w:sz="0" w:space="0" w:color="auto"/>
            <w:right w:val="none" w:sz="0" w:space="0" w:color="auto"/>
          </w:divBdr>
        </w:div>
        <w:div w:id="749499565">
          <w:marLeft w:val="0"/>
          <w:marRight w:val="0"/>
          <w:marTop w:val="0"/>
          <w:marBottom w:val="0"/>
          <w:divBdr>
            <w:top w:val="none" w:sz="0" w:space="0" w:color="auto"/>
            <w:left w:val="none" w:sz="0" w:space="0" w:color="auto"/>
            <w:bottom w:val="none" w:sz="0" w:space="0" w:color="auto"/>
            <w:right w:val="none" w:sz="0" w:space="0" w:color="auto"/>
          </w:divBdr>
        </w:div>
        <w:div w:id="864371738">
          <w:marLeft w:val="0"/>
          <w:marRight w:val="0"/>
          <w:marTop w:val="0"/>
          <w:marBottom w:val="0"/>
          <w:divBdr>
            <w:top w:val="none" w:sz="0" w:space="0" w:color="auto"/>
            <w:left w:val="none" w:sz="0" w:space="0" w:color="auto"/>
            <w:bottom w:val="none" w:sz="0" w:space="0" w:color="auto"/>
            <w:right w:val="none" w:sz="0" w:space="0" w:color="auto"/>
          </w:divBdr>
        </w:div>
        <w:div w:id="796223179">
          <w:marLeft w:val="0"/>
          <w:marRight w:val="0"/>
          <w:marTop w:val="0"/>
          <w:marBottom w:val="0"/>
          <w:divBdr>
            <w:top w:val="none" w:sz="0" w:space="0" w:color="auto"/>
            <w:left w:val="none" w:sz="0" w:space="0" w:color="auto"/>
            <w:bottom w:val="none" w:sz="0" w:space="0" w:color="auto"/>
            <w:right w:val="none" w:sz="0" w:space="0" w:color="auto"/>
          </w:divBdr>
        </w:div>
        <w:div w:id="414279578">
          <w:marLeft w:val="0"/>
          <w:marRight w:val="0"/>
          <w:marTop w:val="0"/>
          <w:marBottom w:val="0"/>
          <w:divBdr>
            <w:top w:val="none" w:sz="0" w:space="0" w:color="auto"/>
            <w:left w:val="none" w:sz="0" w:space="0" w:color="auto"/>
            <w:bottom w:val="none" w:sz="0" w:space="0" w:color="auto"/>
            <w:right w:val="none" w:sz="0" w:space="0" w:color="auto"/>
          </w:divBdr>
        </w:div>
        <w:div w:id="455031477">
          <w:marLeft w:val="0"/>
          <w:marRight w:val="0"/>
          <w:marTop w:val="0"/>
          <w:marBottom w:val="0"/>
          <w:divBdr>
            <w:top w:val="none" w:sz="0" w:space="0" w:color="auto"/>
            <w:left w:val="none" w:sz="0" w:space="0" w:color="auto"/>
            <w:bottom w:val="none" w:sz="0" w:space="0" w:color="auto"/>
            <w:right w:val="none" w:sz="0" w:space="0" w:color="auto"/>
          </w:divBdr>
        </w:div>
        <w:div w:id="1416511228">
          <w:marLeft w:val="0"/>
          <w:marRight w:val="0"/>
          <w:marTop w:val="0"/>
          <w:marBottom w:val="0"/>
          <w:divBdr>
            <w:top w:val="none" w:sz="0" w:space="0" w:color="auto"/>
            <w:left w:val="none" w:sz="0" w:space="0" w:color="auto"/>
            <w:bottom w:val="none" w:sz="0" w:space="0" w:color="auto"/>
            <w:right w:val="none" w:sz="0" w:space="0" w:color="auto"/>
          </w:divBdr>
        </w:div>
        <w:div w:id="1833520159">
          <w:marLeft w:val="0"/>
          <w:marRight w:val="0"/>
          <w:marTop w:val="0"/>
          <w:marBottom w:val="0"/>
          <w:divBdr>
            <w:top w:val="none" w:sz="0" w:space="0" w:color="auto"/>
            <w:left w:val="none" w:sz="0" w:space="0" w:color="auto"/>
            <w:bottom w:val="none" w:sz="0" w:space="0" w:color="auto"/>
            <w:right w:val="none" w:sz="0" w:space="0" w:color="auto"/>
          </w:divBdr>
        </w:div>
        <w:div w:id="1770587105">
          <w:marLeft w:val="0"/>
          <w:marRight w:val="0"/>
          <w:marTop w:val="0"/>
          <w:marBottom w:val="0"/>
          <w:divBdr>
            <w:top w:val="none" w:sz="0" w:space="0" w:color="auto"/>
            <w:left w:val="none" w:sz="0" w:space="0" w:color="auto"/>
            <w:bottom w:val="none" w:sz="0" w:space="0" w:color="auto"/>
            <w:right w:val="none" w:sz="0" w:space="0" w:color="auto"/>
          </w:divBdr>
        </w:div>
        <w:div w:id="1238517815">
          <w:marLeft w:val="0"/>
          <w:marRight w:val="0"/>
          <w:marTop w:val="0"/>
          <w:marBottom w:val="0"/>
          <w:divBdr>
            <w:top w:val="none" w:sz="0" w:space="0" w:color="auto"/>
            <w:left w:val="none" w:sz="0" w:space="0" w:color="auto"/>
            <w:bottom w:val="none" w:sz="0" w:space="0" w:color="auto"/>
            <w:right w:val="none" w:sz="0" w:space="0" w:color="auto"/>
          </w:divBdr>
        </w:div>
      </w:divsChild>
    </w:div>
    <w:div w:id="1241982158">
      <w:marLeft w:val="0"/>
      <w:marRight w:val="0"/>
      <w:marTop w:val="0"/>
      <w:marBottom w:val="200"/>
      <w:divBdr>
        <w:top w:val="none" w:sz="0" w:space="0" w:color="auto"/>
        <w:left w:val="none" w:sz="0" w:space="0" w:color="auto"/>
        <w:bottom w:val="none" w:sz="0" w:space="0" w:color="auto"/>
        <w:right w:val="none" w:sz="0" w:space="0" w:color="auto"/>
      </w:divBdr>
    </w:div>
    <w:div w:id="1245066941">
      <w:marLeft w:val="0"/>
      <w:marRight w:val="0"/>
      <w:marTop w:val="100"/>
      <w:marBottom w:val="60"/>
      <w:divBdr>
        <w:top w:val="none" w:sz="0" w:space="0" w:color="auto"/>
        <w:left w:val="none" w:sz="0" w:space="0" w:color="auto"/>
        <w:bottom w:val="none" w:sz="0" w:space="0" w:color="auto"/>
        <w:right w:val="none" w:sz="0" w:space="0" w:color="auto"/>
      </w:divBdr>
    </w:div>
    <w:div w:id="1254044955">
      <w:marLeft w:val="0"/>
      <w:marRight w:val="0"/>
      <w:marTop w:val="200"/>
      <w:marBottom w:val="0"/>
      <w:divBdr>
        <w:top w:val="none" w:sz="0" w:space="0" w:color="auto"/>
        <w:left w:val="none" w:sz="0" w:space="0" w:color="auto"/>
        <w:bottom w:val="none" w:sz="0" w:space="0" w:color="auto"/>
        <w:right w:val="none" w:sz="0" w:space="0" w:color="auto"/>
      </w:divBdr>
    </w:div>
    <w:div w:id="1256088243">
      <w:marLeft w:val="0"/>
      <w:marRight w:val="0"/>
      <w:marTop w:val="0"/>
      <w:marBottom w:val="0"/>
      <w:divBdr>
        <w:top w:val="none" w:sz="0" w:space="0" w:color="auto"/>
        <w:left w:val="none" w:sz="0" w:space="0" w:color="auto"/>
        <w:bottom w:val="none" w:sz="0" w:space="0" w:color="auto"/>
        <w:right w:val="none" w:sz="0" w:space="0" w:color="auto"/>
      </w:divBdr>
      <w:divsChild>
        <w:div w:id="1779373186">
          <w:marLeft w:val="0"/>
          <w:marRight w:val="0"/>
          <w:marTop w:val="0"/>
          <w:marBottom w:val="0"/>
          <w:divBdr>
            <w:top w:val="none" w:sz="0" w:space="0" w:color="auto"/>
            <w:left w:val="none" w:sz="0" w:space="0" w:color="auto"/>
            <w:bottom w:val="none" w:sz="0" w:space="0" w:color="auto"/>
            <w:right w:val="none" w:sz="0" w:space="0" w:color="auto"/>
          </w:divBdr>
        </w:div>
      </w:divsChild>
    </w:div>
    <w:div w:id="1256480419">
      <w:marLeft w:val="0"/>
      <w:marRight w:val="0"/>
      <w:marTop w:val="120"/>
      <w:marBottom w:val="0"/>
      <w:divBdr>
        <w:top w:val="none" w:sz="0" w:space="0" w:color="auto"/>
        <w:left w:val="none" w:sz="0" w:space="0" w:color="auto"/>
        <w:bottom w:val="none" w:sz="0" w:space="0" w:color="auto"/>
        <w:right w:val="none" w:sz="0" w:space="0" w:color="auto"/>
      </w:divBdr>
    </w:div>
    <w:div w:id="1257980923">
      <w:marLeft w:val="0"/>
      <w:marRight w:val="0"/>
      <w:marTop w:val="0"/>
      <w:marBottom w:val="0"/>
      <w:divBdr>
        <w:top w:val="none" w:sz="0" w:space="0" w:color="auto"/>
        <w:left w:val="none" w:sz="0" w:space="0" w:color="auto"/>
        <w:bottom w:val="none" w:sz="0" w:space="0" w:color="auto"/>
        <w:right w:val="none" w:sz="0" w:space="0" w:color="auto"/>
      </w:divBdr>
    </w:div>
    <w:div w:id="1258636720">
      <w:marLeft w:val="0"/>
      <w:marRight w:val="0"/>
      <w:marTop w:val="0"/>
      <w:marBottom w:val="0"/>
      <w:divBdr>
        <w:top w:val="none" w:sz="0" w:space="0" w:color="auto"/>
        <w:left w:val="none" w:sz="0" w:space="0" w:color="auto"/>
        <w:bottom w:val="none" w:sz="0" w:space="0" w:color="auto"/>
        <w:right w:val="none" w:sz="0" w:space="0" w:color="auto"/>
      </w:divBdr>
    </w:div>
    <w:div w:id="1266614851">
      <w:marLeft w:val="0"/>
      <w:marRight w:val="0"/>
      <w:marTop w:val="0"/>
      <w:marBottom w:val="200"/>
      <w:divBdr>
        <w:top w:val="none" w:sz="0" w:space="0" w:color="auto"/>
        <w:left w:val="none" w:sz="0" w:space="0" w:color="auto"/>
        <w:bottom w:val="none" w:sz="0" w:space="0" w:color="auto"/>
        <w:right w:val="none" w:sz="0" w:space="0" w:color="auto"/>
      </w:divBdr>
    </w:div>
    <w:div w:id="1272009696">
      <w:marLeft w:val="0"/>
      <w:marRight w:val="0"/>
      <w:marTop w:val="0"/>
      <w:marBottom w:val="200"/>
      <w:divBdr>
        <w:top w:val="none" w:sz="0" w:space="0" w:color="auto"/>
        <w:left w:val="none" w:sz="0" w:space="0" w:color="auto"/>
        <w:bottom w:val="none" w:sz="0" w:space="0" w:color="auto"/>
        <w:right w:val="none" w:sz="0" w:space="0" w:color="auto"/>
      </w:divBdr>
    </w:div>
    <w:div w:id="1273048720">
      <w:marLeft w:val="0"/>
      <w:marRight w:val="0"/>
      <w:marTop w:val="0"/>
      <w:marBottom w:val="200"/>
      <w:divBdr>
        <w:top w:val="none" w:sz="0" w:space="0" w:color="auto"/>
        <w:left w:val="none" w:sz="0" w:space="0" w:color="auto"/>
        <w:bottom w:val="none" w:sz="0" w:space="0" w:color="auto"/>
        <w:right w:val="none" w:sz="0" w:space="0" w:color="auto"/>
      </w:divBdr>
    </w:div>
    <w:div w:id="1275940419">
      <w:marLeft w:val="0"/>
      <w:marRight w:val="0"/>
      <w:marTop w:val="0"/>
      <w:marBottom w:val="0"/>
      <w:divBdr>
        <w:top w:val="none" w:sz="0" w:space="0" w:color="auto"/>
        <w:left w:val="none" w:sz="0" w:space="0" w:color="auto"/>
        <w:bottom w:val="none" w:sz="0" w:space="0" w:color="auto"/>
        <w:right w:val="none" w:sz="0" w:space="0" w:color="auto"/>
      </w:divBdr>
      <w:divsChild>
        <w:div w:id="1432317495">
          <w:marLeft w:val="0"/>
          <w:marRight w:val="0"/>
          <w:marTop w:val="0"/>
          <w:marBottom w:val="0"/>
          <w:divBdr>
            <w:top w:val="none" w:sz="0" w:space="0" w:color="auto"/>
            <w:left w:val="none" w:sz="0" w:space="0" w:color="auto"/>
            <w:bottom w:val="none" w:sz="0" w:space="0" w:color="auto"/>
            <w:right w:val="none" w:sz="0" w:space="0" w:color="auto"/>
          </w:divBdr>
        </w:div>
      </w:divsChild>
    </w:div>
    <w:div w:id="1290820997">
      <w:marLeft w:val="0"/>
      <w:marRight w:val="0"/>
      <w:marTop w:val="0"/>
      <w:marBottom w:val="0"/>
      <w:divBdr>
        <w:top w:val="none" w:sz="0" w:space="0" w:color="auto"/>
        <w:left w:val="none" w:sz="0" w:space="0" w:color="auto"/>
        <w:bottom w:val="none" w:sz="0" w:space="0" w:color="auto"/>
        <w:right w:val="none" w:sz="0" w:space="0" w:color="auto"/>
      </w:divBdr>
      <w:divsChild>
        <w:div w:id="964000672">
          <w:marLeft w:val="0"/>
          <w:marRight w:val="0"/>
          <w:marTop w:val="0"/>
          <w:marBottom w:val="0"/>
          <w:divBdr>
            <w:top w:val="none" w:sz="0" w:space="0" w:color="auto"/>
            <w:left w:val="none" w:sz="0" w:space="0" w:color="auto"/>
            <w:bottom w:val="none" w:sz="0" w:space="0" w:color="auto"/>
            <w:right w:val="none" w:sz="0" w:space="0" w:color="auto"/>
          </w:divBdr>
        </w:div>
      </w:divsChild>
    </w:div>
    <w:div w:id="1291476304">
      <w:marLeft w:val="0"/>
      <w:marRight w:val="0"/>
      <w:marTop w:val="0"/>
      <w:marBottom w:val="0"/>
      <w:divBdr>
        <w:top w:val="none" w:sz="0" w:space="0" w:color="auto"/>
        <w:left w:val="none" w:sz="0" w:space="0" w:color="auto"/>
        <w:bottom w:val="none" w:sz="0" w:space="0" w:color="auto"/>
        <w:right w:val="none" w:sz="0" w:space="0" w:color="auto"/>
      </w:divBdr>
      <w:divsChild>
        <w:div w:id="323120518">
          <w:marLeft w:val="0"/>
          <w:marRight w:val="0"/>
          <w:marTop w:val="0"/>
          <w:marBottom w:val="0"/>
          <w:divBdr>
            <w:top w:val="none" w:sz="0" w:space="0" w:color="auto"/>
            <w:left w:val="none" w:sz="0" w:space="0" w:color="auto"/>
            <w:bottom w:val="none" w:sz="0" w:space="0" w:color="auto"/>
            <w:right w:val="none" w:sz="0" w:space="0" w:color="auto"/>
          </w:divBdr>
          <w:divsChild>
            <w:div w:id="5057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9165">
      <w:marLeft w:val="0"/>
      <w:marRight w:val="0"/>
      <w:marTop w:val="0"/>
      <w:marBottom w:val="200"/>
      <w:divBdr>
        <w:top w:val="none" w:sz="0" w:space="0" w:color="auto"/>
        <w:left w:val="none" w:sz="0" w:space="0" w:color="auto"/>
        <w:bottom w:val="none" w:sz="0" w:space="0" w:color="auto"/>
        <w:right w:val="none" w:sz="0" w:space="0" w:color="auto"/>
      </w:divBdr>
    </w:div>
    <w:div w:id="1312902195">
      <w:marLeft w:val="0"/>
      <w:marRight w:val="0"/>
      <w:marTop w:val="0"/>
      <w:marBottom w:val="0"/>
      <w:divBdr>
        <w:top w:val="none" w:sz="0" w:space="0" w:color="auto"/>
        <w:left w:val="none" w:sz="0" w:space="0" w:color="auto"/>
        <w:bottom w:val="none" w:sz="0" w:space="0" w:color="auto"/>
        <w:right w:val="none" w:sz="0" w:space="0" w:color="auto"/>
      </w:divBdr>
      <w:divsChild>
        <w:div w:id="538126277">
          <w:marLeft w:val="0"/>
          <w:marRight w:val="0"/>
          <w:marTop w:val="0"/>
          <w:marBottom w:val="0"/>
          <w:divBdr>
            <w:top w:val="none" w:sz="0" w:space="0" w:color="auto"/>
            <w:left w:val="none" w:sz="0" w:space="0" w:color="auto"/>
            <w:bottom w:val="none" w:sz="0" w:space="0" w:color="auto"/>
            <w:right w:val="none" w:sz="0" w:space="0" w:color="auto"/>
          </w:divBdr>
        </w:div>
      </w:divsChild>
    </w:div>
    <w:div w:id="1315797540">
      <w:marLeft w:val="0"/>
      <w:marRight w:val="0"/>
      <w:marTop w:val="0"/>
      <w:marBottom w:val="200"/>
      <w:divBdr>
        <w:top w:val="none" w:sz="0" w:space="0" w:color="auto"/>
        <w:left w:val="none" w:sz="0" w:space="0" w:color="auto"/>
        <w:bottom w:val="none" w:sz="0" w:space="0" w:color="auto"/>
        <w:right w:val="none" w:sz="0" w:space="0" w:color="auto"/>
      </w:divBdr>
    </w:div>
    <w:div w:id="1319268967">
      <w:marLeft w:val="0"/>
      <w:marRight w:val="0"/>
      <w:marTop w:val="0"/>
      <w:marBottom w:val="0"/>
      <w:divBdr>
        <w:top w:val="none" w:sz="0" w:space="0" w:color="auto"/>
        <w:left w:val="none" w:sz="0" w:space="0" w:color="auto"/>
        <w:bottom w:val="none" w:sz="0" w:space="0" w:color="auto"/>
        <w:right w:val="none" w:sz="0" w:space="0" w:color="auto"/>
      </w:divBdr>
      <w:divsChild>
        <w:div w:id="494761135">
          <w:marLeft w:val="0"/>
          <w:marRight w:val="0"/>
          <w:marTop w:val="0"/>
          <w:marBottom w:val="0"/>
          <w:divBdr>
            <w:top w:val="none" w:sz="0" w:space="0" w:color="auto"/>
            <w:left w:val="none" w:sz="0" w:space="0" w:color="auto"/>
            <w:bottom w:val="none" w:sz="0" w:space="0" w:color="auto"/>
            <w:right w:val="none" w:sz="0" w:space="0" w:color="auto"/>
          </w:divBdr>
        </w:div>
        <w:div w:id="2102601419">
          <w:marLeft w:val="0"/>
          <w:marRight w:val="0"/>
          <w:marTop w:val="0"/>
          <w:marBottom w:val="0"/>
          <w:divBdr>
            <w:top w:val="none" w:sz="0" w:space="0" w:color="auto"/>
            <w:left w:val="none" w:sz="0" w:space="0" w:color="auto"/>
            <w:bottom w:val="none" w:sz="0" w:space="0" w:color="auto"/>
            <w:right w:val="none" w:sz="0" w:space="0" w:color="auto"/>
          </w:divBdr>
        </w:div>
      </w:divsChild>
    </w:div>
    <w:div w:id="1320617540">
      <w:marLeft w:val="0"/>
      <w:marRight w:val="0"/>
      <w:marTop w:val="200"/>
      <w:marBottom w:val="0"/>
      <w:divBdr>
        <w:top w:val="none" w:sz="0" w:space="0" w:color="auto"/>
        <w:left w:val="none" w:sz="0" w:space="0" w:color="auto"/>
        <w:bottom w:val="none" w:sz="0" w:space="0" w:color="auto"/>
        <w:right w:val="none" w:sz="0" w:space="0" w:color="auto"/>
      </w:divBdr>
    </w:div>
    <w:div w:id="1329551586">
      <w:marLeft w:val="0"/>
      <w:marRight w:val="0"/>
      <w:marTop w:val="0"/>
      <w:marBottom w:val="200"/>
      <w:divBdr>
        <w:top w:val="none" w:sz="0" w:space="0" w:color="auto"/>
        <w:left w:val="none" w:sz="0" w:space="0" w:color="auto"/>
        <w:bottom w:val="none" w:sz="0" w:space="0" w:color="auto"/>
        <w:right w:val="none" w:sz="0" w:space="0" w:color="auto"/>
      </w:divBdr>
    </w:div>
    <w:div w:id="1329557406">
      <w:marLeft w:val="0"/>
      <w:marRight w:val="0"/>
      <w:marTop w:val="0"/>
      <w:marBottom w:val="200"/>
      <w:divBdr>
        <w:top w:val="none" w:sz="0" w:space="0" w:color="auto"/>
        <w:left w:val="none" w:sz="0" w:space="0" w:color="auto"/>
        <w:bottom w:val="none" w:sz="0" w:space="0" w:color="auto"/>
        <w:right w:val="none" w:sz="0" w:space="0" w:color="auto"/>
      </w:divBdr>
    </w:div>
    <w:div w:id="1340231323">
      <w:marLeft w:val="0"/>
      <w:marRight w:val="0"/>
      <w:marTop w:val="0"/>
      <w:marBottom w:val="0"/>
      <w:divBdr>
        <w:top w:val="none" w:sz="0" w:space="0" w:color="auto"/>
        <w:left w:val="none" w:sz="0" w:space="0" w:color="auto"/>
        <w:bottom w:val="none" w:sz="0" w:space="0" w:color="auto"/>
        <w:right w:val="none" w:sz="0" w:space="0" w:color="auto"/>
      </w:divBdr>
    </w:div>
    <w:div w:id="1344434358">
      <w:marLeft w:val="0"/>
      <w:marRight w:val="0"/>
      <w:marTop w:val="0"/>
      <w:marBottom w:val="200"/>
      <w:divBdr>
        <w:top w:val="none" w:sz="0" w:space="0" w:color="auto"/>
        <w:left w:val="none" w:sz="0" w:space="0" w:color="auto"/>
        <w:bottom w:val="none" w:sz="0" w:space="0" w:color="auto"/>
        <w:right w:val="none" w:sz="0" w:space="0" w:color="auto"/>
      </w:divBdr>
    </w:div>
    <w:div w:id="1348211157">
      <w:marLeft w:val="0"/>
      <w:marRight w:val="0"/>
      <w:marTop w:val="0"/>
      <w:marBottom w:val="0"/>
      <w:divBdr>
        <w:top w:val="none" w:sz="0" w:space="0" w:color="auto"/>
        <w:left w:val="none" w:sz="0" w:space="0" w:color="auto"/>
        <w:bottom w:val="none" w:sz="0" w:space="0" w:color="auto"/>
        <w:right w:val="none" w:sz="0" w:space="0" w:color="auto"/>
      </w:divBdr>
      <w:divsChild>
        <w:div w:id="538251408">
          <w:marLeft w:val="0"/>
          <w:marRight w:val="0"/>
          <w:marTop w:val="0"/>
          <w:marBottom w:val="0"/>
          <w:divBdr>
            <w:top w:val="none" w:sz="0" w:space="0" w:color="auto"/>
            <w:left w:val="none" w:sz="0" w:space="0" w:color="auto"/>
            <w:bottom w:val="none" w:sz="0" w:space="0" w:color="auto"/>
            <w:right w:val="none" w:sz="0" w:space="0" w:color="auto"/>
          </w:divBdr>
        </w:div>
        <w:div w:id="1864437439">
          <w:marLeft w:val="0"/>
          <w:marRight w:val="0"/>
          <w:marTop w:val="180"/>
          <w:marBottom w:val="0"/>
          <w:divBdr>
            <w:top w:val="none" w:sz="0" w:space="0" w:color="auto"/>
            <w:left w:val="none" w:sz="0" w:space="0" w:color="auto"/>
            <w:bottom w:val="none" w:sz="0" w:space="0" w:color="auto"/>
            <w:right w:val="none" w:sz="0" w:space="0" w:color="auto"/>
          </w:divBdr>
        </w:div>
      </w:divsChild>
    </w:div>
    <w:div w:id="1352879232">
      <w:marLeft w:val="0"/>
      <w:marRight w:val="0"/>
      <w:marTop w:val="100"/>
      <w:marBottom w:val="60"/>
      <w:divBdr>
        <w:top w:val="none" w:sz="0" w:space="0" w:color="auto"/>
        <w:left w:val="none" w:sz="0" w:space="0" w:color="auto"/>
        <w:bottom w:val="none" w:sz="0" w:space="0" w:color="auto"/>
        <w:right w:val="none" w:sz="0" w:space="0" w:color="auto"/>
      </w:divBdr>
    </w:div>
    <w:div w:id="1357655799">
      <w:marLeft w:val="0"/>
      <w:marRight w:val="0"/>
      <w:marTop w:val="0"/>
      <w:marBottom w:val="0"/>
      <w:divBdr>
        <w:top w:val="none" w:sz="0" w:space="0" w:color="auto"/>
        <w:left w:val="none" w:sz="0" w:space="0" w:color="auto"/>
        <w:bottom w:val="none" w:sz="0" w:space="0" w:color="auto"/>
        <w:right w:val="none" w:sz="0" w:space="0" w:color="auto"/>
      </w:divBdr>
      <w:divsChild>
        <w:div w:id="595866413">
          <w:marLeft w:val="0"/>
          <w:marRight w:val="0"/>
          <w:marTop w:val="0"/>
          <w:marBottom w:val="0"/>
          <w:divBdr>
            <w:top w:val="none" w:sz="0" w:space="0" w:color="auto"/>
            <w:left w:val="none" w:sz="0" w:space="0" w:color="auto"/>
            <w:bottom w:val="none" w:sz="0" w:space="0" w:color="auto"/>
            <w:right w:val="none" w:sz="0" w:space="0" w:color="auto"/>
          </w:divBdr>
        </w:div>
      </w:divsChild>
    </w:div>
    <w:div w:id="1358002137">
      <w:marLeft w:val="0"/>
      <w:marRight w:val="0"/>
      <w:marTop w:val="0"/>
      <w:marBottom w:val="0"/>
      <w:divBdr>
        <w:top w:val="none" w:sz="0" w:space="0" w:color="auto"/>
        <w:left w:val="none" w:sz="0" w:space="0" w:color="auto"/>
        <w:bottom w:val="none" w:sz="0" w:space="0" w:color="auto"/>
        <w:right w:val="none" w:sz="0" w:space="0" w:color="auto"/>
      </w:divBdr>
      <w:divsChild>
        <w:div w:id="1655597285">
          <w:marLeft w:val="0"/>
          <w:marRight w:val="0"/>
          <w:marTop w:val="0"/>
          <w:marBottom w:val="0"/>
          <w:divBdr>
            <w:top w:val="none" w:sz="0" w:space="0" w:color="auto"/>
            <w:left w:val="none" w:sz="0" w:space="0" w:color="auto"/>
            <w:bottom w:val="none" w:sz="0" w:space="0" w:color="auto"/>
            <w:right w:val="none" w:sz="0" w:space="0" w:color="auto"/>
          </w:divBdr>
        </w:div>
      </w:divsChild>
    </w:div>
    <w:div w:id="1363481555">
      <w:marLeft w:val="0"/>
      <w:marRight w:val="0"/>
      <w:marTop w:val="100"/>
      <w:marBottom w:val="0"/>
      <w:divBdr>
        <w:top w:val="none" w:sz="0" w:space="0" w:color="auto"/>
        <w:left w:val="none" w:sz="0" w:space="0" w:color="auto"/>
        <w:bottom w:val="none" w:sz="0" w:space="0" w:color="auto"/>
        <w:right w:val="none" w:sz="0" w:space="0" w:color="auto"/>
      </w:divBdr>
      <w:divsChild>
        <w:div w:id="365180602">
          <w:marLeft w:val="0"/>
          <w:marRight w:val="0"/>
          <w:marTop w:val="0"/>
          <w:marBottom w:val="0"/>
          <w:divBdr>
            <w:top w:val="none" w:sz="0" w:space="0" w:color="auto"/>
            <w:left w:val="none" w:sz="0" w:space="0" w:color="auto"/>
            <w:bottom w:val="none" w:sz="0" w:space="0" w:color="auto"/>
            <w:right w:val="none" w:sz="0" w:space="0" w:color="auto"/>
          </w:divBdr>
        </w:div>
        <w:div w:id="554203235">
          <w:marLeft w:val="0"/>
          <w:marRight w:val="0"/>
          <w:marTop w:val="0"/>
          <w:marBottom w:val="0"/>
          <w:divBdr>
            <w:top w:val="none" w:sz="0" w:space="0" w:color="auto"/>
            <w:left w:val="none" w:sz="0" w:space="0" w:color="auto"/>
            <w:bottom w:val="none" w:sz="0" w:space="0" w:color="auto"/>
            <w:right w:val="none" w:sz="0" w:space="0" w:color="auto"/>
          </w:divBdr>
        </w:div>
        <w:div w:id="473646765">
          <w:marLeft w:val="0"/>
          <w:marRight w:val="0"/>
          <w:marTop w:val="0"/>
          <w:marBottom w:val="0"/>
          <w:divBdr>
            <w:top w:val="none" w:sz="0" w:space="0" w:color="auto"/>
            <w:left w:val="none" w:sz="0" w:space="0" w:color="auto"/>
            <w:bottom w:val="none" w:sz="0" w:space="0" w:color="auto"/>
            <w:right w:val="none" w:sz="0" w:space="0" w:color="auto"/>
          </w:divBdr>
        </w:div>
        <w:div w:id="77601240">
          <w:marLeft w:val="0"/>
          <w:marRight w:val="0"/>
          <w:marTop w:val="0"/>
          <w:marBottom w:val="0"/>
          <w:divBdr>
            <w:top w:val="none" w:sz="0" w:space="0" w:color="auto"/>
            <w:left w:val="none" w:sz="0" w:space="0" w:color="auto"/>
            <w:bottom w:val="none" w:sz="0" w:space="0" w:color="auto"/>
            <w:right w:val="none" w:sz="0" w:space="0" w:color="auto"/>
          </w:divBdr>
        </w:div>
      </w:divsChild>
    </w:div>
    <w:div w:id="1364475887">
      <w:marLeft w:val="0"/>
      <w:marRight w:val="0"/>
      <w:marTop w:val="0"/>
      <w:marBottom w:val="200"/>
      <w:divBdr>
        <w:top w:val="none" w:sz="0" w:space="0" w:color="auto"/>
        <w:left w:val="none" w:sz="0" w:space="0" w:color="auto"/>
        <w:bottom w:val="none" w:sz="0" w:space="0" w:color="auto"/>
        <w:right w:val="none" w:sz="0" w:space="0" w:color="auto"/>
      </w:divBdr>
    </w:div>
    <w:div w:id="1365599285">
      <w:marLeft w:val="0"/>
      <w:marRight w:val="0"/>
      <w:marTop w:val="100"/>
      <w:marBottom w:val="0"/>
      <w:divBdr>
        <w:top w:val="none" w:sz="0" w:space="0" w:color="auto"/>
        <w:left w:val="none" w:sz="0" w:space="0" w:color="auto"/>
        <w:bottom w:val="none" w:sz="0" w:space="0" w:color="auto"/>
        <w:right w:val="none" w:sz="0" w:space="0" w:color="auto"/>
      </w:divBdr>
      <w:divsChild>
        <w:div w:id="150684916">
          <w:marLeft w:val="0"/>
          <w:marRight w:val="0"/>
          <w:marTop w:val="0"/>
          <w:marBottom w:val="0"/>
          <w:divBdr>
            <w:top w:val="none" w:sz="0" w:space="0" w:color="auto"/>
            <w:left w:val="none" w:sz="0" w:space="0" w:color="auto"/>
            <w:bottom w:val="none" w:sz="0" w:space="0" w:color="auto"/>
            <w:right w:val="none" w:sz="0" w:space="0" w:color="auto"/>
          </w:divBdr>
        </w:div>
        <w:div w:id="1453404109">
          <w:marLeft w:val="0"/>
          <w:marRight w:val="0"/>
          <w:marTop w:val="0"/>
          <w:marBottom w:val="0"/>
          <w:divBdr>
            <w:top w:val="none" w:sz="0" w:space="0" w:color="auto"/>
            <w:left w:val="none" w:sz="0" w:space="0" w:color="auto"/>
            <w:bottom w:val="none" w:sz="0" w:space="0" w:color="auto"/>
            <w:right w:val="none" w:sz="0" w:space="0" w:color="auto"/>
          </w:divBdr>
        </w:div>
        <w:div w:id="1627159162">
          <w:marLeft w:val="0"/>
          <w:marRight w:val="0"/>
          <w:marTop w:val="0"/>
          <w:marBottom w:val="0"/>
          <w:divBdr>
            <w:top w:val="none" w:sz="0" w:space="0" w:color="auto"/>
            <w:left w:val="none" w:sz="0" w:space="0" w:color="auto"/>
            <w:bottom w:val="none" w:sz="0" w:space="0" w:color="auto"/>
            <w:right w:val="none" w:sz="0" w:space="0" w:color="auto"/>
          </w:divBdr>
        </w:div>
        <w:div w:id="1220481232">
          <w:marLeft w:val="0"/>
          <w:marRight w:val="0"/>
          <w:marTop w:val="0"/>
          <w:marBottom w:val="0"/>
          <w:divBdr>
            <w:top w:val="none" w:sz="0" w:space="0" w:color="auto"/>
            <w:left w:val="none" w:sz="0" w:space="0" w:color="auto"/>
            <w:bottom w:val="none" w:sz="0" w:space="0" w:color="auto"/>
            <w:right w:val="none" w:sz="0" w:space="0" w:color="auto"/>
          </w:divBdr>
        </w:div>
        <w:div w:id="34891847">
          <w:marLeft w:val="0"/>
          <w:marRight w:val="0"/>
          <w:marTop w:val="0"/>
          <w:marBottom w:val="0"/>
          <w:divBdr>
            <w:top w:val="none" w:sz="0" w:space="0" w:color="auto"/>
            <w:left w:val="none" w:sz="0" w:space="0" w:color="auto"/>
            <w:bottom w:val="none" w:sz="0" w:space="0" w:color="auto"/>
            <w:right w:val="none" w:sz="0" w:space="0" w:color="auto"/>
          </w:divBdr>
        </w:div>
        <w:div w:id="48654239">
          <w:marLeft w:val="0"/>
          <w:marRight w:val="0"/>
          <w:marTop w:val="0"/>
          <w:marBottom w:val="0"/>
          <w:divBdr>
            <w:top w:val="none" w:sz="0" w:space="0" w:color="auto"/>
            <w:left w:val="none" w:sz="0" w:space="0" w:color="auto"/>
            <w:bottom w:val="none" w:sz="0" w:space="0" w:color="auto"/>
            <w:right w:val="none" w:sz="0" w:space="0" w:color="auto"/>
          </w:divBdr>
        </w:div>
        <w:div w:id="1582374910">
          <w:marLeft w:val="0"/>
          <w:marRight w:val="0"/>
          <w:marTop w:val="0"/>
          <w:marBottom w:val="0"/>
          <w:divBdr>
            <w:top w:val="none" w:sz="0" w:space="0" w:color="auto"/>
            <w:left w:val="none" w:sz="0" w:space="0" w:color="auto"/>
            <w:bottom w:val="none" w:sz="0" w:space="0" w:color="auto"/>
            <w:right w:val="none" w:sz="0" w:space="0" w:color="auto"/>
          </w:divBdr>
        </w:div>
        <w:div w:id="1981185674">
          <w:marLeft w:val="0"/>
          <w:marRight w:val="0"/>
          <w:marTop w:val="0"/>
          <w:marBottom w:val="0"/>
          <w:divBdr>
            <w:top w:val="none" w:sz="0" w:space="0" w:color="auto"/>
            <w:left w:val="none" w:sz="0" w:space="0" w:color="auto"/>
            <w:bottom w:val="none" w:sz="0" w:space="0" w:color="auto"/>
            <w:right w:val="none" w:sz="0" w:space="0" w:color="auto"/>
          </w:divBdr>
        </w:div>
        <w:div w:id="639771684">
          <w:marLeft w:val="0"/>
          <w:marRight w:val="0"/>
          <w:marTop w:val="0"/>
          <w:marBottom w:val="0"/>
          <w:divBdr>
            <w:top w:val="none" w:sz="0" w:space="0" w:color="auto"/>
            <w:left w:val="none" w:sz="0" w:space="0" w:color="auto"/>
            <w:bottom w:val="none" w:sz="0" w:space="0" w:color="auto"/>
            <w:right w:val="none" w:sz="0" w:space="0" w:color="auto"/>
          </w:divBdr>
        </w:div>
        <w:div w:id="65998583">
          <w:marLeft w:val="0"/>
          <w:marRight w:val="0"/>
          <w:marTop w:val="0"/>
          <w:marBottom w:val="0"/>
          <w:divBdr>
            <w:top w:val="none" w:sz="0" w:space="0" w:color="auto"/>
            <w:left w:val="none" w:sz="0" w:space="0" w:color="auto"/>
            <w:bottom w:val="none" w:sz="0" w:space="0" w:color="auto"/>
            <w:right w:val="none" w:sz="0" w:space="0" w:color="auto"/>
          </w:divBdr>
        </w:div>
        <w:div w:id="834342007">
          <w:marLeft w:val="0"/>
          <w:marRight w:val="0"/>
          <w:marTop w:val="0"/>
          <w:marBottom w:val="0"/>
          <w:divBdr>
            <w:top w:val="none" w:sz="0" w:space="0" w:color="auto"/>
            <w:left w:val="none" w:sz="0" w:space="0" w:color="auto"/>
            <w:bottom w:val="none" w:sz="0" w:space="0" w:color="auto"/>
            <w:right w:val="none" w:sz="0" w:space="0" w:color="auto"/>
          </w:divBdr>
        </w:div>
        <w:div w:id="1195382310">
          <w:marLeft w:val="0"/>
          <w:marRight w:val="0"/>
          <w:marTop w:val="0"/>
          <w:marBottom w:val="0"/>
          <w:divBdr>
            <w:top w:val="none" w:sz="0" w:space="0" w:color="auto"/>
            <w:left w:val="none" w:sz="0" w:space="0" w:color="auto"/>
            <w:bottom w:val="none" w:sz="0" w:space="0" w:color="auto"/>
            <w:right w:val="none" w:sz="0" w:space="0" w:color="auto"/>
          </w:divBdr>
        </w:div>
        <w:div w:id="1224874111">
          <w:marLeft w:val="0"/>
          <w:marRight w:val="0"/>
          <w:marTop w:val="0"/>
          <w:marBottom w:val="0"/>
          <w:divBdr>
            <w:top w:val="none" w:sz="0" w:space="0" w:color="auto"/>
            <w:left w:val="none" w:sz="0" w:space="0" w:color="auto"/>
            <w:bottom w:val="none" w:sz="0" w:space="0" w:color="auto"/>
            <w:right w:val="none" w:sz="0" w:space="0" w:color="auto"/>
          </w:divBdr>
        </w:div>
        <w:div w:id="1637102904">
          <w:marLeft w:val="0"/>
          <w:marRight w:val="0"/>
          <w:marTop w:val="0"/>
          <w:marBottom w:val="0"/>
          <w:divBdr>
            <w:top w:val="none" w:sz="0" w:space="0" w:color="auto"/>
            <w:left w:val="none" w:sz="0" w:space="0" w:color="auto"/>
            <w:bottom w:val="none" w:sz="0" w:space="0" w:color="auto"/>
            <w:right w:val="none" w:sz="0" w:space="0" w:color="auto"/>
          </w:divBdr>
        </w:div>
        <w:div w:id="840201811">
          <w:marLeft w:val="0"/>
          <w:marRight w:val="0"/>
          <w:marTop w:val="0"/>
          <w:marBottom w:val="0"/>
          <w:divBdr>
            <w:top w:val="none" w:sz="0" w:space="0" w:color="auto"/>
            <w:left w:val="none" w:sz="0" w:space="0" w:color="auto"/>
            <w:bottom w:val="none" w:sz="0" w:space="0" w:color="auto"/>
            <w:right w:val="none" w:sz="0" w:space="0" w:color="auto"/>
          </w:divBdr>
        </w:div>
        <w:div w:id="107092369">
          <w:marLeft w:val="0"/>
          <w:marRight w:val="0"/>
          <w:marTop w:val="0"/>
          <w:marBottom w:val="0"/>
          <w:divBdr>
            <w:top w:val="none" w:sz="0" w:space="0" w:color="auto"/>
            <w:left w:val="none" w:sz="0" w:space="0" w:color="auto"/>
            <w:bottom w:val="none" w:sz="0" w:space="0" w:color="auto"/>
            <w:right w:val="none" w:sz="0" w:space="0" w:color="auto"/>
          </w:divBdr>
        </w:div>
      </w:divsChild>
    </w:div>
    <w:div w:id="1369918765">
      <w:marLeft w:val="0"/>
      <w:marRight w:val="0"/>
      <w:marTop w:val="200"/>
      <w:marBottom w:val="0"/>
      <w:divBdr>
        <w:top w:val="none" w:sz="0" w:space="0" w:color="auto"/>
        <w:left w:val="none" w:sz="0" w:space="0" w:color="auto"/>
        <w:bottom w:val="none" w:sz="0" w:space="0" w:color="auto"/>
        <w:right w:val="none" w:sz="0" w:space="0" w:color="auto"/>
      </w:divBdr>
    </w:div>
    <w:div w:id="1373070791">
      <w:marLeft w:val="0"/>
      <w:marRight w:val="0"/>
      <w:marTop w:val="100"/>
      <w:marBottom w:val="0"/>
      <w:divBdr>
        <w:top w:val="none" w:sz="0" w:space="0" w:color="auto"/>
        <w:left w:val="none" w:sz="0" w:space="0" w:color="auto"/>
        <w:bottom w:val="none" w:sz="0" w:space="0" w:color="auto"/>
        <w:right w:val="none" w:sz="0" w:space="0" w:color="auto"/>
      </w:divBdr>
    </w:div>
    <w:div w:id="1374961810">
      <w:marLeft w:val="0"/>
      <w:marRight w:val="0"/>
      <w:marTop w:val="0"/>
      <w:marBottom w:val="0"/>
      <w:divBdr>
        <w:top w:val="none" w:sz="0" w:space="0" w:color="auto"/>
        <w:left w:val="none" w:sz="0" w:space="0" w:color="auto"/>
        <w:bottom w:val="none" w:sz="0" w:space="0" w:color="auto"/>
        <w:right w:val="none" w:sz="0" w:space="0" w:color="auto"/>
      </w:divBdr>
    </w:div>
    <w:div w:id="1376082129">
      <w:marLeft w:val="0"/>
      <w:marRight w:val="0"/>
      <w:marTop w:val="0"/>
      <w:marBottom w:val="100"/>
      <w:divBdr>
        <w:top w:val="none" w:sz="0" w:space="0" w:color="auto"/>
        <w:left w:val="none" w:sz="0" w:space="0" w:color="auto"/>
        <w:bottom w:val="none" w:sz="0" w:space="0" w:color="auto"/>
        <w:right w:val="none" w:sz="0" w:space="0" w:color="auto"/>
      </w:divBdr>
      <w:divsChild>
        <w:div w:id="1389063835">
          <w:marLeft w:val="0"/>
          <w:marRight w:val="0"/>
          <w:marTop w:val="0"/>
          <w:marBottom w:val="0"/>
          <w:divBdr>
            <w:top w:val="none" w:sz="0" w:space="0" w:color="auto"/>
            <w:left w:val="none" w:sz="0" w:space="0" w:color="auto"/>
            <w:bottom w:val="none" w:sz="0" w:space="0" w:color="auto"/>
            <w:right w:val="none" w:sz="0" w:space="0" w:color="auto"/>
          </w:divBdr>
        </w:div>
        <w:div w:id="1449541795">
          <w:marLeft w:val="0"/>
          <w:marRight w:val="0"/>
          <w:marTop w:val="0"/>
          <w:marBottom w:val="0"/>
          <w:divBdr>
            <w:top w:val="none" w:sz="0" w:space="0" w:color="auto"/>
            <w:left w:val="none" w:sz="0" w:space="0" w:color="auto"/>
            <w:bottom w:val="none" w:sz="0" w:space="0" w:color="auto"/>
            <w:right w:val="none" w:sz="0" w:space="0" w:color="auto"/>
          </w:divBdr>
        </w:div>
        <w:div w:id="1181161426">
          <w:marLeft w:val="0"/>
          <w:marRight w:val="0"/>
          <w:marTop w:val="0"/>
          <w:marBottom w:val="0"/>
          <w:divBdr>
            <w:top w:val="none" w:sz="0" w:space="0" w:color="auto"/>
            <w:left w:val="none" w:sz="0" w:space="0" w:color="auto"/>
            <w:bottom w:val="none" w:sz="0" w:space="0" w:color="auto"/>
            <w:right w:val="none" w:sz="0" w:space="0" w:color="auto"/>
          </w:divBdr>
        </w:div>
        <w:div w:id="1611165170">
          <w:marLeft w:val="0"/>
          <w:marRight w:val="0"/>
          <w:marTop w:val="0"/>
          <w:marBottom w:val="0"/>
          <w:divBdr>
            <w:top w:val="none" w:sz="0" w:space="0" w:color="auto"/>
            <w:left w:val="none" w:sz="0" w:space="0" w:color="auto"/>
            <w:bottom w:val="none" w:sz="0" w:space="0" w:color="auto"/>
            <w:right w:val="none" w:sz="0" w:space="0" w:color="auto"/>
          </w:divBdr>
        </w:div>
        <w:div w:id="1967464789">
          <w:marLeft w:val="0"/>
          <w:marRight w:val="0"/>
          <w:marTop w:val="0"/>
          <w:marBottom w:val="0"/>
          <w:divBdr>
            <w:top w:val="none" w:sz="0" w:space="0" w:color="auto"/>
            <w:left w:val="none" w:sz="0" w:space="0" w:color="auto"/>
            <w:bottom w:val="none" w:sz="0" w:space="0" w:color="auto"/>
            <w:right w:val="none" w:sz="0" w:space="0" w:color="auto"/>
          </w:divBdr>
        </w:div>
        <w:div w:id="1486622326">
          <w:marLeft w:val="0"/>
          <w:marRight w:val="0"/>
          <w:marTop w:val="0"/>
          <w:marBottom w:val="0"/>
          <w:divBdr>
            <w:top w:val="none" w:sz="0" w:space="0" w:color="auto"/>
            <w:left w:val="none" w:sz="0" w:space="0" w:color="auto"/>
            <w:bottom w:val="none" w:sz="0" w:space="0" w:color="auto"/>
            <w:right w:val="none" w:sz="0" w:space="0" w:color="auto"/>
          </w:divBdr>
        </w:div>
        <w:div w:id="1301836600">
          <w:marLeft w:val="0"/>
          <w:marRight w:val="0"/>
          <w:marTop w:val="0"/>
          <w:marBottom w:val="0"/>
          <w:divBdr>
            <w:top w:val="none" w:sz="0" w:space="0" w:color="auto"/>
            <w:left w:val="none" w:sz="0" w:space="0" w:color="auto"/>
            <w:bottom w:val="none" w:sz="0" w:space="0" w:color="auto"/>
            <w:right w:val="none" w:sz="0" w:space="0" w:color="auto"/>
          </w:divBdr>
        </w:div>
        <w:div w:id="1135563579">
          <w:marLeft w:val="0"/>
          <w:marRight w:val="0"/>
          <w:marTop w:val="0"/>
          <w:marBottom w:val="0"/>
          <w:divBdr>
            <w:top w:val="none" w:sz="0" w:space="0" w:color="auto"/>
            <w:left w:val="none" w:sz="0" w:space="0" w:color="auto"/>
            <w:bottom w:val="none" w:sz="0" w:space="0" w:color="auto"/>
            <w:right w:val="none" w:sz="0" w:space="0" w:color="auto"/>
          </w:divBdr>
        </w:div>
        <w:div w:id="538276332">
          <w:marLeft w:val="0"/>
          <w:marRight w:val="0"/>
          <w:marTop w:val="0"/>
          <w:marBottom w:val="0"/>
          <w:divBdr>
            <w:top w:val="none" w:sz="0" w:space="0" w:color="auto"/>
            <w:left w:val="none" w:sz="0" w:space="0" w:color="auto"/>
            <w:bottom w:val="none" w:sz="0" w:space="0" w:color="auto"/>
            <w:right w:val="none" w:sz="0" w:space="0" w:color="auto"/>
          </w:divBdr>
        </w:div>
      </w:divsChild>
    </w:div>
    <w:div w:id="1377269449">
      <w:marLeft w:val="0"/>
      <w:marRight w:val="0"/>
      <w:marTop w:val="0"/>
      <w:marBottom w:val="0"/>
      <w:divBdr>
        <w:top w:val="none" w:sz="0" w:space="0" w:color="auto"/>
        <w:left w:val="none" w:sz="0" w:space="0" w:color="auto"/>
        <w:bottom w:val="none" w:sz="0" w:space="0" w:color="auto"/>
        <w:right w:val="none" w:sz="0" w:space="0" w:color="auto"/>
      </w:divBdr>
    </w:div>
    <w:div w:id="1388187201">
      <w:marLeft w:val="0"/>
      <w:marRight w:val="0"/>
      <w:marTop w:val="0"/>
      <w:marBottom w:val="160"/>
      <w:divBdr>
        <w:top w:val="none" w:sz="0" w:space="0" w:color="auto"/>
        <w:left w:val="none" w:sz="0" w:space="0" w:color="auto"/>
        <w:bottom w:val="none" w:sz="0" w:space="0" w:color="auto"/>
        <w:right w:val="none" w:sz="0" w:space="0" w:color="auto"/>
      </w:divBdr>
    </w:div>
    <w:div w:id="1391610596">
      <w:marLeft w:val="0"/>
      <w:marRight w:val="0"/>
      <w:marTop w:val="0"/>
      <w:marBottom w:val="0"/>
      <w:divBdr>
        <w:top w:val="none" w:sz="0" w:space="0" w:color="auto"/>
        <w:left w:val="none" w:sz="0" w:space="0" w:color="auto"/>
        <w:bottom w:val="none" w:sz="0" w:space="0" w:color="auto"/>
        <w:right w:val="none" w:sz="0" w:space="0" w:color="auto"/>
      </w:divBdr>
    </w:div>
    <w:div w:id="1397820234">
      <w:marLeft w:val="0"/>
      <w:marRight w:val="0"/>
      <w:marTop w:val="0"/>
      <w:marBottom w:val="0"/>
      <w:divBdr>
        <w:top w:val="none" w:sz="0" w:space="0" w:color="auto"/>
        <w:left w:val="none" w:sz="0" w:space="0" w:color="auto"/>
        <w:bottom w:val="none" w:sz="0" w:space="0" w:color="auto"/>
        <w:right w:val="none" w:sz="0" w:space="0" w:color="auto"/>
      </w:divBdr>
    </w:div>
    <w:div w:id="1398288293">
      <w:marLeft w:val="0"/>
      <w:marRight w:val="0"/>
      <w:marTop w:val="0"/>
      <w:marBottom w:val="200"/>
      <w:divBdr>
        <w:top w:val="none" w:sz="0" w:space="0" w:color="auto"/>
        <w:left w:val="none" w:sz="0" w:space="0" w:color="auto"/>
        <w:bottom w:val="none" w:sz="0" w:space="0" w:color="auto"/>
        <w:right w:val="none" w:sz="0" w:space="0" w:color="auto"/>
      </w:divBdr>
    </w:div>
    <w:div w:id="1406416434">
      <w:marLeft w:val="0"/>
      <w:marRight w:val="0"/>
      <w:marTop w:val="0"/>
      <w:marBottom w:val="0"/>
      <w:divBdr>
        <w:top w:val="none" w:sz="0" w:space="0" w:color="auto"/>
        <w:left w:val="none" w:sz="0" w:space="0" w:color="auto"/>
        <w:bottom w:val="none" w:sz="0" w:space="0" w:color="auto"/>
        <w:right w:val="none" w:sz="0" w:space="0" w:color="auto"/>
      </w:divBdr>
    </w:div>
    <w:div w:id="1420372111">
      <w:marLeft w:val="0"/>
      <w:marRight w:val="0"/>
      <w:marTop w:val="0"/>
      <w:marBottom w:val="200"/>
      <w:divBdr>
        <w:top w:val="none" w:sz="0" w:space="0" w:color="auto"/>
        <w:left w:val="none" w:sz="0" w:space="0" w:color="auto"/>
        <w:bottom w:val="none" w:sz="0" w:space="0" w:color="auto"/>
        <w:right w:val="none" w:sz="0" w:space="0" w:color="auto"/>
      </w:divBdr>
    </w:div>
    <w:div w:id="1433088784">
      <w:marLeft w:val="0"/>
      <w:marRight w:val="0"/>
      <w:marTop w:val="0"/>
      <w:marBottom w:val="0"/>
      <w:divBdr>
        <w:top w:val="none" w:sz="0" w:space="0" w:color="auto"/>
        <w:left w:val="none" w:sz="0" w:space="0" w:color="auto"/>
        <w:bottom w:val="none" w:sz="0" w:space="0" w:color="auto"/>
        <w:right w:val="none" w:sz="0" w:space="0" w:color="auto"/>
      </w:divBdr>
      <w:divsChild>
        <w:div w:id="1273129846">
          <w:marLeft w:val="0"/>
          <w:marRight w:val="0"/>
          <w:marTop w:val="0"/>
          <w:marBottom w:val="0"/>
          <w:divBdr>
            <w:top w:val="none" w:sz="0" w:space="0" w:color="auto"/>
            <w:left w:val="none" w:sz="0" w:space="0" w:color="auto"/>
            <w:bottom w:val="none" w:sz="0" w:space="0" w:color="auto"/>
            <w:right w:val="none" w:sz="0" w:space="0" w:color="auto"/>
          </w:divBdr>
        </w:div>
        <w:div w:id="1000503817">
          <w:marLeft w:val="0"/>
          <w:marRight w:val="0"/>
          <w:marTop w:val="0"/>
          <w:marBottom w:val="0"/>
          <w:divBdr>
            <w:top w:val="none" w:sz="0" w:space="0" w:color="auto"/>
            <w:left w:val="none" w:sz="0" w:space="0" w:color="auto"/>
            <w:bottom w:val="none" w:sz="0" w:space="0" w:color="auto"/>
            <w:right w:val="none" w:sz="0" w:space="0" w:color="auto"/>
          </w:divBdr>
        </w:div>
      </w:divsChild>
    </w:div>
    <w:div w:id="1442339463">
      <w:marLeft w:val="0"/>
      <w:marRight w:val="0"/>
      <w:marTop w:val="0"/>
      <w:marBottom w:val="0"/>
      <w:divBdr>
        <w:top w:val="none" w:sz="0" w:space="0" w:color="auto"/>
        <w:left w:val="none" w:sz="0" w:space="0" w:color="auto"/>
        <w:bottom w:val="none" w:sz="0" w:space="0" w:color="auto"/>
        <w:right w:val="none" w:sz="0" w:space="0" w:color="auto"/>
      </w:divBdr>
      <w:divsChild>
        <w:div w:id="31614177">
          <w:marLeft w:val="0"/>
          <w:marRight w:val="0"/>
          <w:marTop w:val="0"/>
          <w:marBottom w:val="0"/>
          <w:divBdr>
            <w:top w:val="none" w:sz="0" w:space="0" w:color="auto"/>
            <w:left w:val="none" w:sz="0" w:space="0" w:color="auto"/>
            <w:bottom w:val="none" w:sz="0" w:space="0" w:color="auto"/>
            <w:right w:val="none" w:sz="0" w:space="0" w:color="auto"/>
          </w:divBdr>
        </w:div>
        <w:div w:id="594479103">
          <w:marLeft w:val="0"/>
          <w:marRight w:val="0"/>
          <w:marTop w:val="0"/>
          <w:marBottom w:val="0"/>
          <w:divBdr>
            <w:top w:val="none" w:sz="0" w:space="0" w:color="auto"/>
            <w:left w:val="none" w:sz="0" w:space="0" w:color="auto"/>
            <w:bottom w:val="none" w:sz="0" w:space="0" w:color="auto"/>
            <w:right w:val="none" w:sz="0" w:space="0" w:color="auto"/>
          </w:divBdr>
        </w:div>
      </w:divsChild>
    </w:div>
    <w:div w:id="1457990386">
      <w:marLeft w:val="0"/>
      <w:marRight w:val="0"/>
      <w:marTop w:val="0"/>
      <w:marBottom w:val="200"/>
      <w:divBdr>
        <w:top w:val="none" w:sz="0" w:space="0" w:color="auto"/>
        <w:left w:val="none" w:sz="0" w:space="0" w:color="auto"/>
        <w:bottom w:val="none" w:sz="0" w:space="0" w:color="auto"/>
        <w:right w:val="none" w:sz="0" w:space="0" w:color="auto"/>
      </w:divBdr>
    </w:div>
    <w:div w:id="1464540223">
      <w:marLeft w:val="0"/>
      <w:marRight w:val="0"/>
      <w:marTop w:val="0"/>
      <w:marBottom w:val="200"/>
      <w:divBdr>
        <w:top w:val="none" w:sz="0" w:space="0" w:color="auto"/>
        <w:left w:val="none" w:sz="0" w:space="0" w:color="auto"/>
        <w:bottom w:val="none" w:sz="0" w:space="0" w:color="auto"/>
        <w:right w:val="none" w:sz="0" w:space="0" w:color="auto"/>
      </w:divBdr>
    </w:div>
    <w:div w:id="1464808732">
      <w:marLeft w:val="0"/>
      <w:marRight w:val="0"/>
      <w:marTop w:val="0"/>
      <w:marBottom w:val="0"/>
      <w:divBdr>
        <w:top w:val="none" w:sz="0" w:space="0" w:color="auto"/>
        <w:left w:val="none" w:sz="0" w:space="0" w:color="auto"/>
        <w:bottom w:val="none" w:sz="0" w:space="0" w:color="auto"/>
        <w:right w:val="none" w:sz="0" w:space="0" w:color="auto"/>
      </w:divBdr>
      <w:divsChild>
        <w:div w:id="1086877980">
          <w:marLeft w:val="0"/>
          <w:marRight w:val="0"/>
          <w:marTop w:val="0"/>
          <w:marBottom w:val="0"/>
          <w:divBdr>
            <w:top w:val="none" w:sz="0" w:space="0" w:color="auto"/>
            <w:left w:val="none" w:sz="0" w:space="0" w:color="auto"/>
            <w:bottom w:val="none" w:sz="0" w:space="0" w:color="auto"/>
            <w:right w:val="none" w:sz="0" w:space="0" w:color="auto"/>
          </w:divBdr>
        </w:div>
      </w:divsChild>
    </w:div>
    <w:div w:id="1467090760">
      <w:marLeft w:val="0"/>
      <w:marRight w:val="0"/>
      <w:marTop w:val="0"/>
      <w:marBottom w:val="200"/>
      <w:divBdr>
        <w:top w:val="none" w:sz="0" w:space="0" w:color="auto"/>
        <w:left w:val="none" w:sz="0" w:space="0" w:color="auto"/>
        <w:bottom w:val="none" w:sz="0" w:space="0" w:color="auto"/>
        <w:right w:val="none" w:sz="0" w:space="0" w:color="auto"/>
      </w:divBdr>
    </w:div>
    <w:div w:id="1469857313">
      <w:marLeft w:val="0"/>
      <w:marRight w:val="0"/>
      <w:marTop w:val="100"/>
      <w:marBottom w:val="0"/>
      <w:divBdr>
        <w:top w:val="none" w:sz="0" w:space="0" w:color="auto"/>
        <w:left w:val="none" w:sz="0" w:space="0" w:color="auto"/>
        <w:bottom w:val="none" w:sz="0" w:space="0" w:color="auto"/>
        <w:right w:val="none" w:sz="0" w:space="0" w:color="auto"/>
      </w:divBdr>
      <w:divsChild>
        <w:div w:id="1468543852">
          <w:marLeft w:val="0"/>
          <w:marRight w:val="0"/>
          <w:marTop w:val="0"/>
          <w:marBottom w:val="0"/>
          <w:divBdr>
            <w:top w:val="none" w:sz="0" w:space="0" w:color="auto"/>
            <w:left w:val="none" w:sz="0" w:space="0" w:color="auto"/>
            <w:bottom w:val="none" w:sz="0" w:space="0" w:color="auto"/>
            <w:right w:val="none" w:sz="0" w:space="0" w:color="auto"/>
          </w:divBdr>
        </w:div>
        <w:div w:id="1385326793">
          <w:marLeft w:val="0"/>
          <w:marRight w:val="0"/>
          <w:marTop w:val="0"/>
          <w:marBottom w:val="0"/>
          <w:divBdr>
            <w:top w:val="none" w:sz="0" w:space="0" w:color="auto"/>
            <w:left w:val="none" w:sz="0" w:space="0" w:color="auto"/>
            <w:bottom w:val="none" w:sz="0" w:space="0" w:color="auto"/>
            <w:right w:val="none" w:sz="0" w:space="0" w:color="auto"/>
          </w:divBdr>
        </w:div>
        <w:div w:id="404379745">
          <w:marLeft w:val="0"/>
          <w:marRight w:val="0"/>
          <w:marTop w:val="0"/>
          <w:marBottom w:val="0"/>
          <w:divBdr>
            <w:top w:val="none" w:sz="0" w:space="0" w:color="auto"/>
            <w:left w:val="none" w:sz="0" w:space="0" w:color="auto"/>
            <w:bottom w:val="none" w:sz="0" w:space="0" w:color="auto"/>
            <w:right w:val="none" w:sz="0" w:space="0" w:color="auto"/>
          </w:divBdr>
        </w:div>
        <w:div w:id="918487702">
          <w:marLeft w:val="0"/>
          <w:marRight w:val="0"/>
          <w:marTop w:val="0"/>
          <w:marBottom w:val="0"/>
          <w:divBdr>
            <w:top w:val="none" w:sz="0" w:space="0" w:color="auto"/>
            <w:left w:val="none" w:sz="0" w:space="0" w:color="auto"/>
            <w:bottom w:val="none" w:sz="0" w:space="0" w:color="auto"/>
            <w:right w:val="none" w:sz="0" w:space="0" w:color="auto"/>
          </w:divBdr>
        </w:div>
      </w:divsChild>
    </w:div>
    <w:div w:id="1475483477">
      <w:marLeft w:val="0"/>
      <w:marRight w:val="0"/>
      <w:marTop w:val="0"/>
      <w:marBottom w:val="200"/>
      <w:divBdr>
        <w:top w:val="none" w:sz="0" w:space="0" w:color="auto"/>
        <w:left w:val="none" w:sz="0" w:space="0" w:color="auto"/>
        <w:bottom w:val="none" w:sz="0" w:space="0" w:color="auto"/>
        <w:right w:val="none" w:sz="0" w:space="0" w:color="auto"/>
      </w:divBdr>
    </w:div>
    <w:div w:id="1485588146">
      <w:marLeft w:val="0"/>
      <w:marRight w:val="0"/>
      <w:marTop w:val="0"/>
      <w:marBottom w:val="200"/>
      <w:divBdr>
        <w:top w:val="none" w:sz="0" w:space="0" w:color="auto"/>
        <w:left w:val="none" w:sz="0" w:space="0" w:color="auto"/>
        <w:bottom w:val="none" w:sz="0" w:space="0" w:color="auto"/>
        <w:right w:val="none" w:sz="0" w:space="0" w:color="auto"/>
      </w:divBdr>
    </w:div>
    <w:div w:id="1499610075">
      <w:marLeft w:val="0"/>
      <w:marRight w:val="0"/>
      <w:marTop w:val="100"/>
      <w:marBottom w:val="0"/>
      <w:divBdr>
        <w:top w:val="none" w:sz="0" w:space="0" w:color="auto"/>
        <w:left w:val="none" w:sz="0" w:space="0" w:color="auto"/>
        <w:bottom w:val="none" w:sz="0" w:space="0" w:color="auto"/>
        <w:right w:val="none" w:sz="0" w:space="0" w:color="auto"/>
      </w:divBdr>
    </w:div>
    <w:div w:id="1503663091">
      <w:marLeft w:val="0"/>
      <w:marRight w:val="0"/>
      <w:marTop w:val="0"/>
      <w:marBottom w:val="0"/>
      <w:divBdr>
        <w:top w:val="none" w:sz="0" w:space="0" w:color="auto"/>
        <w:left w:val="none" w:sz="0" w:space="0" w:color="auto"/>
        <w:bottom w:val="none" w:sz="0" w:space="0" w:color="auto"/>
        <w:right w:val="none" w:sz="0" w:space="0" w:color="auto"/>
      </w:divBdr>
      <w:divsChild>
        <w:div w:id="1090001454">
          <w:marLeft w:val="0"/>
          <w:marRight w:val="0"/>
          <w:marTop w:val="0"/>
          <w:marBottom w:val="0"/>
          <w:divBdr>
            <w:top w:val="none" w:sz="0" w:space="0" w:color="auto"/>
            <w:left w:val="none" w:sz="0" w:space="0" w:color="auto"/>
            <w:bottom w:val="none" w:sz="0" w:space="0" w:color="auto"/>
            <w:right w:val="none" w:sz="0" w:space="0" w:color="auto"/>
          </w:divBdr>
        </w:div>
      </w:divsChild>
    </w:div>
    <w:div w:id="1507405671">
      <w:marLeft w:val="0"/>
      <w:marRight w:val="0"/>
      <w:marTop w:val="0"/>
      <w:marBottom w:val="0"/>
      <w:divBdr>
        <w:top w:val="none" w:sz="0" w:space="0" w:color="auto"/>
        <w:left w:val="none" w:sz="0" w:space="0" w:color="auto"/>
        <w:bottom w:val="none" w:sz="0" w:space="0" w:color="auto"/>
        <w:right w:val="none" w:sz="0" w:space="0" w:color="auto"/>
      </w:divBdr>
    </w:div>
    <w:div w:id="1517305528">
      <w:marLeft w:val="0"/>
      <w:marRight w:val="0"/>
      <w:marTop w:val="0"/>
      <w:marBottom w:val="0"/>
      <w:divBdr>
        <w:top w:val="none" w:sz="0" w:space="0" w:color="auto"/>
        <w:left w:val="none" w:sz="0" w:space="0" w:color="auto"/>
        <w:bottom w:val="none" w:sz="0" w:space="0" w:color="auto"/>
        <w:right w:val="none" w:sz="0" w:space="0" w:color="auto"/>
      </w:divBdr>
      <w:divsChild>
        <w:div w:id="1320576556">
          <w:marLeft w:val="0"/>
          <w:marRight w:val="0"/>
          <w:marTop w:val="0"/>
          <w:marBottom w:val="0"/>
          <w:divBdr>
            <w:top w:val="none" w:sz="0" w:space="0" w:color="auto"/>
            <w:left w:val="none" w:sz="0" w:space="0" w:color="auto"/>
            <w:bottom w:val="none" w:sz="0" w:space="0" w:color="auto"/>
            <w:right w:val="none" w:sz="0" w:space="0" w:color="auto"/>
          </w:divBdr>
        </w:div>
      </w:divsChild>
    </w:div>
    <w:div w:id="1529296768">
      <w:marLeft w:val="0"/>
      <w:marRight w:val="0"/>
      <w:marTop w:val="0"/>
      <w:marBottom w:val="200"/>
      <w:divBdr>
        <w:top w:val="none" w:sz="0" w:space="0" w:color="auto"/>
        <w:left w:val="none" w:sz="0" w:space="0" w:color="auto"/>
        <w:bottom w:val="none" w:sz="0" w:space="0" w:color="auto"/>
        <w:right w:val="none" w:sz="0" w:space="0" w:color="auto"/>
      </w:divBdr>
    </w:div>
    <w:div w:id="1530141368">
      <w:marLeft w:val="0"/>
      <w:marRight w:val="0"/>
      <w:marTop w:val="0"/>
      <w:marBottom w:val="160"/>
      <w:divBdr>
        <w:top w:val="none" w:sz="0" w:space="0" w:color="auto"/>
        <w:left w:val="none" w:sz="0" w:space="0" w:color="auto"/>
        <w:bottom w:val="none" w:sz="0" w:space="0" w:color="auto"/>
        <w:right w:val="none" w:sz="0" w:space="0" w:color="auto"/>
      </w:divBdr>
    </w:div>
    <w:div w:id="1532454804">
      <w:marLeft w:val="0"/>
      <w:marRight w:val="0"/>
      <w:marTop w:val="0"/>
      <w:marBottom w:val="200"/>
      <w:divBdr>
        <w:top w:val="none" w:sz="0" w:space="0" w:color="auto"/>
        <w:left w:val="none" w:sz="0" w:space="0" w:color="auto"/>
        <w:bottom w:val="none" w:sz="0" w:space="0" w:color="auto"/>
        <w:right w:val="none" w:sz="0" w:space="0" w:color="auto"/>
      </w:divBdr>
    </w:div>
    <w:div w:id="1537963091">
      <w:marLeft w:val="0"/>
      <w:marRight w:val="0"/>
      <w:marTop w:val="0"/>
      <w:marBottom w:val="0"/>
      <w:divBdr>
        <w:top w:val="none" w:sz="0" w:space="0" w:color="auto"/>
        <w:left w:val="none" w:sz="0" w:space="0" w:color="auto"/>
        <w:bottom w:val="none" w:sz="0" w:space="0" w:color="auto"/>
        <w:right w:val="none" w:sz="0" w:space="0" w:color="auto"/>
      </w:divBdr>
    </w:div>
    <w:div w:id="1558710211">
      <w:marLeft w:val="0"/>
      <w:marRight w:val="0"/>
      <w:marTop w:val="0"/>
      <w:marBottom w:val="200"/>
      <w:divBdr>
        <w:top w:val="none" w:sz="0" w:space="0" w:color="auto"/>
        <w:left w:val="none" w:sz="0" w:space="0" w:color="auto"/>
        <w:bottom w:val="none" w:sz="0" w:space="0" w:color="auto"/>
        <w:right w:val="none" w:sz="0" w:space="0" w:color="auto"/>
      </w:divBdr>
    </w:div>
    <w:div w:id="1559903119">
      <w:marLeft w:val="0"/>
      <w:marRight w:val="0"/>
      <w:marTop w:val="100"/>
      <w:marBottom w:val="60"/>
      <w:divBdr>
        <w:top w:val="none" w:sz="0" w:space="0" w:color="auto"/>
        <w:left w:val="none" w:sz="0" w:space="0" w:color="auto"/>
        <w:bottom w:val="none" w:sz="0" w:space="0" w:color="auto"/>
        <w:right w:val="none" w:sz="0" w:space="0" w:color="auto"/>
      </w:divBdr>
    </w:div>
    <w:div w:id="1561021266">
      <w:marLeft w:val="0"/>
      <w:marRight w:val="0"/>
      <w:marTop w:val="0"/>
      <w:marBottom w:val="0"/>
      <w:divBdr>
        <w:top w:val="none" w:sz="0" w:space="0" w:color="auto"/>
        <w:left w:val="none" w:sz="0" w:space="0" w:color="auto"/>
        <w:bottom w:val="none" w:sz="0" w:space="0" w:color="auto"/>
        <w:right w:val="none" w:sz="0" w:space="0" w:color="auto"/>
      </w:divBdr>
      <w:divsChild>
        <w:div w:id="1235622366">
          <w:marLeft w:val="0"/>
          <w:marRight w:val="0"/>
          <w:marTop w:val="0"/>
          <w:marBottom w:val="0"/>
          <w:divBdr>
            <w:top w:val="none" w:sz="0" w:space="0" w:color="auto"/>
            <w:left w:val="none" w:sz="0" w:space="0" w:color="auto"/>
            <w:bottom w:val="none" w:sz="0" w:space="0" w:color="auto"/>
            <w:right w:val="none" w:sz="0" w:space="0" w:color="auto"/>
          </w:divBdr>
        </w:div>
      </w:divsChild>
    </w:div>
    <w:div w:id="1564411047">
      <w:marLeft w:val="0"/>
      <w:marRight w:val="0"/>
      <w:marTop w:val="0"/>
      <w:marBottom w:val="100"/>
      <w:divBdr>
        <w:top w:val="none" w:sz="0" w:space="0" w:color="auto"/>
        <w:left w:val="none" w:sz="0" w:space="0" w:color="auto"/>
        <w:bottom w:val="none" w:sz="0" w:space="0" w:color="auto"/>
        <w:right w:val="none" w:sz="0" w:space="0" w:color="auto"/>
      </w:divBdr>
    </w:div>
    <w:div w:id="1566257182">
      <w:marLeft w:val="0"/>
      <w:marRight w:val="0"/>
      <w:marTop w:val="0"/>
      <w:marBottom w:val="0"/>
      <w:divBdr>
        <w:top w:val="none" w:sz="0" w:space="0" w:color="auto"/>
        <w:left w:val="none" w:sz="0" w:space="0" w:color="auto"/>
        <w:bottom w:val="none" w:sz="0" w:space="0" w:color="auto"/>
        <w:right w:val="none" w:sz="0" w:space="0" w:color="auto"/>
      </w:divBdr>
    </w:div>
    <w:div w:id="1569874429">
      <w:marLeft w:val="0"/>
      <w:marRight w:val="0"/>
      <w:marTop w:val="0"/>
      <w:marBottom w:val="0"/>
      <w:divBdr>
        <w:top w:val="none" w:sz="0" w:space="0" w:color="auto"/>
        <w:left w:val="none" w:sz="0" w:space="0" w:color="auto"/>
        <w:bottom w:val="none" w:sz="0" w:space="0" w:color="auto"/>
        <w:right w:val="none" w:sz="0" w:space="0" w:color="auto"/>
      </w:divBdr>
      <w:divsChild>
        <w:div w:id="251164349">
          <w:marLeft w:val="0"/>
          <w:marRight w:val="0"/>
          <w:marTop w:val="0"/>
          <w:marBottom w:val="0"/>
          <w:divBdr>
            <w:top w:val="none" w:sz="0" w:space="0" w:color="auto"/>
            <w:left w:val="none" w:sz="0" w:space="0" w:color="auto"/>
            <w:bottom w:val="none" w:sz="0" w:space="0" w:color="auto"/>
            <w:right w:val="none" w:sz="0" w:space="0" w:color="auto"/>
          </w:divBdr>
        </w:div>
      </w:divsChild>
    </w:div>
    <w:div w:id="1570537419">
      <w:marLeft w:val="0"/>
      <w:marRight w:val="0"/>
      <w:marTop w:val="0"/>
      <w:marBottom w:val="0"/>
      <w:divBdr>
        <w:top w:val="none" w:sz="0" w:space="0" w:color="auto"/>
        <w:left w:val="none" w:sz="0" w:space="0" w:color="auto"/>
        <w:bottom w:val="none" w:sz="0" w:space="0" w:color="auto"/>
        <w:right w:val="none" w:sz="0" w:space="0" w:color="auto"/>
      </w:divBdr>
      <w:divsChild>
        <w:div w:id="143931613">
          <w:marLeft w:val="0"/>
          <w:marRight w:val="0"/>
          <w:marTop w:val="0"/>
          <w:marBottom w:val="0"/>
          <w:divBdr>
            <w:top w:val="none" w:sz="0" w:space="0" w:color="auto"/>
            <w:left w:val="none" w:sz="0" w:space="0" w:color="auto"/>
            <w:bottom w:val="none" w:sz="0" w:space="0" w:color="auto"/>
            <w:right w:val="none" w:sz="0" w:space="0" w:color="auto"/>
          </w:divBdr>
        </w:div>
        <w:div w:id="45758530">
          <w:marLeft w:val="0"/>
          <w:marRight w:val="0"/>
          <w:marTop w:val="0"/>
          <w:marBottom w:val="0"/>
          <w:divBdr>
            <w:top w:val="none" w:sz="0" w:space="0" w:color="auto"/>
            <w:left w:val="none" w:sz="0" w:space="0" w:color="auto"/>
            <w:bottom w:val="none" w:sz="0" w:space="0" w:color="auto"/>
            <w:right w:val="none" w:sz="0" w:space="0" w:color="auto"/>
          </w:divBdr>
        </w:div>
      </w:divsChild>
    </w:div>
    <w:div w:id="1572041331">
      <w:marLeft w:val="0"/>
      <w:marRight w:val="0"/>
      <w:marTop w:val="0"/>
      <w:marBottom w:val="0"/>
      <w:divBdr>
        <w:top w:val="none" w:sz="0" w:space="0" w:color="auto"/>
        <w:left w:val="none" w:sz="0" w:space="0" w:color="auto"/>
        <w:bottom w:val="none" w:sz="0" w:space="0" w:color="auto"/>
        <w:right w:val="none" w:sz="0" w:space="0" w:color="auto"/>
      </w:divBdr>
      <w:divsChild>
        <w:div w:id="1644315642">
          <w:marLeft w:val="0"/>
          <w:marRight w:val="0"/>
          <w:marTop w:val="0"/>
          <w:marBottom w:val="0"/>
          <w:divBdr>
            <w:top w:val="none" w:sz="0" w:space="0" w:color="auto"/>
            <w:left w:val="none" w:sz="0" w:space="0" w:color="auto"/>
            <w:bottom w:val="none" w:sz="0" w:space="0" w:color="auto"/>
            <w:right w:val="none" w:sz="0" w:space="0" w:color="auto"/>
          </w:divBdr>
        </w:div>
      </w:divsChild>
    </w:div>
    <w:div w:id="1590431443">
      <w:marLeft w:val="0"/>
      <w:marRight w:val="0"/>
      <w:marTop w:val="0"/>
      <w:marBottom w:val="0"/>
      <w:divBdr>
        <w:top w:val="none" w:sz="0" w:space="0" w:color="auto"/>
        <w:left w:val="none" w:sz="0" w:space="0" w:color="auto"/>
        <w:bottom w:val="none" w:sz="0" w:space="0" w:color="auto"/>
        <w:right w:val="none" w:sz="0" w:space="0" w:color="auto"/>
      </w:divBdr>
      <w:divsChild>
        <w:div w:id="1433427677">
          <w:marLeft w:val="0"/>
          <w:marRight w:val="0"/>
          <w:marTop w:val="0"/>
          <w:marBottom w:val="0"/>
          <w:divBdr>
            <w:top w:val="none" w:sz="0" w:space="0" w:color="auto"/>
            <w:left w:val="none" w:sz="0" w:space="0" w:color="auto"/>
            <w:bottom w:val="none" w:sz="0" w:space="0" w:color="auto"/>
            <w:right w:val="none" w:sz="0" w:space="0" w:color="auto"/>
          </w:divBdr>
        </w:div>
      </w:divsChild>
    </w:div>
    <w:div w:id="1599410782">
      <w:marLeft w:val="0"/>
      <w:marRight w:val="0"/>
      <w:marTop w:val="0"/>
      <w:marBottom w:val="200"/>
      <w:divBdr>
        <w:top w:val="none" w:sz="0" w:space="0" w:color="auto"/>
        <w:left w:val="none" w:sz="0" w:space="0" w:color="auto"/>
        <w:bottom w:val="none" w:sz="0" w:space="0" w:color="auto"/>
        <w:right w:val="none" w:sz="0" w:space="0" w:color="auto"/>
      </w:divBdr>
    </w:div>
    <w:div w:id="1601647859">
      <w:marLeft w:val="0"/>
      <w:marRight w:val="0"/>
      <w:marTop w:val="0"/>
      <w:marBottom w:val="200"/>
      <w:divBdr>
        <w:top w:val="none" w:sz="0" w:space="0" w:color="auto"/>
        <w:left w:val="none" w:sz="0" w:space="0" w:color="auto"/>
        <w:bottom w:val="none" w:sz="0" w:space="0" w:color="auto"/>
        <w:right w:val="none" w:sz="0" w:space="0" w:color="auto"/>
      </w:divBdr>
    </w:div>
    <w:div w:id="1606307310">
      <w:marLeft w:val="0"/>
      <w:marRight w:val="0"/>
      <w:marTop w:val="0"/>
      <w:marBottom w:val="200"/>
      <w:divBdr>
        <w:top w:val="none" w:sz="0" w:space="0" w:color="auto"/>
        <w:left w:val="none" w:sz="0" w:space="0" w:color="auto"/>
        <w:bottom w:val="none" w:sz="0" w:space="0" w:color="auto"/>
        <w:right w:val="none" w:sz="0" w:space="0" w:color="auto"/>
      </w:divBdr>
    </w:div>
    <w:div w:id="1614364089">
      <w:marLeft w:val="0"/>
      <w:marRight w:val="0"/>
      <w:marTop w:val="0"/>
      <w:marBottom w:val="0"/>
      <w:divBdr>
        <w:top w:val="none" w:sz="0" w:space="0" w:color="auto"/>
        <w:left w:val="none" w:sz="0" w:space="0" w:color="auto"/>
        <w:bottom w:val="none" w:sz="0" w:space="0" w:color="auto"/>
        <w:right w:val="none" w:sz="0" w:space="0" w:color="auto"/>
      </w:divBdr>
      <w:divsChild>
        <w:div w:id="1564487415">
          <w:marLeft w:val="0"/>
          <w:marRight w:val="0"/>
          <w:marTop w:val="0"/>
          <w:marBottom w:val="0"/>
          <w:divBdr>
            <w:top w:val="none" w:sz="0" w:space="0" w:color="auto"/>
            <w:left w:val="none" w:sz="0" w:space="0" w:color="auto"/>
            <w:bottom w:val="none" w:sz="0" w:space="0" w:color="auto"/>
            <w:right w:val="none" w:sz="0" w:space="0" w:color="auto"/>
          </w:divBdr>
        </w:div>
      </w:divsChild>
    </w:div>
    <w:div w:id="1618874899">
      <w:marLeft w:val="0"/>
      <w:marRight w:val="0"/>
      <w:marTop w:val="200"/>
      <w:marBottom w:val="0"/>
      <w:divBdr>
        <w:top w:val="none" w:sz="0" w:space="0" w:color="auto"/>
        <w:left w:val="none" w:sz="0" w:space="0" w:color="auto"/>
        <w:bottom w:val="none" w:sz="0" w:space="0" w:color="auto"/>
        <w:right w:val="none" w:sz="0" w:space="0" w:color="auto"/>
      </w:divBdr>
    </w:div>
    <w:div w:id="1619600212">
      <w:marLeft w:val="0"/>
      <w:marRight w:val="0"/>
      <w:marTop w:val="0"/>
      <w:marBottom w:val="0"/>
      <w:divBdr>
        <w:top w:val="none" w:sz="0" w:space="0" w:color="auto"/>
        <w:left w:val="none" w:sz="0" w:space="0" w:color="auto"/>
        <w:bottom w:val="none" w:sz="0" w:space="0" w:color="auto"/>
        <w:right w:val="none" w:sz="0" w:space="0" w:color="auto"/>
      </w:divBdr>
      <w:divsChild>
        <w:div w:id="260140192">
          <w:marLeft w:val="0"/>
          <w:marRight w:val="0"/>
          <w:marTop w:val="0"/>
          <w:marBottom w:val="0"/>
          <w:divBdr>
            <w:top w:val="none" w:sz="0" w:space="0" w:color="auto"/>
            <w:left w:val="none" w:sz="0" w:space="0" w:color="auto"/>
            <w:bottom w:val="none" w:sz="0" w:space="0" w:color="auto"/>
            <w:right w:val="none" w:sz="0" w:space="0" w:color="auto"/>
          </w:divBdr>
        </w:div>
      </w:divsChild>
    </w:div>
    <w:div w:id="1627007388">
      <w:marLeft w:val="0"/>
      <w:marRight w:val="0"/>
      <w:marTop w:val="0"/>
      <w:marBottom w:val="0"/>
      <w:divBdr>
        <w:top w:val="none" w:sz="0" w:space="0" w:color="auto"/>
        <w:left w:val="none" w:sz="0" w:space="0" w:color="auto"/>
        <w:bottom w:val="none" w:sz="0" w:space="0" w:color="auto"/>
        <w:right w:val="none" w:sz="0" w:space="0" w:color="auto"/>
      </w:divBdr>
      <w:divsChild>
        <w:div w:id="628631867">
          <w:marLeft w:val="0"/>
          <w:marRight w:val="0"/>
          <w:marTop w:val="0"/>
          <w:marBottom w:val="0"/>
          <w:divBdr>
            <w:top w:val="none" w:sz="0" w:space="0" w:color="auto"/>
            <w:left w:val="none" w:sz="0" w:space="0" w:color="auto"/>
            <w:bottom w:val="none" w:sz="0" w:space="0" w:color="auto"/>
            <w:right w:val="none" w:sz="0" w:space="0" w:color="auto"/>
          </w:divBdr>
        </w:div>
      </w:divsChild>
    </w:div>
    <w:div w:id="1631128828">
      <w:marLeft w:val="0"/>
      <w:marRight w:val="0"/>
      <w:marTop w:val="0"/>
      <w:marBottom w:val="0"/>
      <w:divBdr>
        <w:top w:val="none" w:sz="0" w:space="0" w:color="auto"/>
        <w:left w:val="none" w:sz="0" w:space="0" w:color="auto"/>
        <w:bottom w:val="none" w:sz="0" w:space="0" w:color="auto"/>
        <w:right w:val="none" w:sz="0" w:space="0" w:color="auto"/>
      </w:divBdr>
      <w:divsChild>
        <w:div w:id="826092886">
          <w:marLeft w:val="0"/>
          <w:marRight w:val="0"/>
          <w:marTop w:val="0"/>
          <w:marBottom w:val="0"/>
          <w:divBdr>
            <w:top w:val="none" w:sz="0" w:space="0" w:color="auto"/>
            <w:left w:val="none" w:sz="0" w:space="0" w:color="auto"/>
            <w:bottom w:val="none" w:sz="0" w:space="0" w:color="auto"/>
            <w:right w:val="none" w:sz="0" w:space="0" w:color="auto"/>
          </w:divBdr>
        </w:div>
      </w:divsChild>
    </w:div>
    <w:div w:id="1652322943">
      <w:marLeft w:val="0"/>
      <w:marRight w:val="0"/>
      <w:marTop w:val="0"/>
      <w:marBottom w:val="200"/>
      <w:divBdr>
        <w:top w:val="none" w:sz="0" w:space="0" w:color="auto"/>
        <w:left w:val="none" w:sz="0" w:space="0" w:color="auto"/>
        <w:bottom w:val="none" w:sz="0" w:space="0" w:color="auto"/>
        <w:right w:val="none" w:sz="0" w:space="0" w:color="auto"/>
      </w:divBdr>
    </w:div>
    <w:div w:id="1660228713">
      <w:marLeft w:val="0"/>
      <w:marRight w:val="0"/>
      <w:marTop w:val="0"/>
      <w:marBottom w:val="200"/>
      <w:divBdr>
        <w:top w:val="none" w:sz="0" w:space="0" w:color="auto"/>
        <w:left w:val="none" w:sz="0" w:space="0" w:color="auto"/>
        <w:bottom w:val="none" w:sz="0" w:space="0" w:color="auto"/>
        <w:right w:val="none" w:sz="0" w:space="0" w:color="auto"/>
      </w:divBdr>
    </w:div>
    <w:div w:id="1665204378">
      <w:marLeft w:val="0"/>
      <w:marRight w:val="0"/>
      <w:marTop w:val="0"/>
      <w:marBottom w:val="0"/>
      <w:divBdr>
        <w:top w:val="none" w:sz="0" w:space="0" w:color="auto"/>
        <w:left w:val="none" w:sz="0" w:space="0" w:color="auto"/>
        <w:bottom w:val="none" w:sz="0" w:space="0" w:color="auto"/>
        <w:right w:val="none" w:sz="0" w:space="0" w:color="auto"/>
      </w:divBdr>
      <w:divsChild>
        <w:div w:id="550774492">
          <w:marLeft w:val="0"/>
          <w:marRight w:val="0"/>
          <w:marTop w:val="0"/>
          <w:marBottom w:val="0"/>
          <w:divBdr>
            <w:top w:val="none" w:sz="0" w:space="0" w:color="auto"/>
            <w:left w:val="none" w:sz="0" w:space="0" w:color="auto"/>
            <w:bottom w:val="none" w:sz="0" w:space="0" w:color="auto"/>
            <w:right w:val="none" w:sz="0" w:space="0" w:color="auto"/>
          </w:divBdr>
        </w:div>
      </w:divsChild>
    </w:div>
    <w:div w:id="1665861805">
      <w:marLeft w:val="0"/>
      <w:marRight w:val="0"/>
      <w:marTop w:val="0"/>
      <w:marBottom w:val="0"/>
      <w:divBdr>
        <w:top w:val="none" w:sz="0" w:space="0" w:color="auto"/>
        <w:left w:val="none" w:sz="0" w:space="0" w:color="auto"/>
        <w:bottom w:val="none" w:sz="0" w:space="0" w:color="auto"/>
        <w:right w:val="none" w:sz="0" w:space="0" w:color="auto"/>
      </w:divBdr>
    </w:div>
    <w:div w:id="1671444899">
      <w:marLeft w:val="0"/>
      <w:marRight w:val="0"/>
      <w:marTop w:val="0"/>
      <w:marBottom w:val="0"/>
      <w:divBdr>
        <w:top w:val="none" w:sz="0" w:space="0" w:color="auto"/>
        <w:left w:val="none" w:sz="0" w:space="0" w:color="auto"/>
        <w:bottom w:val="none" w:sz="0" w:space="0" w:color="auto"/>
        <w:right w:val="none" w:sz="0" w:space="0" w:color="auto"/>
      </w:divBdr>
      <w:divsChild>
        <w:div w:id="2034266046">
          <w:marLeft w:val="0"/>
          <w:marRight w:val="0"/>
          <w:marTop w:val="0"/>
          <w:marBottom w:val="0"/>
          <w:divBdr>
            <w:top w:val="none" w:sz="0" w:space="0" w:color="auto"/>
            <w:left w:val="none" w:sz="0" w:space="0" w:color="auto"/>
            <w:bottom w:val="none" w:sz="0" w:space="0" w:color="auto"/>
            <w:right w:val="none" w:sz="0" w:space="0" w:color="auto"/>
          </w:divBdr>
        </w:div>
      </w:divsChild>
    </w:div>
    <w:div w:id="1682855040">
      <w:marLeft w:val="0"/>
      <w:marRight w:val="0"/>
      <w:marTop w:val="0"/>
      <w:marBottom w:val="200"/>
      <w:divBdr>
        <w:top w:val="none" w:sz="0" w:space="0" w:color="auto"/>
        <w:left w:val="none" w:sz="0" w:space="0" w:color="auto"/>
        <w:bottom w:val="none" w:sz="0" w:space="0" w:color="auto"/>
        <w:right w:val="none" w:sz="0" w:space="0" w:color="auto"/>
      </w:divBdr>
    </w:div>
    <w:div w:id="1687707443">
      <w:marLeft w:val="0"/>
      <w:marRight w:val="0"/>
      <w:marTop w:val="0"/>
      <w:marBottom w:val="200"/>
      <w:divBdr>
        <w:top w:val="none" w:sz="0" w:space="0" w:color="auto"/>
        <w:left w:val="none" w:sz="0" w:space="0" w:color="auto"/>
        <w:bottom w:val="none" w:sz="0" w:space="0" w:color="auto"/>
        <w:right w:val="none" w:sz="0" w:space="0" w:color="auto"/>
      </w:divBdr>
    </w:div>
    <w:div w:id="1688360086">
      <w:marLeft w:val="0"/>
      <w:marRight w:val="0"/>
      <w:marTop w:val="0"/>
      <w:marBottom w:val="0"/>
      <w:divBdr>
        <w:top w:val="none" w:sz="0" w:space="0" w:color="auto"/>
        <w:left w:val="none" w:sz="0" w:space="0" w:color="auto"/>
        <w:bottom w:val="none" w:sz="0" w:space="0" w:color="auto"/>
        <w:right w:val="none" w:sz="0" w:space="0" w:color="auto"/>
      </w:divBdr>
      <w:divsChild>
        <w:div w:id="1743870575">
          <w:marLeft w:val="0"/>
          <w:marRight w:val="0"/>
          <w:marTop w:val="0"/>
          <w:marBottom w:val="0"/>
          <w:divBdr>
            <w:top w:val="none" w:sz="0" w:space="0" w:color="auto"/>
            <w:left w:val="none" w:sz="0" w:space="0" w:color="auto"/>
            <w:bottom w:val="none" w:sz="0" w:space="0" w:color="auto"/>
            <w:right w:val="none" w:sz="0" w:space="0" w:color="auto"/>
          </w:divBdr>
        </w:div>
      </w:divsChild>
    </w:div>
    <w:div w:id="1692683215">
      <w:marLeft w:val="0"/>
      <w:marRight w:val="0"/>
      <w:marTop w:val="0"/>
      <w:marBottom w:val="0"/>
      <w:divBdr>
        <w:top w:val="none" w:sz="0" w:space="0" w:color="auto"/>
        <w:left w:val="none" w:sz="0" w:space="0" w:color="auto"/>
        <w:bottom w:val="none" w:sz="0" w:space="0" w:color="auto"/>
        <w:right w:val="none" w:sz="0" w:space="0" w:color="auto"/>
      </w:divBdr>
      <w:divsChild>
        <w:div w:id="98646241">
          <w:marLeft w:val="0"/>
          <w:marRight w:val="0"/>
          <w:marTop w:val="0"/>
          <w:marBottom w:val="0"/>
          <w:divBdr>
            <w:top w:val="none" w:sz="0" w:space="0" w:color="auto"/>
            <w:left w:val="none" w:sz="0" w:space="0" w:color="auto"/>
            <w:bottom w:val="none" w:sz="0" w:space="0" w:color="auto"/>
            <w:right w:val="none" w:sz="0" w:space="0" w:color="auto"/>
          </w:divBdr>
        </w:div>
        <w:div w:id="909341610">
          <w:marLeft w:val="0"/>
          <w:marRight w:val="0"/>
          <w:marTop w:val="180"/>
          <w:marBottom w:val="0"/>
          <w:divBdr>
            <w:top w:val="none" w:sz="0" w:space="0" w:color="auto"/>
            <w:left w:val="none" w:sz="0" w:space="0" w:color="auto"/>
            <w:bottom w:val="none" w:sz="0" w:space="0" w:color="auto"/>
            <w:right w:val="none" w:sz="0" w:space="0" w:color="auto"/>
          </w:divBdr>
        </w:div>
      </w:divsChild>
    </w:div>
    <w:div w:id="1702778335">
      <w:marLeft w:val="0"/>
      <w:marRight w:val="0"/>
      <w:marTop w:val="100"/>
      <w:marBottom w:val="0"/>
      <w:divBdr>
        <w:top w:val="none" w:sz="0" w:space="0" w:color="auto"/>
        <w:left w:val="none" w:sz="0" w:space="0" w:color="auto"/>
        <w:bottom w:val="none" w:sz="0" w:space="0" w:color="auto"/>
        <w:right w:val="none" w:sz="0" w:space="0" w:color="auto"/>
      </w:divBdr>
    </w:div>
    <w:div w:id="1707295644">
      <w:marLeft w:val="0"/>
      <w:marRight w:val="0"/>
      <w:marTop w:val="0"/>
      <w:marBottom w:val="200"/>
      <w:divBdr>
        <w:top w:val="none" w:sz="0" w:space="0" w:color="auto"/>
        <w:left w:val="none" w:sz="0" w:space="0" w:color="auto"/>
        <w:bottom w:val="none" w:sz="0" w:space="0" w:color="auto"/>
        <w:right w:val="none" w:sz="0" w:space="0" w:color="auto"/>
      </w:divBdr>
    </w:div>
    <w:div w:id="1709841498">
      <w:marLeft w:val="0"/>
      <w:marRight w:val="0"/>
      <w:marTop w:val="0"/>
      <w:marBottom w:val="200"/>
      <w:divBdr>
        <w:top w:val="none" w:sz="0" w:space="0" w:color="auto"/>
        <w:left w:val="none" w:sz="0" w:space="0" w:color="auto"/>
        <w:bottom w:val="none" w:sz="0" w:space="0" w:color="auto"/>
        <w:right w:val="none" w:sz="0" w:space="0" w:color="auto"/>
      </w:divBdr>
    </w:div>
    <w:div w:id="1725375949">
      <w:marLeft w:val="0"/>
      <w:marRight w:val="0"/>
      <w:marTop w:val="0"/>
      <w:marBottom w:val="160"/>
      <w:divBdr>
        <w:top w:val="none" w:sz="0" w:space="0" w:color="auto"/>
        <w:left w:val="none" w:sz="0" w:space="0" w:color="auto"/>
        <w:bottom w:val="none" w:sz="0" w:space="0" w:color="auto"/>
        <w:right w:val="none" w:sz="0" w:space="0" w:color="auto"/>
      </w:divBdr>
    </w:div>
    <w:div w:id="1745836572">
      <w:marLeft w:val="0"/>
      <w:marRight w:val="0"/>
      <w:marTop w:val="0"/>
      <w:marBottom w:val="200"/>
      <w:divBdr>
        <w:top w:val="none" w:sz="0" w:space="0" w:color="auto"/>
        <w:left w:val="none" w:sz="0" w:space="0" w:color="auto"/>
        <w:bottom w:val="none" w:sz="0" w:space="0" w:color="auto"/>
        <w:right w:val="none" w:sz="0" w:space="0" w:color="auto"/>
      </w:divBdr>
    </w:div>
    <w:div w:id="1747218132">
      <w:marLeft w:val="0"/>
      <w:marRight w:val="0"/>
      <w:marTop w:val="0"/>
      <w:marBottom w:val="200"/>
      <w:divBdr>
        <w:top w:val="none" w:sz="0" w:space="0" w:color="auto"/>
        <w:left w:val="none" w:sz="0" w:space="0" w:color="auto"/>
        <w:bottom w:val="none" w:sz="0" w:space="0" w:color="auto"/>
        <w:right w:val="none" w:sz="0" w:space="0" w:color="auto"/>
      </w:divBdr>
    </w:div>
    <w:div w:id="1752846820">
      <w:marLeft w:val="0"/>
      <w:marRight w:val="0"/>
      <w:marTop w:val="0"/>
      <w:marBottom w:val="200"/>
      <w:divBdr>
        <w:top w:val="none" w:sz="0" w:space="0" w:color="auto"/>
        <w:left w:val="none" w:sz="0" w:space="0" w:color="auto"/>
        <w:bottom w:val="none" w:sz="0" w:space="0" w:color="auto"/>
        <w:right w:val="none" w:sz="0" w:space="0" w:color="auto"/>
      </w:divBdr>
    </w:div>
    <w:div w:id="1775443420">
      <w:marLeft w:val="0"/>
      <w:marRight w:val="0"/>
      <w:marTop w:val="0"/>
      <w:marBottom w:val="200"/>
      <w:divBdr>
        <w:top w:val="none" w:sz="0" w:space="0" w:color="auto"/>
        <w:left w:val="none" w:sz="0" w:space="0" w:color="auto"/>
        <w:bottom w:val="none" w:sz="0" w:space="0" w:color="auto"/>
        <w:right w:val="none" w:sz="0" w:space="0" w:color="auto"/>
      </w:divBdr>
    </w:div>
    <w:div w:id="1776947380">
      <w:marLeft w:val="0"/>
      <w:marRight w:val="0"/>
      <w:marTop w:val="0"/>
      <w:marBottom w:val="200"/>
      <w:divBdr>
        <w:top w:val="none" w:sz="0" w:space="0" w:color="auto"/>
        <w:left w:val="none" w:sz="0" w:space="0" w:color="auto"/>
        <w:bottom w:val="none" w:sz="0" w:space="0" w:color="auto"/>
        <w:right w:val="none" w:sz="0" w:space="0" w:color="auto"/>
      </w:divBdr>
    </w:div>
    <w:div w:id="1781879152">
      <w:marLeft w:val="0"/>
      <w:marRight w:val="0"/>
      <w:marTop w:val="0"/>
      <w:marBottom w:val="0"/>
      <w:divBdr>
        <w:top w:val="none" w:sz="0" w:space="0" w:color="auto"/>
        <w:left w:val="none" w:sz="0" w:space="0" w:color="auto"/>
        <w:bottom w:val="none" w:sz="0" w:space="0" w:color="auto"/>
        <w:right w:val="none" w:sz="0" w:space="0" w:color="auto"/>
      </w:divBdr>
    </w:div>
    <w:div w:id="1782871104">
      <w:marLeft w:val="0"/>
      <w:marRight w:val="0"/>
      <w:marTop w:val="100"/>
      <w:marBottom w:val="0"/>
      <w:divBdr>
        <w:top w:val="none" w:sz="0" w:space="0" w:color="auto"/>
        <w:left w:val="none" w:sz="0" w:space="0" w:color="auto"/>
        <w:bottom w:val="none" w:sz="0" w:space="0" w:color="auto"/>
        <w:right w:val="none" w:sz="0" w:space="0" w:color="auto"/>
      </w:divBdr>
    </w:div>
    <w:div w:id="1784307011">
      <w:marLeft w:val="0"/>
      <w:marRight w:val="0"/>
      <w:marTop w:val="0"/>
      <w:marBottom w:val="200"/>
      <w:divBdr>
        <w:top w:val="none" w:sz="0" w:space="0" w:color="auto"/>
        <w:left w:val="none" w:sz="0" w:space="0" w:color="auto"/>
        <w:bottom w:val="none" w:sz="0" w:space="0" w:color="auto"/>
        <w:right w:val="none" w:sz="0" w:space="0" w:color="auto"/>
      </w:divBdr>
    </w:div>
    <w:div w:id="1791052264">
      <w:marLeft w:val="0"/>
      <w:marRight w:val="0"/>
      <w:marTop w:val="180"/>
      <w:marBottom w:val="0"/>
      <w:divBdr>
        <w:top w:val="none" w:sz="0" w:space="0" w:color="auto"/>
        <w:left w:val="none" w:sz="0" w:space="0" w:color="auto"/>
        <w:bottom w:val="none" w:sz="0" w:space="0" w:color="auto"/>
        <w:right w:val="none" w:sz="0" w:space="0" w:color="auto"/>
      </w:divBdr>
    </w:div>
    <w:div w:id="1794861094">
      <w:marLeft w:val="0"/>
      <w:marRight w:val="0"/>
      <w:marTop w:val="100"/>
      <w:marBottom w:val="0"/>
      <w:divBdr>
        <w:top w:val="none" w:sz="0" w:space="0" w:color="auto"/>
        <w:left w:val="none" w:sz="0" w:space="0" w:color="auto"/>
        <w:bottom w:val="none" w:sz="0" w:space="0" w:color="auto"/>
        <w:right w:val="none" w:sz="0" w:space="0" w:color="auto"/>
      </w:divBdr>
    </w:div>
    <w:div w:id="1794908983">
      <w:marLeft w:val="0"/>
      <w:marRight w:val="0"/>
      <w:marTop w:val="0"/>
      <w:marBottom w:val="200"/>
      <w:divBdr>
        <w:top w:val="none" w:sz="0" w:space="0" w:color="auto"/>
        <w:left w:val="none" w:sz="0" w:space="0" w:color="auto"/>
        <w:bottom w:val="none" w:sz="0" w:space="0" w:color="auto"/>
        <w:right w:val="none" w:sz="0" w:space="0" w:color="auto"/>
      </w:divBdr>
    </w:div>
    <w:div w:id="1796175267">
      <w:marLeft w:val="0"/>
      <w:marRight w:val="0"/>
      <w:marTop w:val="100"/>
      <w:marBottom w:val="0"/>
      <w:divBdr>
        <w:top w:val="none" w:sz="0" w:space="0" w:color="auto"/>
        <w:left w:val="none" w:sz="0" w:space="0" w:color="auto"/>
        <w:bottom w:val="none" w:sz="0" w:space="0" w:color="auto"/>
        <w:right w:val="none" w:sz="0" w:space="0" w:color="auto"/>
      </w:divBdr>
    </w:div>
    <w:div w:id="1802335265">
      <w:marLeft w:val="0"/>
      <w:marRight w:val="0"/>
      <w:marTop w:val="100"/>
      <w:marBottom w:val="0"/>
      <w:divBdr>
        <w:top w:val="none" w:sz="0" w:space="0" w:color="auto"/>
        <w:left w:val="none" w:sz="0" w:space="0" w:color="auto"/>
        <w:bottom w:val="none" w:sz="0" w:space="0" w:color="auto"/>
        <w:right w:val="none" w:sz="0" w:space="0" w:color="auto"/>
      </w:divBdr>
      <w:divsChild>
        <w:div w:id="1561207096">
          <w:marLeft w:val="0"/>
          <w:marRight w:val="0"/>
          <w:marTop w:val="0"/>
          <w:marBottom w:val="44"/>
          <w:divBdr>
            <w:top w:val="none" w:sz="0" w:space="0" w:color="auto"/>
            <w:left w:val="none" w:sz="0" w:space="0" w:color="auto"/>
            <w:bottom w:val="none" w:sz="0" w:space="0" w:color="auto"/>
            <w:right w:val="none" w:sz="0" w:space="0" w:color="auto"/>
          </w:divBdr>
        </w:div>
        <w:div w:id="1750151560">
          <w:marLeft w:val="0"/>
          <w:marRight w:val="0"/>
          <w:marTop w:val="0"/>
          <w:marBottom w:val="44"/>
          <w:divBdr>
            <w:top w:val="none" w:sz="0" w:space="0" w:color="auto"/>
            <w:left w:val="none" w:sz="0" w:space="0" w:color="auto"/>
            <w:bottom w:val="none" w:sz="0" w:space="0" w:color="auto"/>
            <w:right w:val="none" w:sz="0" w:space="0" w:color="auto"/>
          </w:divBdr>
        </w:div>
        <w:div w:id="1259215188">
          <w:marLeft w:val="0"/>
          <w:marRight w:val="0"/>
          <w:marTop w:val="0"/>
          <w:marBottom w:val="44"/>
          <w:divBdr>
            <w:top w:val="none" w:sz="0" w:space="0" w:color="auto"/>
            <w:left w:val="none" w:sz="0" w:space="0" w:color="auto"/>
            <w:bottom w:val="none" w:sz="0" w:space="0" w:color="auto"/>
            <w:right w:val="none" w:sz="0" w:space="0" w:color="auto"/>
          </w:divBdr>
        </w:div>
        <w:div w:id="838035890">
          <w:marLeft w:val="0"/>
          <w:marRight w:val="0"/>
          <w:marTop w:val="0"/>
          <w:marBottom w:val="44"/>
          <w:divBdr>
            <w:top w:val="none" w:sz="0" w:space="0" w:color="auto"/>
            <w:left w:val="none" w:sz="0" w:space="0" w:color="auto"/>
            <w:bottom w:val="none" w:sz="0" w:space="0" w:color="auto"/>
            <w:right w:val="none" w:sz="0" w:space="0" w:color="auto"/>
          </w:divBdr>
        </w:div>
        <w:div w:id="72091320">
          <w:marLeft w:val="0"/>
          <w:marRight w:val="0"/>
          <w:marTop w:val="0"/>
          <w:marBottom w:val="44"/>
          <w:divBdr>
            <w:top w:val="none" w:sz="0" w:space="0" w:color="auto"/>
            <w:left w:val="none" w:sz="0" w:space="0" w:color="auto"/>
            <w:bottom w:val="none" w:sz="0" w:space="0" w:color="auto"/>
            <w:right w:val="none" w:sz="0" w:space="0" w:color="auto"/>
          </w:divBdr>
        </w:div>
        <w:div w:id="1462309667">
          <w:marLeft w:val="0"/>
          <w:marRight w:val="0"/>
          <w:marTop w:val="0"/>
          <w:marBottom w:val="44"/>
          <w:divBdr>
            <w:top w:val="none" w:sz="0" w:space="0" w:color="auto"/>
            <w:left w:val="none" w:sz="0" w:space="0" w:color="auto"/>
            <w:bottom w:val="none" w:sz="0" w:space="0" w:color="auto"/>
            <w:right w:val="none" w:sz="0" w:space="0" w:color="auto"/>
          </w:divBdr>
        </w:div>
      </w:divsChild>
    </w:div>
    <w:div w:id="1806464898">
      <w:marLeft w:val="0"/>
      <w:marRight w:val="0"/>
      <w:marTop w:val="0"/>
      <w:marBottom w:val="0"/>
      <w:divBdr>
        <w:top w:val="none" w:sz="0" w:space="0" w:color="auto"/>
        <w:left w:val="none" w:sz="0" w:space="0" w:color="auto"/>
        <w:bottom w:val="none" w:sz="0" w:space="0" w:color="auto"/>
        <w:right w:val="none" w:sz="0" w:space="0" w:color="auto"/>
      </w:divBdr>
      <w:divsChild>
        <w:div w:id="1260068545">
          <w:marLeft w:val="0"/>
          <w:marRight w:val="0"/>
          <w:marTop w:val="0"/>
          <w:marBottom w:val="0"/>
          <w:divBdr>
            <w:top w:val="none" w:sz="0" w:space="0" w:color="auto"/>
            <w:left w:val="none" w:sz="0" w:space="0" w:color="auto"/>
            <w:bottom w:val="none" w:sz="0" w:space="0" w:color="auto"/>
            <w:right w:val="none" w:sz="0" w:space="0" w:color="auto"/>
          </w:divBdr>
        </w:div>
      </w:divsChild>
    </w:div>
    <w:div w:id="1810515769">
      <w:marLeft w:val="0"/>
      <w:marRight w:val="0"/>
      <w:marTop w:val="0"/>
      <w:marBottom w:val="0"/>
      <w:divBdr>
        <w:top w:val="none" w:sz="0" w:space="0" w:color="auto"/>
        <w:left w:val="none" w:sz="0" w:space="0" w:color="auto"/>
        <w:bottom w:val="none" w:sz="0" w:space="0" w:color="auto"/>
        <w:right w:val="none" w:sz="0" w:space="0" w:color="auto"/>
      </w:divBdr>
      <w:divsChild>
        <w:div w:id="761800339">
          <w:marLeft w:val="0"/>
          <w:marRight w:val="0"/>
          <w:marTop w:val="0"/>
          <w:marBottom w:val="0"/>
          <w:divBdr>
            <w:top w:val="none" w:sz="0" w:space="0" w:color="auto"/>
            <w:left w:val="none" w:sz="0" w:space="0" w:color="auto"/>
            <w:bottom w:val="none" w:sz="0" w:space="0" w:color="auto"/>
            <w:right w:val="none" w:sz="0" w:space="0" w:color="auto"/>
          </w:divBdr>
        </w:div>
      </w:divsChild>
    </w:div>
    <w:div w:id="1811244520">
      <w:marLeft w:val="0"/>
      <w:marRight w:val="0"/>
      <w:marTop w:val="160"/>
      <w:marBottom w:val="0"/>
      <w:divBdr>
        <w:top w:val="none" w:sz="0" w:space="0" w:color="auto"/>
        <w:left w:val="none" w:sz="0" w:space="0" w:color="auto"/>
        <w:bottom w:val="none" w:sz="0" w:space="0" w:color="auto"/>
        <w:right w:val="none" w:sz="0" w:space="0" w:color="auto"/>
      </w:divBdr>
    </w:div>
    <w:div w:id="1816872838">
      <w:marLeft w:val="0"/>
      <w:marRight w:val="0"/>
      <w:marTop w:val="100"/>
      <w:marBottom w:val="0"/>
      <w:divBdr>
        <w:top w:val="none" w:sz="0" w:space="0" w:color="auto"/>
        <w:left w:val="none" w:sz="0" w:space="0" w:color="auto"/>
        <w:bottom w:val="none" w:sz="0" w:space="0" w:color="auto"/>
        <w:right w:val="none" w:sz="0" w:space="0" w:color="auto"/>
      </w:divBdr>
    </w:div>
    <w:div w:id="1818063351">
      <w:marLeft w:val="0"/>
      <w:marRight w:val="0"/>
      <w:marTop w:val="0"/>
      <w:marBottom w:val="0"/>
      <w:divBdr>
        <w:top w:val="none" w:sz="0" w:space="0" w:color="auto"/>
        <w:left w:val="none" w:sz="0" w:space="0" w:color="auto"/>
        <w:bottom w:val="none" w:sz="0" w:space="0" w:color="auto"/>
        <w:right w:val="none" w:sz="0" w:space="0" w:color="auto"/>
      </w:divBdr>
      <w:divsChild>
        <w:div w:id="840201160">
          <w:marLeft w:val="0"/>
          <w:marRight w:val="0"/>
          <w:marTop w:val="0"/>
          <w:marBottom w:val="0"/>
          <w:divBdr>
            <w:top w:val="none" w:sz="0" w:space="0" w:color="auto"/>
            <w:left w:val="none" w:sz="0" w:space="0" w:color="auto"/>
            <w:bottom w:val="none" w:sz="0" w:space="0" w:color="auto"/>
            <w:right w:val="none" w:sz="0" w:space="0" w:color="auto"/>
          </w:divBdr>
        </w:div>
      </w:divsChild>
    </w:div>
    <w:div w:id="1820346256">
      <w:marLeft w:val="0"/>
      <w:marRight w:val="0"/>
      <w:marTop w:val="0"/>
      <w:marBottom w:val="0"/>
      <w:divBdr>
        <w:top w:val="none" w:sz="0" w:space="0" w:color="auto"/>
        <w:left w:val="none" w:sz="0" w:space="0" w:color="auto"/>
        <w:bottom w:val="none" w:sz="0" w:space="0" w:color="auto"/>
        <w:right w:val="none" w:sz="0" w:space="0" w:color="auto"/>
      </w:divBdr>
      <w:divsChild>
        <w:div w:id="1190604636">
          <w:marLeft w:val="0"/>
          <w:marRight w:val="0"/>
          <w:marTop w:val="0"/>
          <w:marBottom w:val="0"/>
          <w:divBdr>
            <w:top w:val="none" w:sz="0" w:space="0" w:color="auto"/>
            <w:left w:val="none" w:sz="0" w:space="0" w:color="auto"/>
            <w:bottom w:val="none" w:sz="0" w:space="0" w:color="auto"/>
            <w:right w:val="none" w:sz="0" w:space="0" w:color="auto"/>
          </w:divBdr>
        </w:div>
      </w:divsChild>
    </w:div>
    <w:div w:id="1834684104">
      <w:marLeft w:val="0"/>
      <w:marRight w:val="0"/>
      <w:marTop w:val="200"/>
      <w:marBottom w:val="0"/>
      <w:divBdr>
        <w:top w:val="none" w:sz="0" w:space="0" w:color="auto"/>
        <w:left w:val="none" w:sz="0" w:space="0" w:color="auto"/>
        <w:bottom w:val="none" w:sz="0" w:space="0" w:color="auto"/>
        <w:right w:val="none" w:sz="0" w:space="0" w:color="auto"/>
      </w:divBdr>
    </w:div>
    <w:div w:id="1835368319">
      <w:marLeft w:val="0"/>
      <w:marRight w:val="0"/>
      <w:marTop w:val="0"/>
      <w:marBottom w:val="0"/>
      <w:divBdr>
        <w:top w:val="none" w:sz="0" w:space="0" w:color="auto"/>
        <w:left w:val="none" w:sz="0" w:space="0" w:color="auto"/>
        <w:bottom w:val="none" w:sz="0" w:space="0" w:color="auto"/>
        <w:right w:val="none" w:sz="0" w:space="0" w:color="auto"/>
      </w:divBdr>
      <w:divsChild>
        <w:div w:id="1366717848">
          <w:marLeft w:val="0"/>
          <w:marRight w:val="0"/>
          <w:marTop w:val="0"/>
          <w:marBottom w:val="0"/>
          <w:divBdr>
            <w:top w:val="none" w:sz="0" w:space="0" w:color="auto"/>
            <w:left w:val="none" w:sz="0" w:space="0" w:color="auto"/>
            <w:bottom w:val="none" w:sz="0" w:space="0" w:color="auto"/>
            <w:right w:val="none" w:sz="0" w:space="0" w:color="auto"/>
          </w:divBdr>
        </w:div>
      </w:divsChild>
    </w:div>
    <w:div w:id="1839687668">
      <w:marLeft w:val="0"/>
      <w:marRight w:val="0"/>
      <w:marTop w:val="0"/>
      <w:marBottom w:val="200"/>
      <w:divBdr>
        <w:top w:val="none" w:sz="0" w:space="0" w:color="auto"/>
        <w:left w:val="none" w:sz="0" w:space="0" w:color="auto"/>
        <w:bottom w:val="none" w:sz="0" w:space="0" w:color="auto"/>
        <w:right w:val="none" w:sz="0" w:space="0" w:color="auto"/>
      </w:divBdr>
    </w:div>
    <w:div w:id="1850216934">
      <w:marLeft w:val="0"/>
      <w:marRight w:val="0"/>
      <w:marTop w:val="0"/>
      <w:marBottom w:val="60"/>
      <w:divBdr>
        <w:top w:val="none" w:sz="0" w:space="0" w:color="auto"/>
        <w:left w:val="none" w:sz="0" w:space="0" w:color="auto"/>
        <w:bottom w:val="none" w:sz="0" w:space="0" w:color="auto"/>
        <w:right w:val="none" w:sz="0" w:space="0" w:color="auto"/>
      </w:divBdr>
    </w:div>
    <w:div w:id="1851214881">
      <w:marLeft w:val="0"/>
      <w:marRight w:val="0"/>
      <w:marTop w:val="0"/>
      <w:marBottom w:val="0"/>
      <w:divBdr>
        <w:top w:val="none" w:sz="0" w:space="0" w:color="auto"/>
        <w:left w:val="none" w:sz="0" w:space="0" w:color="auto"/>
        <w:bottom w:val="none" w:sz="0" w:space="0" w:color="auto"/>
        <w:right w:val="none" w:sz="0" w:space="0" w:color="auto"/>
      </w:divBdr>
      <w:divsChild>
        <w:div w:id="1845438783">
          <w:marLeft w:val="0"/>
          <w:marRight w:val="0"/>
          <w:marTop w:val="0"/>
          <w:marBottom w:val="0"/>
          <w:divBdr>
            <w:top w:val="none" w:sz="0" w:space="0" w:color="auto"/>
            <w:left w:val="none" w:sz="0" w:space="0" w:color="auto"/>
            <w:bottom w:val="none" w:sz="0" w:space="0" w:color="auto"/>
            <w:right w:val="none" w:sz="0" w:space="0" w:color="auto"/>
          </w:divBdr>
        </w:div>
      </w:divsChild>
    </w:div>
    <w:div w:id="1858039261">
      <w:marLeft w:val="0"/>
      <w:marRight w:val="0"/>
      <w:marTop w:val="0"/>
      <w:marBottom w:val="0"/>
      <w:divBdr>
        <w:top w:val="none" w:sz="0" w:space="0" w:color="auto"/>
        <w:left w:val="none" w:sz="0" w:space="0" w:color="auto"/>
        <w:bottom w:val="none" w:sz="0" w:space="0" w:color="auto"/>
        <w:right w:val="none" w:sz="0" w:space="0" w:color="auto"/>
      </w:divBdr>
      <w:divsChild>
        <w:div w:id="107163187">
          <w:marLeft w:val="0"/>
          <w:marRight w:val="0"/>
          <w:marTop w:val="0"/>
          <w:marBottom w:val="0"/>
          <w:divBdr>
            <w:top w:val="none" w:sz="0" w:space="0" w:color="auto"/>
            <w:left w:val="none" w:sz="0" w:space="0" w:color="auto"/>
            <w:bottom w:val="none" w:sz="0" w:space="0" w:color="auto"/>
            <w:right w:val="none" w:sz="0" w:space="0" w:color="auto"/>
          </w:divBdr>
        </w:div>
      </w:divsChild>
    </w:div>
    <w:div w:id="1859192619">
      <w:marLeft w:val="0"/>
      <w:marRight w:val="0"/>
      <w:marTop w:val="0"/>
      <w:marBottom w:val="0"/>
      <w:divBdr>
        <w:top w:val="none" w:sz="0" w:space="0" w:color="auto"/>
        <w:left w:val="none" w:sz="0" w:space="0" w:color="auto"/>
        <w:bottom w:val="none" w:sz="0" w:space="0" w:color="auto"/>
        <w:right w:val="none" w:sz="0" w:space="0" w:color="auto"/>
      </w:divBdr>
    </w:div>
    <w:div w:id="1860729649">
      <w:marLeft w:val="0"/>
      <w:marRight w:val="0"/>
      <w:marTop w:val="0"/>
      <w:marBottom w:val="0"/>
      <w:divBdr>
        <w:top w:val="none" w:sz="0" w:space="0" w:color="auto"/>
        <w:left w:val="none" w:sz="0" w:space="0" w:color="auto"/>
        <w:bottom w:val="none" w:sz="0" w:space="0" w:color="auto"/>
        <w:right w:val="none" w:sz="0" w:space="0" w:color="auto"/>
      </w:divBdr>
      <w:divsChild>
        <w:div w:id="1917930464">
          <w:marLeft w:val="0"/>
          <w:marRight w:val="0"/>
          <w:marTop w:val="0"/>
          <w:marBottom w:val="0"/>
          <w:divBdr>
            <w:top w:val="none" w:sz="0" w:space="0" w:color="auto"/>
            <w:left w:val="none" w:sz="0" w:space="0" w:color="auto"/>
            <w:bottom w:val="none" w:sz="0" w:space="0" w:color="auto"/>
            <w:right w:val="none" w:sz="0" w:space="0" w:color="auto"/>
          </w:divBdr>
        </w:div>
      </w:divsChild>
    </w:div>
    <w:div w:id="1874150591">
      <w:marLeft w:val="0"/>
      <w:marRight w:val="0"/>
      <w:marTop w:val="0"/>
      <w:marBottom w:val="0"/>
      <w:divBdr>
        <w:top w:val="none" w:sz="0" w:space="0" w:color="auto"/>
        <w:left w:val="none" w:sz="0" w:space="0" w:color="auto"/>
        <w:bottom w:val="none" w:sz="0" w:space="0" w:color="auto"/>
        <w:right w:val="none" w:sz="0" w:space="0" w:color="auto"/>
      </w:divBdr>
      <w:divsChild>
        <w:div w:id="1906060215">
          <w:marLeft w:val="0"/>
          <w:marRight w:val="0"/>
          <w:marTop w:val="0"/>
          <w:marBottom w:val="0"/>
          <w:divBdr>
            <w:top w:val="none" w:sz="0" w:space="0" w:color="auto"/>
            <w:left w:val="none" w:sz="0" w:space="0" w:color="auto"/>
            <w:bottom w:val="none" w:sz="0" w:space="0" w:color="auto"/>
            <w:right w:val="none" w:sz="0" w:space="0" w:color="auto"/>
          </w:divBdr>
        </w:div>
        <w:div w:id="660086942">
          <w:marLeft w:val="0"/>
          <w:marRight w:val="0"/>
          <w:marTop w:val="180"/>
          <w:marBottom w:val="0"/>
          <w:divBdr>
            <w:top w:val="none" w:sz="0" w:space="0" w:color="auto"/>
            <w:left w:val="none" w:sz="0" w:space="0" w:color="auto"/>
            <w:bottom w:val="none" w:sz="0" w:space="0" w:color="auto"/>
            <w:right w:val="none" w:sz="0" w:space="0" w:color="auto"/>
          </w:divBdr>
        </w:div>
      </w:divsChild>
    </w:div>
    <w:div w:id="1880968201">
      <w:marLeft w:val="0"/>
      <w:marRight w:val="0"/>
      <w:marTop w:val="0"/>
      <w:marBottom w:val="200"/>
      <w:divBdr>
        <w:top w:val="none" w:sz="0" w:space="0" w:color="auto"/>
        <w:left w:val="none" w:sz="0" w:space="0" w:color="auto"/>
        <w:bottom w:val="none" w:sz="0" w:space="0" w:color="auto"/>
        <w:right w:val="none" w:sz="0" w:space="0" w:color="auto"/>
      </w:divBdr>
    </w:div>
    <w:div w:id="1881748620">
      <w:marLeft w:val="0"/>
      <w:marRight w:val="0"/>
      <w:marTop w:val="0"/>
      <w:marBottom w:val="200"/>
      <w:divBdr>
        <w:top w:val="none" w:sz="0" w:space="0" w:color="auto"/>
        <w:left w:val="none" w:sz="0" w:space="0" w:color="auto"/>
        <w:bottom w:val="none" w:sz="0" w:space="0" w:color="auto"/>
        <w:right w:val="none" w:sz="0" w:space="0" w:color="auto"/>
      </w:divBdr>
    </w:div>
    <w:div w:id="1886717763">
      <w:marLeft w:val="0"/>
      <w:marRight w:val="0"/>
      <w:marTop w:val="0"/>
      <w:marBottom w:val="200"/>
      <w:divBdr>
        <w:top w:val="none" w:sz="0" w:space="0" w:color="auto"/>
        <w:left w:val="none" w:sz="0" w:space="0" w:color="auto"/>
        <w:bottom w:val="none" w:sz="0" w:space="0" w:color="auto"/>
        <w:right w:val="none" w:sz="0" w:space="0" w:color="auto"/>
      </w:divBdr>
    </w:div>
    <w:div w:id="1889100395">
      <w:marLeft w:val="0"/>
      <w:marRight w:val="0"/>
      <w:marTop w:val="200"/>
      <w:marBottom w:val="0"/>
      <w:divBdr>
        <w:top w:val="none" w:sz="0" w:space="0" w:color="auto"/>
        <w:left w:val="none" w:sz="0" w:space="0" w:color="auto"/>
        <w:bottom w:val="none" w:sz="0" w:space="0" w:color="auto"/>
        <w:right w:val="none" w:sz="0" w:space="0" w:color="auto"/>
      </w:divBdr>
    </w:div>
    <w:div w:id="1893467683">
      <w:marLeft w:val="0"/>
      <w:marRight w:val="0"/>
      <w:marTop w:val="0"/>
      <w:marBottom w:val="0"/>
      <w:divBdr>
        <w:top w:val="none" w:sz="0" w:space="0" w:color="auto"/>
        <w:left w:val="none" w:sz="0" w:space="0" w:color="auto"/>
        <w:bottom w:val="none" w:sz="0" w:space="0" w:color="auto"/>
        <w:right w:val="none" w:sz="0" w:space="0" w:color="auto"/>
      </w:divBdr>
    </w:div>
    <w:div w:id="1913395217">
      <w:marLeft w:val="0"/>
      <w:marRight w:val="0"/>
      <w:marTop w:val="0"/>
      <w:marBottom w:val="0"/>
      <w:divBdr>
        <w:top w:val="none" w:sz="0" w:space="0" w:color="auto"/>
        <w:left w:val="none" w:sz="0" w:space="0" w:color="auto"/>
        <w:bottom w:val="none" w:sz="0" w:space="0" w:color="auto"/>
        <w:right w:val="none" w:sz="0" w:space="0" w:color="auto"/>
      </w:divBdr>
      <w:divsChild>
        <w:div w:id="551505181">
          <w:marLeft w:val="0"/>
          <w:marRight w:val="0"/>
          <w:marTop w:val="0"/>
          <w:marBottom w:val="0"/>
          <w:divBdr>
            <w:top w:val="none" w:sz="0" w:space="0" w:color="auto"/>
            <w:left w:val="none" w:sz="0" w:space="0" w:color="auto"/>
            <w:bottom w:val="none" w:sz="0" w:space="0" w:color="auto"/>
            <w:right w:val="none" w:sz="0" w:space="0" w:color="auto"/>
          </w:divBdr>
        </w:div>
      </w:divsChild>
    </w:div>
    <w:div w:id="1937666211">
      <w:marLeft w:val="0"/>
      <w:marRight w:val="0"/>
      <w:marTop w:val="0"/>
      <w:marBottom w:val="200"/>
      <w:divBdr>
        <w:top w:val="none" w:sz="0" w:space="0" w:color="auto"/>
        <w:left w:val="none" w:sz="0" w:space="0" w:color="auto"/>
        <w:bottom w:val="none" w:sz="0" w:space="0" w:color="auto"/>
        <w:right w:val="none" w:sz="0" w:space="0" w:color="auto"/>
      </w:divBdr>
    </w:div>
    <w:div w:id="1950618817">
      <w:marLeft w:val="0"/>
      <w:marRight w:val="0"/>
      <w:marTop w:val="0"/>
      <w:marBottom w:val="0"/>
      <w:divBdr>
        <w:top w:val="none" w:sz="0" w:space="0" w:color="auto"/>
        <w:left w:val="none" w:sz="0" w:space="0" w:color="auto"/>
        <w:bottom w:val="none" w:sz="0" w:space="0" w:color="auto"/>
        <w:right w:val="none" w:sz="0" w:space="0" w:color="auto"/>
      </w:divBdr>
    </w:div>
    <w:div w:id="1959989237">
      <w:marLeft w:val="0"/>
      <w:marRight w:val="0"/>
      <w:marTop w:val="0"/>
      <w:marBottom w:val="0"/>
      <w:divBdr>
        <w:top w:val="none" w:sz="0" w:space="0" w:color="auto"/>
        <w:left w:val="none" w:sz="0" w:space="0" w:color="auto"/>
        <w:bottom w:val="none" w:sz="0" w:space="0" w:color="auto"/>
        <w:right w:val="none" w:sz="0" w:space="0" w:color="auto"/>
      </w:divBdr>
      <w:divsChild>
        <w:div w:id="424689648">
          <w:marLeft w:val="0"/>
          <w:marRight w:val="0"/>
          <w:marTop w:val="0"/>
          <w:marBottom w:val="0"/>
          <w:divBdr>
            <w:top w:val="none" w:sz="0" w:space="0" w:color="auto"/>
            <w:left w:val="none" w:sz="0" w:space="0" w:color="auto"/>
            <w:bottom w:val="none" w:sz="0" w:space="0" w:color="auto"/>
            <w:right w:val="none" w:sz="0" w:space="0" w:color="auto"/>
          </w:divBdr>
        </w:div>
      </w:divsChild>
    </w:div>
    <w:div w:id="1960800078">
      <w:marLeft w:val="0"/>
      <w:marRight w:val="0"/>
      <w:marTop w:val="0"/>
      <w:marBottom w:val="0"/>
      <w:divBdr>
        <w:top w:val="none" w:sz="0" w:space="0" w:color="auto"/>
        <w:left w:val="none" w:sz="0" w:space="0" w:color="auto"/>
        <w:bottom w:val="none" w:sz="0" w:space="0" w:color="auto"/>
        <w:right w:val="none" w:sz="0" w:space="0" w:color="auto"/>
      </w:divBdr>
      <w:divsChild>
        <w:div w:id="1016272273">
          <w:marLeft w:val="0"/>
          <w:marRight w:val="0"/>
          <w:marTop w:val="0"/>
          <w:marBottom w:val="0"/>
          <w:divBdr>
            <w:top w:val="none" w:sz="0" w:space="0" w:color="auto"/>
            <w:left w:val="none" w:sz="0" w:space="0" w:color="auto"/>
            <w:bottom w:val="none" w:sz="0" w:space="0" w:color="auto"/>
            <w:right w:val="none" w:sz="0" w:space="0" w:color="auto"/>
          </w:divBdr>
        </w:div>
      </w:divsChild>
    </w:div>
    <w:div w:id="1962299635">
      <w:marLeft w:val="0"/>
      <w:marRight w:val="0"/>
      <w:marTop w:val="0"/>
      <w:marBottom w:val="0"/>
      <w:divBdr>
        <w:top w:val="none" w:sz="0" w:space="0" w:color="auto"/>
        <w:left w:val="none" w:sz="0" w:space="0" w:color="auto"/>
        <w:bottom w:val="none" w:sz="0" w:space="0" w:color="auto"/>
        <w:right w:val="none" w:sz="0" w:space="0" w:color="auto"/>
      </w:divBdr>
      <w:divsChild>
        <w:div w:id="1380325417">
          <w:marLeft w:val="0"/>
          <w:marRight w:val="0"/>
          <w:marTop w:val="0"/>
          <w:marBottom w:val="0"/>
          <w:divBdr>
            <w:top w:val="none" w:sz="0" w:space="0" w:color="auto"/>
            <w:left w:val="none" w:sz="0" w:space="0" w:color="auto"/>
            <w:bottom w:val="none" w:sz="0" w:space="0" w:color="auto"/>
            <w:right w:val="none" w:sz="0" w:space="0" w:color="auto"/>
          </w:divBdr>
        </w:div>
      </w:divsChild>
    </w:div>
    <w:div w:id="1970670262">
      <w:marLeft w:val="0"/>
      <w:marRight w:val="0"/>
      <w:marTop w:val="0"/>
      <w:marBottom w:val="0"/>
      <w:divBdr>
        <w:top w:val="none" w:sz="0" w:space="0" w:color="auto"/>
        <w:left w:val="none" w:sz="0" w:space="0" w:color="auto"/>
        <w:bottom w:val="none" w:sz="0" w:space="0" w:color="auto"/>
        <w:right w:val="none" w:sz="0" w:space="0" w:color="auto"/>
      </w:divBdr>
      <w:divsChild>
        <w:div w:id="707532524">
          <w:marLeft w:val="0"/>
          <w:marRight w:val="0"/>
          <w:marTop w:val="0"/>
          <w:marBottom w:val="0"/>
          <w:divBdr>
            <w:top w:val="none" w:sz="0" w:space="0" w:color="auto"/>
            <w:left w:val="none" w:sz="0" w:space="0" w:color="auto"/>
            <w:bottom w:val="none" w:sz="0" w:space="0" w:color="auto"/>
            <w:right w:val="none" w:sz="0" w:space="0" w:color="auto"/>
          </w:divBdr>
        </w:div>
      </w:divsChild>
    </w:div>
    <w:div w:id="1998074993">
      <w:marLeft w:val="0"/>
      <w:marRight w:val="0"/>
      <w:marTop w:val="0"/>
      <w:marBottom w:val="200"/>
      <w:divBdr>
        <w:top w:val="none" w:sz="0" w:space="0" w:color="auto"/>
        <w:left w:val="none" w:sz="0" w:space="0" w:color="auto"/>
        <w:bottom w:val="none" w:sz="0" w:space="0" w:color="auto"/>
        <w:right w:val="none" w:sz="0" w:space="0" w:color="auto"/>
      </w:divBdr>
    </w:div>
    <w:div w:id="2001495411">
      <w:marLeft w:val="0"/>
      <w:marRight w:val="0"/>
      <w:marTop w:val="0"/>
      <w:marBottom w:val="0"/>
      <w:divBdr>
        <w:top w:val="none" w:sz="0" w:space="0" w:color="auto"/>
        <w:left w:val="none" w:sz="0" w:space="0" w:color="auto"/>
        <w:bottom w:val="none" w:sz="0" w:space="0" w:color="auto"/>
        <w:right w:val="none" w:sz="0" w:space="0" w:color="auto"/>
      </w:divBdr>
      <w:divsChild>
        <w:div w:id="1415205159">
          <w:marLeft w:val="0"/>
          <w:marRight w:val="0"/>
          <w:marTop w:val="0"/>
          <w:marBottom w:val="0"/>
          <w:divBdr>
            <w:top w:val="none" w:sz="0" w:space="0" w:color="auto"/>
            <w:left w:val="none" w:sz="0" w:space="0" w:color="auto"/>
            <w:bottom w:val="none" w:sz="0" w:space="0" w:color="auto"/>
            <w:right w:val="none" w:sz="0" w:space="0" w:color="auto"/>
          </w:divBdr>
        </w:div>
      </w:divsChild>
    </w:div>
    <w:div w:id="2006014612">
      <w:marLeft w:val="0"/>
      <w:marRight w:val="0"/>
      <w:marTop w:val="0"/>
      <w:marBottom w:val="120"/>
      <w:divBdr>
        <w:top w:val="none" w:sz="0" w:space="0" w:color="auto"/>
        <w:left w:val="none" w:sz="0" w:space="0" w:color="auto"/>
        <w:bottom w:val="none" w:sz="0" w:space="0" w:color="auto"/>
        <w:right w:val="none" w:sz="0" w:space="0" w:color="auto"/>
      </w:divBdr>
    </w:div>
    <w:div w:id="2018843276">
      <w:marLeft w:val="0"/>
      <w:marRight w:val="0"/>
      <w:marTop w:val="0"/>
      <w:marBottom w:val="0"/>
      <w:divBdr>
        <w:top w:val="none" w:sz="0" w:space="0" w:color="auto"/>
        <w:left w:val="none" w:sz="0" w:space="0" w:color="auto"/>
        <w:bottom w:val="none" w:sz="0" w:space="0" w:color="auto"/>
        <w:right w:val="none" w:sz="0" w:space="0" w:color="auto"/>
      </w:divBdr>
    </w:div>
    <w:div w:id="2026401136">
      <w:marLeft w:val="0"/>
      <w:marRight w:val="0"/>
      <w:marTop w:val="0"/>
      <w:marBottom w:val="0"/>
      <w:divBdr>
        <w:top w:val="none" w:sz="0" w:space="0" w:color="auto"/>
        <w:left w:val="none" w:sz="0" w:space="0" w:color="auto"/>
        <w:bottom w:val="none" w:sz="0" w:space="0" w:color="auto"/>
        <w:right w:val="none" w:sz="0" w:space="0" w:color="auto"/>
      </w:divBdr>
    </w:div>
    <w:div w:id="2028746886">
      <w:marLeft w:val="0"/>
      <w:marRight w:val="0"/>
      <w:marTop w:val="0"/>
      <w:marBottom w:val="200"/>
      <w:divBdr>
        <w:top w:val="none" w:sz="0" w:space="0" w:color="auto"/>
        <w:left w:val="none" w:sz="0" w:space="0" w:color="auto"/>
        <w:bottom w:val="none" w:sz="0" w:space="0" w:color="auto"/>
        <w:right w:val="none" w:sz="0" w:space="0" w:color="auto"/>
      </w:divBdr>
    </w:div>
    <w:div w:id="2041129176">
      <w:marLeft w:val="0"/>
      <w:marRight w:val="0"/>
      <w:marTop w:val="0"/>
      <w:marBottom w:val="160"/>
      <w:divBdr>
        <w:top w:val="none" w:sz="0" w:space="0" w:color="auto"/>
        <w:left w:val="none" w:sz="0" w:space="0" w:color="auto"/>
        <w:bottom w:val="none" w:sz="0" w:space="0" w:color="auto"/>
        <w:right w:val="none" w:sz="0" w:space="0" w:color="auto"/>
      </w:divBdr>
    </w:div>
    <w:div w:id="2047019203">
      <w:marLeft w:val="0"/>
      <w:marRight w:val="0"/>
      <w:marTop w:val="0"/>
      <w:marBottom w:val="200"/>
      <w:divBdr>
        <w:top w:val="none" w:sz="0" w:space="0" w:color="auto"/>
        <w:left w:val="none" w:sz="0" w:space="0" w:color="auto"/>
        <w:bottom w:val="none" w:sz="0" w:space="0" w:color="auto"/>
        <w:right w:val="none" w:sz="0" w:space="0" w:color="auto"/>
      </w:divBdr>
    </w:div>
    <w:div w:id="2048487488">
      <w:marLeft w:val="0"/>
      <w:marRight w:val="0"/>
      <w:marTop w:val="0"/>
      <w:marBottom w:val="200"/>
      <w:divBdr>
        <w:top w:val="none" w:sz="0" w:space="0" w:color="auto"/>
        <w:left w:val="none" w:sz="0" w:space="0" w:color="auto"/>
        <w:bottom w:val="none" w:sz="0" w:space="0" w:color="auto"/>
        <w:right w:val="none" w:sz="0" w:space="0" w:color="auto"/>
      </w:divBdr>
    </w:div>
    <w:div w:id="2048750200">
      <w:marLeft w:val="0"/>
      <w:marRight w:val="0"/>
      <w:marTop w:val="0"/>
      <w:marBottom w:val="0"/>
      <w:divBdr>
        <w:top w:val="none" w:sz="0" w:space="0" w:color="auto"/>
        <w:left w:val="none" w:sz="0" w:space="0" w:color="auto"/>
        <w:bottom w:val="none" w:sz="0" w:space="0" w:color="auto"/>
        <w:right w:val="none" w:sz="0" w:space="0" w:color="auto"/>
      </w:divBdr>
      <w:divsChild>
        <w:div w:id="1268659177">
          <w:marLeft w:val="0"/>
          <w:marRight w:val="0"/>
          <w:marTop w:val="0"/>
          <w:marBottom w:val="0"/>
          <w:divBdr>
            <w:top w:val="none" w:sz="0" w:space="0" w:color="auto"/>
            <w:left w:val="none" w:sz="0" w:space="0" w:color="auto"/>
            <w:bottom w:val="none" w:sz="0" w:space="0" w:color="auto"/>
            <w:right w:val="none" w:sz="0" w:space="0" w:color="auto"/>
          </w:divBdr>
        </w:div>
      </w:divsChild>
    </w:div>
    <w:div w:id="2049990236">
      <w:marLeft w:val="0"/>
      <w:marRight w:val="0"/>
      <w:marTop w:val="0"/>
      <w:marBottom w:val="0"/>
      <w:divBdr>
        <w:top w:val="none" w:sz="0" w:space="0" w:color="auto"/>
        <w:left w:val="none" w:sz="0" w:space="0" w:color="auto"/>
        <w:bottom w:val="none" w:sz="0" w:space="0" w:color="auto"/>
        <w:right w:val="none" w:sz="0" w:space="0" w:color="auto"/>
      </w:divBdr>
    </w:div>
    <w:div w:id="2057851753">
      <w:marLeft w:val="0"/>
      <w:marRight w:val="0"/>
      <w:marTop w:val="0"/>
      <w:marBottom w:val="0"/>
      <w:divBdr>
        <w:top w:val="none" w:sz="0" w:space="0" w:color="auto"/>
        <w:left w:val="none" w:sz="0" w:space="0" w:color="auto"/>
        <w:bottom w:val="none" w:sz="0" w:space="0" w:color="auto"/>
        <w:right w:val="none" w:sz="0" w:space="0" w:color="auto"/>
      </w:divBdr>
      <w:divsChild>
        <w:div w:id="258369773">
          <w:marLeft w:val="0"/>
          <w:marRight w:val="0"/>
          <w:marTop w:val="0"/>
          <w:marBottom w:val="0"/>
          <w:divBdr>
            <w:top w:val="none" w:sz="0" w:space="0" w:color="auto"/>
            <w:left w:val="none" w:sz="0" w:space="0" w:color="auto"/>
            <w:bottom w:val="none" w:sz="0" w:space="0" w:color="auto"/>
            <w:right w:val="none" w:sz="0" w:space="0" w:color="auto"/>
          </w:divBdr>
        </w:div>
      </w:divsChild>
    </w:div>
    <w:div w:id="2068649722">
      <w:marLeft w:val="0"/>
      <w:marRight w:val="0"/>
      <w:marTop w:val="0"/>
      <w:marBottom w:val="0"/>
      <w:divBdr>
        <w:top w:val="none" w:sz="0" w:space="0" w:color="auto"/>
        <w:left w:val="none" w:sz="0" w:space="0" w:color="auto"/>
        <w:bottom w:val="none" w:sz="0" w:space="0" w:color="auto"/>
        <w:right w:val="none" w:sz="0" w:space="0" w:color="auto"/>
      </w:divBdr>
      <w:divsChild>
        <w:div w:id="1106121526">
          <w:marLeft w:val="0"/>
          <w:marRight w:val="0"/>
          <w:marTop w:val="0"/>
          <w:marBottom w:val="0"/>
          <w:divBdr>
            <w:top w:val="none" w:sz="0" w:space="0" w:color="auto"/>
            <w:left w:val="none" w:sz="0" w:space="0" w:color="auto"/>
            <w:bottom w:val="none" w:sz="0" w:space="0" w:color="auto"/>
            <w:right w:val="none" w:sz="0" w:space="0" w:color="auto"/>
          </w:divBdr>
        </w:div>
      </w:divsChild>
    </w:div>
    <w:div w:id="2071075766">
      <w:marLeft w:val="0"/>
      <w:marRight w:val="0"/>
      <w:marTop w:val="200"/>
      <w:marBottom w:val="0"/>
      <w:divBdr>
        <w:top w:val="none" w:sz="0" w:space="0" w:color="auto"/>
        <w:left w:val="none" w:sz="0" w:space="0" w:color="auto"/>
        <w:bottom w:val="none" w:sz="0" w:space="0" w:color="auto"/>
        <w:right w:val="none" w:sz="0" w:space="0" w:color="auto"/>
      </w:divBdr>
    </w:div>
    <w:div w:id="2082437364">
      <w:marLeft w:val="0"/>
      <w:marRight w:val="0"/>
      <w:marTop w:val="0"/>
      <w:marBottom w:val="0"/>
      <w:divBdr>
        <w:top w:val="none" w:sz="0" w:space="0" w:color="auto"/>
        <w:left w:val="none" w:sz="0" w:space="0" w:color="auto"/>
        <w:bottom w:val="none" w:sz="0" w:space="0" w:color="auto"/>
        <w:right w:val="none" w:sz="0" w:space="0" w:color="auto"/>
      </w:divBdr>
      <w:divsChild>
        <w:div w:id="103304105">
          <w:marLeft w:val="0"/>
          <w:marRight w:val="0"/>
          <w:marTop w:val="0"/>
          <w:marBottom w:val="0"/>
          <w:divBdr>
            <w:top w:val="none" w:sz="0" w:space="0" w:color="auto"/>
            <w:left w:val="none" w:sz="0" w:space="0" w:color="auto"/>
            <w:bottom w:val="none" w:sz="0" w:space="0" w:color="auto"/>
            <w:right w:val="none" w:sz="0" w:space="0" w:color="auto"/>
          </w:divBdr>
        </w:div>
        <w:div w:id="576668096">
          <w:marLeft w:val="0"/>
          <w:marRight w:val="0"/>
          <w:marTop w:val="180"/>
          <w:marBottom w:val="0"/>
          <w:divBdr>
            <w:top w:val="none" w:sz="0" w:space="0" w:color="auto"/>
            <w:left w:val="none" w:sz="0" w:space="0" w:color="auto"/>
            <w:bottom w:val="none" w:sz="0" w:space="0" w:color="auto"/>
            <w:right w:val="none" w:sz="0" w:space="0" w:color="auto"/>
          </w:divBdr>
        </w:div>
      </w:divsChild>
    </w:div>
    <w:div w:id="2091656586">
      <w:marLeft w:val="0"/>
      <w:marRight w:val="0"/>
      <w:marTop w:val="0"/>
      <w:marBottom w:val="200"/>
      <w:divBdr>
        <w:top w:val="none" w:sz="0" w:space="0" w:color="auto"/>
        <w:left w:val="none" w:sz="0" w:space="0" w:color="auto"/>
        <w:bottom w:val="none" w:sz="0" w:space="0" w:color="auto"/>
        <w:right w:val="none" w:sz="0" w:space="0" w:color="auto"/>
      </w:divBdr>
    </w:div>
    <w:div w:id="2092003693">
      <w:marLeft w:val="0"/>
      <w:marRight w:val="0"/>
      <w:marTop w:val="0"/>
      <w:marBottom w:val="0"/>
      <w:divBdr>
        <w:top w:val="none" w:sz="0" w:space="0" w:color="auto"/>
        <w:left w:val="none" w:sz="0" w:space="0" w:color="auto"/>
        <w:bottom w:val="none" w:sz="0" w:space="0" w:color="auto"/>
        <w:right w:val="none" w:sz="0" w:space="0" w:color="auto"/>
      </w:divBdr>
    </w:div>
    <w:div w:id="2100251428">
      <w:marLeft w:val="0"/>
      <w:marRight w:val="0"/>
      <w:marTop w:val="100"/>
      <w:marBottom w:val="0"/>
      <w:divBdr>
        <w:top w:val="none" w:sz="0" w:space="0" w:color="auto"/>
        <w:left w:val="none" w:sz="0" w:space="0" w:color="auto"/>
        <w:bottom w:val="none" w:sz="0" w:space="0" w:color="auto"/>
        <w:right w:val="none" w:sz="0" w:space="0" w:color="auto"/>
      </w:divBdr>
    </w:div>
    <w:div w:id="2105834983">
      <w:marLeft w:val="0"/>
      <w:marRight w:val="0"/>
      <w:marTop w:val="200"/>
      <w:marBottom w:val="0"/>
      <w:divBdr>
        <w:top w:val="none" w:sz="0" w:space="0" w:color="auto"/>
        <w:left w:val="none" w:sz="0" w:space="0" w:color="auto"/>
        <w:bottom w:val="none" w:sz="0" w:space="0" w:color="auto"/>
        <w:right w:val="none" w:sz="0" w:space="0" w:color="auto"/>
      </w:divBdr>
    </w:div>
    <w:div w:id="2111046903">
      <w:marLeft w:val="0"/>
      <w:marRight w:val="0"/>
      <w:marTop w:val="0"/>
      <w:marBottom w:val="0"/>
      <w:divBdr>
        <w:top w:val="none" w:sz="0" w:space="0" w:color="auto"/>
        <w:left w:val="none" w:sz="0" w:space="0" w:color="auto"/>
        <w:bottom w:val="none" w:sz="0" w:space="0" w:color="auto"/>
        <w:right w:val="none" w:sz="0" w:space="0" w:color="auto"/>
      </w:divBdr>
      <w:divsChild>
        <w:div w:id="1316379527">
          <w:marLeft w:val="0"/>
          <w:marRight w:val="0"/>
          <w:marTop w:val="0"/>
          <w:marBottom w:val="0"/>
          <w:divBdr>
            <w:top w:val="none" w:sz="0" w:space="0" w:color="auto"/>
            <w:left w:val="none" w:sz="0" w:space="0" w:color="auto"/>
            <w:bottom w:val="none" w:sz="0" w:space="0" w:color="auto"/>
            <w:right w:val="none" w:sz="0" w:space="0" w:color="auto"/>
          </w:divBdr>
        </w:div>
      </w:divsChild>
    </w:div>
    <w:div w:id="2116974837">
      <w:marLeft w:val="0"/>
      <w:marRight w:val="0"/>
      <w:marTop w:val="0"/>
      <w:marBottom w:val="0"/>
      <w:divBdr>
        <w:top w:val="none" w:sz="0" w:space="0" w:color="auto"/>
        <w:left w:val="none" w:sz="0" w:space="0" w:color="auto"/>
        <w:bottom w:val="none" w:sz="0" w:space="0" w:color="auto"/>
        <w:right w:val="none" w:sz="0" w:space="0" w:color="auto"/>
      </w:divBdr>
      <w:divsChild>
        <w:div w:id="2273052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884614/000119312521155082/d95230dex101.htm" TargetMode="External"/><Relationship Id="rId21" Type="http://schemas.openxmlformats.org/officeDocument/2006/relationships/hyperlink" Target="ex103formofugiannualrestri.htm" TargetMode="External"/><Relationship Id="rId34" Type="http://schemas.openxmlformats.org/officeDocument/2006/relationships/hyperlink" Target="ugicorpq36302021ex312.htm" TargetMode="External"/><Relationship Id="rId42" Type="http://schemas.openxmlformats.org/officeDocument/2006/relationships/hyperlink" Target="ex101formofnqsoagmtforallu.htm" TargetMode="External"/><Relationship Id="rId47" Type="http://schemas.openxmlformats.org/officeDocument/2006/relationships/hyperlink" Target="ex104formofrpnda.htm" TargetMode="External"/><Relationship Id="rId50" Type="http://schemas.openxmlformats.org/officeDocument/2006/relationships/hyperlink" Target="ex106conformedugi2021first.htm" TargetMode="External"/><Relationship Id="rId55" Type="http://schemas.openxmlformats.org/officeDocument/2006/relationships/hyperlink" Target="ugicorpq36302021ex311.htm" TargetMode="External"/><Relationship Id="rId63" Type="http://schemas.openxmlformats.org/officeDocument/2006/relationships/hyperlink" Target="ugicorpq36302021ex32.htm" TargetMode="External"/><Relationship Id="rId68" Type="http://schemas.openxmlformats.org/officeDocument/2006/relationships/theme" Target="theme/theme1.xml"/><Relationship Id="rId7" Type="http://schemas.openxmlformats.org/officeDocument/2006/relationships/hyperlink" Target="https://www.sec.gov/Archives/edgar/data/884614/000119312521172483/d186296dex41.htm" TargetMode="External"/><Relationship Id="rId2" Type="http://schemas.openxmlformats.org/officeDocument/2006/relationships/settings" Target="settings.xml"/><Relationship Id="rId16" Type="http://schemas.openxmlformats.org/officeDocument/2006/relationships/hyperlink" Target="ex101formofnqsoagmtforallu.htm" TargetMode="External"/><Relationship Id="rId29" Type="http://schemas.openxmlformats.org/officeDocument/2006/relationships/hyperlink" Target="ugicorpq36302021ex311.htm" TargetMode="External"/><Relationship Id="rId11" Type="http://schemas.openxmlformats.org/officeDocument/2006/relationships/hyperlink" Target="https://www.sec.gov/Archives/edgar/data/884614/000119312521172483/d186296dex41.htm" TargetMode="External"/><Relationship Id="rId24" Type="http://schemas.openxmlformats.org/officeDocument/2006/relationships/hyperlink" Target="ex106conformedugi2021first.htm" TargetMode="External"/><Relationship Id="rId32" Type="http://schemas.openxmlformats.org/officeDocument/2006/relationships/hyperlink" Target="ugicorpq36302021ex312.htm" TargetMode="External"/><Relationship Id="rId37" Type="http://schemas.openxmlformats.org/officeDocument/2006/relationships/hyperlink" Target="ugicorpq36302021ex32.htm" TargetMode="External"/><Relationship Id="rId40" Type="http://schemas.openxmlformats.org/officeDocument/2006/relationships/hyperlink" Target="ugicorpq36302021ex32.htm" TargetMode="External"/><Relationship Id="rId45" Type="http://schemas.openxmlformats.org/officeDocument/2006/relationships/hyperlink" Target="ex103formofugiannualrestri.htm" TargetMode="External"/><Relationship Id="rId53" Type="http://schemas.openxmlformats.org/officeDocument/2006/relationships/hyperlink" Target="ugicorpq36302021ex311.htm" TargetMode="External"/><Relationship Id="rId58" Type="http://schemas.openxmlformats.org/officeDocument/2006/relationships/hyperlink" Target="ugicorpq36302021ex312.htm" TargetMode="External"/><Relationship Id="rId66" Type="http://schemas.openxmlformats.org/officeDocument/2006/relationships/hyperlink" Target="ugicorpq36302021ex32.htm" TargetMode="External"/><Relationship Id="rId5" Type="http://schemas.openxmlformats.org/officeDocument/2006/relationships/hyperlink" Target="https://www.sec.gov/Archives/edgar/data/884614/000119312521172483/d186296dex32.htm" TargetMode="External"/><Relationship Id="rId61" Type="http://schemas.openxmlformats.org/officeDocument/2006/relationships/hyperlink" Target="ugicorpq36302021ex312.htm" TargetMode="External"/><Relationship Id="rId19" Type="http://schemas.openxmlformats.org/officeDocument/2006/relationships/hyperlink" Target="ex103formofugiannualrestri.htm" TargetMode="External"/><Relationship Id="rId14" Type="http://schemas.openxmlformats.org/officeDocument/2006/relationships/hyperlink" Target="https://www.sec.gov/Archives/edgar/data/884614/000119312521172483/d186296dex45.htm" TargetMode="External"/><Relationship Id="rId22" Type="http://schemas.openxmlformats.org/officeDocument/2006/relationships/hyperlink" Target="ex104formofrpnda.htm" TargetMode="External"/><Relationship Id="rId27" Type="http://schemas.openxmlformats.org/officeDocument/2006/relationships/hyperlink" Target="ugicorpq36302021ex311.htm" TargetMode="External"/><Relationship Id="rId30" Type="http://schemas.openxmlformats.org/officeDocument/2006/relationships/hyperlink" Target="ugicorpq36302021ex311.htm" TargetMode="External"/><Relationship Id="rId35" Type="http://schemas.openxmlformats.org/officeDocument/2006/relationships/hyperlink" Target="ugicorpq36302021ex312.htm" TargetMode="External"/><Relationship Id="rId43" Type="http://schemas.openxmlformats.org/officeDocument/2006/relationships/hyperlink" Target="ex102formofugiperformanceu.htm" TargetMode="External"/><Relationship Id="rId48" Type="http://schemas.openxmlformats.org/officeDocument/2006/relationships/hyperlink" Target="ex105formofrpchangeincontr.htm" TargetMode="External"/><Relationship Id="rId56" Type="http://schemas.openxmlformats.org/officeDocument/2006/relationships/hyperlink" Target="ugicorpq36302021ex311.htm" TargetMode="External"/><Relationship Id="rId64" Type="http://schemas.openxmlformats.org/officeDocument/2006/relationships/hyperlink" Target="ugicorpq36302021ex32.htm" TargetMode="External"/><Relationship Id="rId8" Type="http://schemas.openxmlformats.org/officeDocument/2006/relationships/hyperlink" Target="https://www.sec.gov/Archives/edgar/data/884614/000119312521172483/d186296dex41.htm" TargetMode="External"/><Relationship Id="rId51" Type="http://schemas.openxmlformats.org/officeDocument/2006/relationships/hyperlink" Target="ex106conformedugi2021first.htm" TargetMode="External"/><Relationship Id="rId3" Type="http://schemas.openxmlformats.org/officeDocument/2006/relationships/webSettings" Target="webSettings.xml"/><Relationship Id="rId12" Type="http://schemas.openxmlformats.org/officeDocument/2006/relationships/hyperlink" Target="https://www.sec.gov/Archives/edgar/data/884614/000119312521172483/d186296dex41.htm" TargetMode="External"/><Relationship Id="rId17" Type="http://schemas.openxmlformats.org/officeDocument/2006/relationships/hyperlink" Target="ex102formofugiperformanceu.htm" TargetMode="External"/><Relationship Id="rId25" Type="http://schemas.openxmlformats.org/officeDocument/2006/relationships/hyperlink" Target="ex106conformedugi2021first.htm" TargetMode="External"/><Relationship Id="rId33" Type="http://schemas.openxmlformats.org/officeDocument/2006/relationships/hyperlink" Target="ugicorpq36302021ex312.htm" TargetMode="External"/><Relationship Id="rId38" Type="http://schemas.openxmlformats.org/officeDocument/2006/relationships/hyperlink" Target="ugicorpq36302021ex32.htm" TargetMode="External"/><Relationship Id="rId46" Type="http://schemas.openxmlformats.org/officeDocument/2006/relationships/hyperlink" Target="ex103formofugiannualrestri.htm" TargetMode="External"/><Relationship Id="rId59" Type="http://schemas.openxmlformats.org/officeDocument/2006/relationships/hyperlink" Target="ugicorpq36302021ex312.htm" TargetMode="External"/><Relationship Id="rId67" Type="http://schemas.openxmlformats.org/officeDocument/2006/relationships/fontTable" Target="fontTable.xml"/><Relationship Id="rId20" Type="http://schemas.openxmlformats.org/officeDocument/2006/relationships/hyperlink" Target="ex103formofugiannualrestri.htm" TargetMode="External"/><Relationship Id="rId41" Type="http://schemas.openxmlformats.org/officeDocument/2006/relationships/hyperlink" Target="ugicorpq36302021ex32.htm" TargetMode="External"/><Relationship Id="rId54" Type="http://schemas.openxmlformats.org/officeDocument/2006/relationships/hyperlink" Target="ugicorpq36302021ex311.htm" TargetMode="External"/><Relationship Id="rId62" Type="http://schemas.openxmlformats.org/officeDocument/2006/relationships/hyperlink" Target="ugicorpq36302021ex32.htm" TargetMode="External"/><Relationship Id="rId1" Type="http://schemas.openxmlformats.org/officeDocument/2006/relationships/styles" Target="styles.xml"/><Relationship Id="rId6" Type="http://schemas.openxmlformats.org/officeDocument/2006/relationships/hyperlink" Target="https://www.sec.gov/Archives/edgar/data/884614/000119312521155082/d95230dex41.htm" TargetMode="External"/><Relationship Id="rId15" Type="http://schemas.openxmlformats.org/officeDocument/2006/relationships/hyperlink" Target="https://www.sec.gov/Archives/edgar/data/884614/000119312521172483/d186296dex46.htm" TargetMode="External"/><Relationship Id="rId23" Type="http://schemas.openxmlformats.org/officeDocument/2006/relationships/hyperlink" Target="ex105formofrpchangeincontr.htm" TargetMode="External"/><Relationship Id="rId28" Type="http://schemas.openxmlformats.org/officeDocument/2006/relationships/hyperlink" Target="ugicorpq36302021ex311.htm" TargetMode="External"/><Relationship Id="rId36" Type="http://schemas.openxmlformats.org/officeDocument/2006/relationships/hyperlink" Target="ugicorpq36302021ex312.htm" TargetMode="External"/><Relationship Id="rId49" Type="http://schemas.openxmlformats.org/officeDocument/2006/relationships/hyperlink" Target="ex106conformedugi2021first.htm" TargetMode="External"/><Relationship Id="rId57" Type="http://schemas.openxmlformats.org/officeDocument/2006/relationships/hyperlink" Target="ugicorpq36302021ex312.htm" TargetMode="External"/><Relationship Id="rId10" Type="http://schemas.openxmlformats.org/officeDocument/2006/relationships/hyperlink" Target="https://www.sec.gov/Archives/edgar/data/884614/000119312521172483/d186296dex41.htm" TargetMode="External"/><Relationship Id="rId31" Type="http://schemas.openxmlformats.org/officeDocument/2006/relationships/hyperlink" Target="ugicorpq36302021ex311.htm" TargetMode="External"/><Relationship Id="rId44" Type="http://schemas.openxmlformats.org/officeDocument/2006/relationships/hyperlink" Target="ex103formofugiannualrestri.htm" TargetMode="External"/><Relationship Id="rId52" Type="http://schemas.openxmlformats.org/officeDocument/2006/relationships/hyperlink" Target="ugicorpq36302021ex311.htm" TargetMode="External"/><Relationship Id="rId60" Type="http://schemas.openxmlformats.org/officeDocument/2006/relationships/hyperlink" Target="ugicorpq36302021ex312.htm" TargetMode="External"/><Relationship Id="rId65" Type="http://schemas.openxmlformats.org/officeDocument/2006/relationships/hyperlink" Target="ugicorpq36302021ex32.htm" TargetMode="External"/><Relationship Id="rId4" Type="http://schemas.openxmlformats.org/officeDocument/2006/relationships/hyperlink" Target="https://www.sec.gov/Archives/edgar/data/884614/000119312521172483/d186296dex31.htm" TargetMode="External"/><Relationship Id="rId9" Type="http://schemas.openxmlformats.org/officeDocument/2006/relationships/hyperlink" Target="https://www.sec.gov/Archives/edgar/data/884614/000119312521172483/d186296dex41.htm" TargetMode="External"/><Relationship Id="rId13" Type="http://schemas.openxmlformats.org/officeDocument/2006/relationships/hyperlink" Target="https://www.sec.gov/Archives/edgar/data/884614/000119312521172483/d186296dex41.htm" TargetMode="External"/><Relationship Id="rId18" Type="http://schemas.openxmlformats.org/officeDocument/2006/relationships/hyperlink" Target="ex102formofugiperformanceu.htm" TargetMode="External"/><Relationship Id="rId39" Type="http://schemas.openxmlformats.org/officeDocument/2006/relationships/hyperlink" Target="ugicorpq36302021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48323</Words>
  <Characters>275442</Characters>
  <Application>Microsoft Office Word</Application>
  <DocSecurity>0</DocSecurity>
  <Lines>2295</Lines>
  <Paragraphs>646</Paragraphs>
  <ScaleCrop>false</ScaleCrop>
  <Company/>
  <LinksUpToDate>false</LinksUpToDate>
  <CharactersWithSpaces>323119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ugi-20210630</dc:title>
  <dc:subject/>
  <dc:creator>Chongjian.Yue</dc:creator>
  <cp:keywords/>
  <dc:description/>
  <cp:lastModifiedBy>Yue Chongjian</cp:lastModifiedBy>
  <cp:revision>1</cp:revision>
  <dcterms:created xsi:type="dcterms:W3CDTF">2024-01-04T16:03:00Z</dcterms:created>
  <dcterms:modified xsi:type="dcterms:W3CDTF">2024-01-04T16:03:00Z</dcterms:modified>
</cp:coreProperties>
</file>