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F5BC2">
      <w:pPr>
        <w:divId w:val="30427142"/>
        <w:rPr>
          <w:rFonts w:eastAsia="Times New Roman"/>
          <w:vanish/>
        </w:rPr>
      </w:pPr>
      <w:r>
        <w:rPr>
          <w:rFonts w:eastAsia="Times New Roman"/>
          <w:vanish/>
        </w:rPr>
        <w:t>0000884614false2021FYhttp://fasb.org/us-gaap/2021-01-31#AccountingStandardsUpdate201409MemberP1Yhttp://fasb.org/us-gaap/2021-01-31#OtherAssetsNoncurrent</w:t>
      </w:r>
      <w:r>
        <w:rPr>
          <w:rFonts w:eastAsia="Times New Roman"/>
          <w:vanish/>
        </w:rPr>
        <w:t>http://fasb.org/us-gaap/2021-01-31#OtherAssetsNoncurrenthttp://fasb.org/us-gaap/2021-01-31#PropertyPlantAndEquipmentAndFinanceLeaseRightOfUseAssetAfterAccumulatedDepreciationAndAmortizationhttp://fasb.org/us-gaap/2021-01-31#PropertyPlantAndEquipmentAndFina</w:t>
      </w:r>
      <w:r>
        <w:rPr>
          <w:rFonts w:eastAsia="Times New Roman"/>
          <w:vanish/>
        </w:rPr>
        <w:t>nceLeaseRightOfUseAssetAfterAccumulatedDepreciationAndAmortizationhttp://fasb.org/us-gaap/2021-01-31#OtherLiabilitiesCurrenthttp://fasb.org/us-gaap/2021-01-31#OtherLiabilitiesCurrenthttp://fasb.org/us-gaap/2021-01-31#OtherLiabilitiesNoncurrenthttp://fasb.o</w:t>
      </w:r>
      <w:r>
        <w:rPr>
          <w:rFonts w:eastAsia="Times New Roman"/>
          <w:vanish/>
        </w:rPr>
        <w:t>rg/us-gaap/2021-01-31#OtherLiabilitiesNoncurrenthttp://fasb.org/us-gaap/2021-01-31#LongTermDebtAndCapitalLeaseObligationsCurrenthttp://fasb.org/us-gaap/2021-01-31#LongTermDebtAndCapitalLeaseObligationsCurrenthttp://fasb.org/us-gaap/2021-01-31#LongTermDebtA</w:t>
      </w:r>
      <w:r>
        <w:rPr>
          <w:rFonts w:eastAsia="Times New Roman"/>
          <w:vanish/>
        </w:rPr>
        <w:t>ndCapitalLeaseObligationshttp://fasb.org/us-gaap/2021-01-31#LongTermDebtAndCapitalLeaseObligations00008846142020-10-012021-09-300000884614us-gaap:CommonStockMember2020-10-012021-09-300000884614us-gaap:CapitalUnitsMember2020-10-012021-09-30iso4217:USD000088</w:t>
      </w:r>
      <w:r>
        <w:rPr>
          <w:rFonts w:eastAsia="Times New Roman"/>
          <w:vanish/>
        </w:rPr>
        <w:t>46142021-03-31xbrli:shares00008846142021-11-1200008846142021-09-3000008846142020-09-3000008846142019-10-012020-09-3000008846142018-10-012019-09-30iso4217:USDxbrli:shares00008846142019-09-3000008846142018-09-300000884614us-gaap:PreferredStockMember2020-09-3</w:t>
      </w:r>
      <w:r>
        <w:rPr>
          <w:rFonts w:eastAsia="Times New Roman"/>
          <w:vanish/>
        </w:rPr>
        <w:t>00000884614us-gaap:PreferredStockMember2019-09-300000884614us-gaap:PreferredStockMember2018-09-300000884614us-gaap:PreferredStockMember2020-10-012021-09-300000884614us-gaap:PreferredStockMember2021-09-300000884614us-gaap:CommonStockIncludingAdditionalPaidI</w:t>
      </w:r>
      <w:r>
        <w:rPr>
          <w:rFonts w:eastAsia="Times New Roman"/>
          <w:vanish/>
        </w:rPr>
        <w:t>nCapitalMember2020-09-300000884614us-gaap:CommonStockIncludingAdditionalPaidInCapitalMember2019-09-300000884614us-gaap:CommonStockIncludingAdditionalPaidInCapitalMember2018-09-300000884614us-gaap:CommonStockIncludingAdditionalPaidInCapitalMember2020-10-012</w:t>
      </w:r>
      <w:r>
        <w:rPr>
          <w:rFonts w:eastAsia="Times New Roman"/>
          <w:vanish/>
        </w:rPr>
        <w:t>021-09-300000884614us-gaap:CommonStockIncludingAdditionalPaidInCapitalMember2019-10-012020-09-300000884614us-gaap:CommonStockIncludingAdditionalPaidInCapitalMember2018-10-012019-09-300000884614us-gaap:CommonStockIncludingAdditionalPaidInCapitalMember2021-0</w:t>
      </w:r>
      <w:r>
        <w:rPr>
          <w:rFonts w:eastAsia="Times New Roman"/>
          <w:vanish/>
        </w:rPr>
        <w:t>9-300000884614us-gaap:RetainedEarningsMember2020-09-300000884614us-gaap:RetainedEarningsMember2019-09-300000884614us-gaap:RetainedEarningsMember2018-09-300000884614us-gaap:RetainedEarningsMember2020-10-012021-09-300000884614us-gaap:RetainedEarningsMember20</w:t>
      </w:r>
      <w:r>
        <w:rPr>
          <w:rFonts w:eastAsia="Times New Roman"/>
          <w:vanish/>
        </w:rPr>
        <w:t>19-10-012020-09-300000884614us-gaap:RetainedEarningsMember2018-10-012019-09-3000008846142017-10-012018-09-300000884614us-gaap:AccountingStandardsUpdate201409Memberus-gaap:RetainedEarningsMember2018-09-300000884614us-gaap:RetainedEarningsMember2021-09-30000</w:t>
      </w:r>
      <w:r>
        <w:rPr>
          <w:rFonts w:eastAsia="Times New Roman"/>
          <w:vanish/>
        </w:rPr>
        <w:t>0884614us-gaap:AociIncludingPortionAttributableToNoncontrollingInterestMember2020-09-300000884614us-gaap:AociIncludingPortionAttributableToNoncontrollingInterestMember2019-09-300000884614us-gaap:AociIncludingPortionAttributableToNoncontrollingInterestMembe</w:t>
      </w:r>
      <w:r>
        <w:rPr>
          <w:rFonts w:eastAsia="Times New Roman"/>
          <w:vanish/>
        </w:rPr>
        <w:t>r2018-09-300000884614us-gaap:AociIncludingPortionAttributableToNoncontrollingInterestMember2018-10-012019-09-300000884614us-gaap:AociIncludingPortionAttributableToNoncontrollingInterestMember2020-10-012021-09-300000884614us-gaap:AociIncludingPortionAttribu</w:t>
      </w:r>
      <w:r>
        <w:rPr>
          <w:rFonts w:eastAsia="Times New Roman"/>
          <w:vanish/>
        </w:rPr>
        <w:t>tableToNoncontrollingInterestMember2019-10-012020-09-300000884614us-gaap:AociIncludingPortionAttributableToNoncontrollingInterestMember2021-09-300000884614us-gaap:TreasuryStockMember2020-09-300000884614us-gaap:TreasuryStockMember2019-09-300000884614us-gaap</w:t>
      </w:r>
      <w:r>
        <w:rPr>
          <w:rFonts w:eastAsia="Times New Roman"/>
          <w:vanish/>
        </w:rPr>
        <w:t>:TreasuryStockMember2018-09-300000884614us-gaap:TreasuryStockMember2020-10-012021-09-300000884614us-gaap:TreasuryStockMember2019-10-012020-09-300000884614us-gaap:TreasuryStockMember2018-10-012019-09-300000884614us-gaap:TreasuryStockMember2021-09-3000008846</w:t>
      </w:r>
      <w:r>
        <w:rPr>
          <w:rFonts w:eastAsia="Times New Roman"/>
          <w:vanish/>
        </w:rPr>
        <w:t>14us-gaap:ParentMember2021-09-300000884614us-gaap:ParentMember2020-09-300000884614us-gaap:ParentMember2019-09-300000884614us-gaap:NoncontrollingInterestMember2020-09-300000884614us-gaap:NoncontrollingInterestMember2019-09-300000884614us-gaap:Noncontrolling</w:t>
      </w:r>
      <w:r>
        <w:rPr>
          <w:rFonts w:eastAsia="Times New Roman"/>
          <w:vanish/>
        </w:rPr>
        <w:t>InterestMember2018-09-300000884614us-gaap:NoncontrollingInterestMember2018-10-012019-09-300000884614us-gaap:NoncontrollingInterestMember2019-10-012020-09-300000884614us-gaap:NoncontrollingInterestMember2021-09-300000884614ugi:MergerSubMemberus-gaap:CommonS</w:t>
      </w:r>
      <w:r>
        <w:rPr>
          <w:rFonts w:eastAsia="Times New Roman"/>
          <w:vanish/>
        </w:rPr>
        <w:t>tockMember2019-08-212019-08-210000884614ugi:MergerSubMember2019-08-212019-08-21xbrli:pure0000884614ugi:AmeriGasPartnersL.P.Memberugi:AmerigasPropaneMember2019-08-202019-08-200000884614ugi:MergerSubMemberugi:AmerigasPropaneMemberugi:AmeriGasOLPMember2019-08</w:t>
      </w:r>
      <w:r>
        <w:rPr>
          <w:rFonts w:eastAsia="Times New Roman"/>
          <w:vanish/>
        </w:rPr>
        <w:t>-200000884614ugi:MountaineerMember2021-09-012021-09-01ugi:customerugi:county0000884614ugi:MergerSubMemberus-gaap:CommonStockMember2018-10-012019-09-300000884614ugi:UGIUtilitiesIncMember2020-10-012021-09-300000884614ugi:CustomerRelationshipsNoncompeteAgreem</w:t>
      </w:r>
      <w:r>
        <w:rPr>
          <w:rFonts w:eastAsia="Times New Roman"/>
          <w:vanish/>
        </w:rPr>
        <w:t>entsAndOtherMember2020-10-012021-09-300000884614us-gaap:CustomerRelationshipsMemberugi:CMGMember2020-10-012021-09-300000884614ugi:MidstreamAndMarketingMemberugi:CertainNaturalGasGatheringSystemsMember2021-09-300000884614ugi:NaturalGasTransportationAndGathe</w:t>
      </w:r>
      <w:r>
        <w:rPr>
          <w:rFonts w:eastAsia="Times New Roman"/>
          <w:vanish/>
        </w:rPr>
        <w:t>ringServicesMember2020-10-012021-09-300000884614ugi:StorageServicesMember2020-10-012021-09-300000884614ugi:NaturalGasMember2020-10-012021-09-300000884614ugi:ResidentialMember2020-10-012021-09-300000884614ugi:ResidentialMemberus-gaap:IntersegmentElimination</w:t>
      </w:r>
      <w:r>
        <w:rPr>
          <w:rFonts w:eastAsia="Times New Roman"/>
          <w:vanish/>
        </w:rPr>
        <w:t>Member2020-10-012021-09-300000884614ugi:AmerigasPropaneMemberugi:ResidentialMemberus-gaap:OperatingSegmentsMember2020-10-012021-09-300000884614ugi:ResidentialMemberugi:UGIInternationalMemberus-gaap:OperatingSegmentsMember2020-10-012021-09-300000884614ugi:R</w:t>
      </w:r>
      <w:r>
        <w:rPr>
          <w:rFonts w:eastAsia="Times New Roman"/>
          <w:vanish/>
        </w:rPr>
        <w:t>esidentialMemberugi:MidstreamAndMarketingMemberus-gaap:OperatingSegmentsMember2020-10-012021-09-300000884614ugi:ResidentialMemberugi:UGIUtilitiesIncMemberus-gaap:OperatingSegmentsMember2020-10-012021-09-300000884614ugi:ResidentialMemberugi:CorporateAndReco</w:t>
      </w:r>
      <w:r>
        <w:rPr>
          <w:rFonts w:eastAsia="Times New Roman"/>
          <w:vanish/>
        </w:rPr>
        <w:t>ncilingItemsMember2020-10-012021-09-300000884614ugi:CommercialandIndustrialMember2020-10-012021-09-300000884614ugi:CommercialandIndustrialMemberus-gaap:IntersegmentEliminationMember2020-10-012021-09-300000884614ugi:CommercialandIndustrialMemberugi:Amerigas</w:t>
      </w:r>
      <w:r>
        <w:rPr>
          <w:rFonts w:eastAsia="Times New Roman"/>
          <w:vanish/>
        </w:rPr>
        <w:t>PropaneMemberus-gaap:OperatingSegmentsMember2020-10-012021-09-300000884614ugi:CommercialandIndustrialMemberugi:UGIInternationalMemberus-gaap:OperatingSegmentsMember2020-10-012021-09-300000884614ugi:CommercialandIndustrialMemberugi:MidstreamAndMarketingMemb</w:t>
      </w:r>
      <w:r>
        <w:rPr>
          <w:rFonts w:eastAsia="Times New Roman"/>
          <w:vanish/>
        </w:rPr>
        <w:t>erus-gaap:OperatingSegmentsMember2020-10-012021-09-300000884614ugi:CommercialandIndustrialMemberugi:UGIUtilitiesIncMemberus-gaap:OperatingSegmentsMember2020-10-012021-09-300000884614ugi:CommercialandIndustrialMemberugi:CorporateAndReconcilingItemsMember202</w:t>
      </w:r>
      <w:r>
        <w:rPr>
          <w:rFonts w:eastAsia="Times New Roman"/>
          <w:vanish/>
        </w:rPr>
        <w:t>0-10-012021-09-300000884614ugi:LargeDeliveryServiceMember2020-10-012021-09-300000884614ugi:LargeDeliveryServiceMemberus-gaap:IntersegmentEliminationMember2020-10-012021-09-300000884614ugi:LargeDeliveryServiceMemberugi:AmerigasPropaneMemberus-gaap:Operating</w:t>
      </w:r>
      <w:r>
        <w:rPr>
          <w:rFonts w:eastAsia="Times New Roman"/>
          <w:vanish/>
        </w:rPr>
        <w:t>SegmentsMember2020-10-012021-09-300000884614ugi:LargeDeliveryServiceMemberugi:UGIInternationalMemberus-gaap:OperatingSegmentsMember2020-10-012021-09-300000884614ugi:LargeDeliveryServiceMemberugi:MidstreamAndMarketingMemberus-gaap:OperatingSegmentsMember202</w:t>
      </w:r>
      <w:r>
        <w:rPr>
          <w:rFonts w:eastAsia="Times New Roman"/>
          <w:vanish/>
        </w:rPr>
        <w:t>0-10-012021-09-300000884614ugi:LargeDeliveryServiceMemberugi:UGIUtilitiesIncMemberus-gaap:OperatingSegmentsMember2020-10-012021-09-300000884614ugi:LargeDeliveryServiceMemberugi:CorporateAndReconcilingItemsMember2020-10-012021-09-300000884614ugi:OffSystemSa</w:t>
      </w:r>
      <w:r>
        <w:rPr>
          <w:rFonts w:eastAsia="Times New Roman"/>
          <w:vanish/>
        </w:rPr>
        <w:t>lesandCapacityReleasesMember2020-10-012021-09-300000884614us-gaap:IntersegmentEliminationMemberugi:OffSystemSalesandCapacityReleasesMember2020-10-012021-09-300000884614ugi:AmerigasPropaneMemberugi:OffSystemSalesandCapacityReleasesMemberus-gaap:OperatingSeg</w:t>
      </w:r>
      <w:r>
        <w:rPr>
          <w:rFonts w:eastAsia="Times New Roman"/>
          <w:vanish/>
        </w:rPr>
        <w:t>mentsMember2020-10-012021-09-300000884614ugi:UGIInternationalMemberugi:OffSystemSalesandCapacityReleasesMemberus-gaap:OperatingSegmentsMember2020-10-012021-09-300000884614ugi:MidstreamAndMarketingMemberugi:OffSystemSalesandCapacityReleasesMemberus-gaap:Ope</w:t>
      </w:r>
      <w:r>
        <w:rPr>
          <w:rFonts w:eastAsia="Times New Roman"/>
          <w:vanish/>
        </w:rPr>
        <w:t>ratingSegmentsMember2020-10-012021-09-300000884614ugi:OffSystemSalesandCapacityReleasesMemberugi:UGIUtilitiesIncMemberus-gaap:OperatingSegmentsMember2020-10-012021-09-300000884614ugi:OffSystemSalesandCapacityReleasesMemberugi:CorporateAndReconcilingItemsMe</w:t>
      </w:r>
      <w:r>
        <w:rPr>
          <w:rFonts w:eastAsia="Times New Roman"/>
          <w:vanish/>
        </w:rPr>
        <w:t>mber2020-10-012021-09-300000884614ugi:UtilityOtherMember2020-10-012021-09-300000884614us-gaap:IntersegmentEliminationMemberugi:UtilityOtherMember2020-10-012021-09-300000884614ugi:AmerigasPropaneMemberugi:UtilityOtherMemberus-gaap:OperatingSegmentsMember202</w:t>
      </w:r>
      <w:r>
        <w:rPr>
          <w:rFonts w:eastAsia="Times New Roman"/>
          <w:vanish/>
        </w:rPr>
        <w:t>0-10-012021-09-300000884614ugi:UGIInternationalMemberugi:UtilityOtherMemberus-gaap:OperatingSegmentsMember2020-10-012021-09-300000884614ugi:MidstreamAndMarketingMemberugi:UtilityOtherMemberus-gaap:OperatingSegmentsMember2020-10-012021-09-300000884614ugi:Ut</w:t>
      </w:r>
      <w:r>
        <w:rPr>
          <w:rFonts w:eastAsia="Times New Roman"/>
          <w:vanish/>
        </w:rPr>
        <w:t>ilityOtherMemberugi:UGIUtilitiesIncMemberus-gaap:OperatingSegmentsMember2020-10-012021-09-300000884614ugi:UtilityOtherMemberugi:CorporateAndReconcilingItemsMember2020-10-012021-09-300000884614ugi:UtilityMember2020-10-012021-09-300000884614us-gaap:Intersegm</w:t>
      </w:r>
      <w:r>
        <w:rPr>
          <w:rFonts w:eastAsia="Times New Roman"/>
          <w:vanish/>
        </w:rPr>
        <w:t>entEliminationMemberugi:UtilityMember2020-10-012021-09-300000884614ugi:AmerigasPropaneMemberus-gaap:OperatingSegmentsMemberugi:UtilityMember2020-10-012021-09-300000884614ugi:UGIInternationalMemberus-gaap:OperatingSegmentsMemberugi:UtilityMember2020-10-0120</w:t>
      </w:r>
      <w:r>
        <w:rPr>
          <w:rFonts w:eastAsia="Times New Roman"/>
          <w:vanish/>
        </w:rPr>
        <w:t>21-09-300000884614ugi:MidstreamAndMarketingMemberus-gaap:OperatingSegmentsMemberugi:UtilityMember2020-10-012021-09-300000884614ugi:UGIUtilitiesIncMemberus-gaap:OperatingSegmentsMemberugi:UtilityMember2020-10-012021-09-300000884614ugi:UtilityMemberugi:Corpo</w:t>
      </w:r>
      <w:r>
        <w:rPr>
          <w:rFonts w:eastAsia="Times New Roman"/>
          <w:vanish/>
        </w:rPr>
        <w:t>rateAndReconcilingItemsMember2020-10-012021-09-300000884614us-gaap:RetailMember2020-10-012021-09-300000884614us-gaap:IntersegmentEliminationMemberus-gaap:RetailMember2020-10-012021-09-300000884614ugi:AmerigasPropaneMemberus-gaap:RetailMemberus-gaap:Operati</w:t>
      </w:r>
      <w:r>
        <w:rPr>
          <w:rFonts w:eastAsia="Times New Roman"/>
          <w:vanish/>
        </w:rPr>
        <w:t>ngSegmentsMember2020-10-012021-09-300000884614us-gaap:RetailMemberugi:UGIInternationalMemberus-gaap:OperatingSegmentsMember2020-10-012021-09-300000884614us-gaap:RetailMemberugi:MidstreamAndMarketingMemberus-gaap:OperatingSegmentsMember2020-10-012021-09-300</w:t>
      </w:r>
      <w:r>
        <w:rPr>
          <w:rFonts w:eastAsia="Times New Roman"/>
          <w:vanish/>
        </w:rPr>
        <w:t>000884614us-gaap:RetailMemberugi:UGIUtilitiesIncMemberus-gaap:OperatingSegmentsMember2020-10-012021-09-300000884614us-gaap:RetailMemberugi:CorporateAndReconcilingItemsMember2020-10-012021-09-300000884614ugi:WholesaleMember2020-10-012021-09-300000884614us-g</w:t>
      </w:r>
      <w:r>
        <w:rPr>
          <w:rFonts w:eastAsia="Times New Roman"/>
          <w:vanish/>
        </w:rPr>
        <w:t>aap:IntersegmentEliminationMemberugi:WholesaleMember2020-10-012021-09-300000884614ugi:AmerigasPropaneMemberus-gaap:OperatingSegmentsMemberugi:WholesaleMember2020-10-012021-09-300000884614ugi:UGIInternationalMemberus-gaap:OperatingSegmentsMemberugi:Wholesal</w:t>
      </w:r>
      <w:r>
        <w:rPr>
          <w:rFonts w:eastAsia="Times New Roman"/>
          <w:vanish/>
        </w:rPr>
        <w:t>eMember2020-10-012021-09-300000884614ugi:MidstreamAndMarketingMemberus-gaap:OperatingSegmentsMemberugi:WholesaleMember2020-10-012021-09-300000884614ugi:UGIUtilitiesIncMemberus-gaap:OperatingSegmentsMemberugi:WholesaleMember2020-10-012021-09-300000884614ugi</w:t>
      </w:r>
      <w:r>
        <w:rPr>
          <w:rFonts w:eastAsia="Times New Roman"/>
          <w:vanish/>
        </w:rPr>
        <w:t>:WholesaleMemberugi:CorporateAndReconcilingItemsMember2020-10-012021-09-300000884614ugi:EnergyMarketingMember2020-10-012021-09-300000884614us-gaap:IntersegmentEliminationMemberugi:EnergyMarketingMember2020-10-012021-09-300000884614ugi:AmerigasPropaneMember</w:t>
      </w:r>
      <w:r>
        <w:rPr>
          <w:rFonts w:eastAsia="Times New Roman"/>
          <w:vanish/>
        </w:rPr>
        <w:t>ugi:EnergyMarketingMemberus-gaap:OperatingSegmentsMember2020-10-012021-09-300000884614ugi:UGIInternationalMemberugi:EnergyMarketingMemberus-gaap:OperatingSegmentsMember2020-10-012021-09-300000884614ugi:MidstreamAndMarketingMemberugi:EnergyMarketingMemberus</w:t>
      </w:r>
      <w:r>
        <w:rPr>
          <w:rFonts w:eastAsia="Times New Roman"/>
          <w:vanish/>
        </w:rPr>
        <w:t>-gaap:OperatingSegmentsMember2020-10-012021-09-300000884614ugi:EnergyMarketingMemberugi:UGIUtilitiesIncMemberus-gaap:OperatingSegmentsMember2020-10-012021-09-300000884614ugi:EnergyMarketingMemberugi:CorporateAndReconcilingItemsMember2020-10-012021-09-30000</w:t>
      </w:r>
      <w:r>
        <w:rPr>
          <w:rFonts w:eastAsia="Times New Roman"/>
          <w:vanish/>
        </w:rPr>
        <w:t>0884614ugi:PipelineMember2020-10-012021-09-300000884614ugi:PipelineMemberus-gaap:IntersegmentEliminationMember2020-10-012021-09-300000884614ugi:PipelineMemberugi:AmerigasPropaneMemberus-gaap:OperatingSegmentsMember2020-10-012021-09-300000884614ugi:Pipeline</w:t>
      </w:r>
      <w:r>
        <w:rPr>
          <w:rFonts w:eastAsia="Times New Roman"/>
          <w:vanish/>
        </w:rPr>
        <w:t>Memberugi:UGIInternationalMemberus-gaap:OperatingSegmentsMember2020-10-012021-09-300000884614ugi:PipelineMemberugi:MidstreamAndMarketingMemberus-gaap:OperatingSegmentsMember2020-10-012021-09-300000884614ugi:PipelineMemberugi:UGIUtilitiesIncMemberus-gaap:Op</w:t>
      </w:r>
      <w:r>
        <w:rPr>
          <w:rFonts w:eastAsia="Times New Roman"/>
          <w:vanish/>
        </w:rPr>
        <w:t>eratingSegmentsMember2020-10-012021-09-300000884614ugi:PipelineMemberugi:CorporateAndReconcilingItemsMember2020-10-012021-09-300000884614ugi:PeakingMember2020-10-012021-09-300000884614us-gaap:IntersegmentEliminationMemberugi:PeakingMember2020-10-012021-09-</w:t>
      </w:r>
      <w:r>
        <w:rPr>
          <w:rFonts w:eastAsia="Times New Roman"/>
          <w:vanish/>
        </w:rPr>
        <w:t>300000884614ugi:AmerigasPropaneMemberugi:PeakingMemberus-gaap:OperatingSegmentsMember2020-10-012021-09-300000884614ugi:UGIInternationalMemberugi:PeakingMemberus-gaap:OperatingSegmentsMember2020-10-012021-09-300000884614ugi:MidstreamAndMarketingMemberugi:Pe</w:t>
      </w:r>
      <w:r>
        <w:rPr>
          <w:rFonts w:eastAsia="Times New Roman"/>
          <w:vanish/>
        </w:rPr>
        <w:t>akingMemberus-gaap:OperatingSegmentsMember2020-10-012021-09-300000884614ugi:PeakingMemberugi:UGIUtilitiesIncMemberus-gaap:OperatingSegmentsMember2020-10-012021-09-300000884614ugi:PeakingMemberugi:CorporateAndReconcilingItemsMember2020-10-012021-09-30000088</w:t>
      </w:r>
      <w:r>
        <w:rPr>
          <w:rFonts w:eastAsia="Times New Roman"/>
          <w:vanish/>
        </w:rPr>
        <w:t>4614ugi:MidstreamOtherMember2020-10-012021-09-300000884614ugi:MidstreamOtherMemberus-gaap:IntersegmentEliminationMember2020-10-012021-09-300000884614ugi:MidstreamOtherMemberugi:AmerigasPropaneMemberus-gaap:OperatingSegmentsMember2020-10-012021-09-300000884</w:t>
      </w:r>
      <w:r>
        <w:rPr>
          <w:rFonts w:eastAsia="Times New Roman"/>
          <w:vanish/>
        </w:rPr>
        <w:t>614ugi:MidstreamOtherMemberugi:UGIInternationalMemberus-gaap:OperatingSegmentsMember2020-10-012021-09-300000884614ugi:MidstreamOtherMemberugi:MidstreamAndMarketingMemberus-gaap:OperatingSegmentsMember2020-10-012021-09-300000884614ugi:MidstreamOtherMemberug</w:t>
      </w:r>
      <w:r>
        <w:rPr>
          <w:rFonts w:eastAsia="Times New Roman"/>
          <w:vanish/>
        </w:rPr>
        <w:t>i:UGIUtilitiesIncMemberus-gaap:OperatingSegmentsMember2020-10-012021-09-300000884614ugi:MidstreamOtherMemberugi:CorporateAndReconcilingItemsMember2020-10-012021-09-300000884614us-gaap:ElectricityGenerationMember2020-10-012021-09-300000884614us-gaap:Interse</w:t>
      </w:r>
      <w:r>
        <w:rPr>
          <w:rFonts w:eastAsia="Times New Roman"/>
          <w:vanish/>
        </w:rPr>
        <w:t>gmentEliminationMemberus-gaap:ElectricityGenerationMember2020-10-012021-09-300000884614ugi:AmerigasPropaneMemberus-gaap:ElectricityGenerationMemberus-gaap:OperatingSegmentsMember2020-10-012021-09-300000884614ugi:UGIInternationalMemberus-gaap:ElectricityGen</w:t>
      </w:r>
      <w:r>
        <w:rPr>
          <w:rFonts w:eastAsia="Times New Roman"/>
          <w:vanish/>
        </w:rPr>
        <w:t>erationMemberus-gaap:OperatingSegmentsMember2020-10-012021-09-300000884614ugi:MidstreamAndMarketingMemberus-gaap:ElectricityGenerationMemberus-gaap:OperatingSegmentsMember2020-10-012021-09-300000884614us-gaap:ElectricityGenerationMemberugi:UGIUtilitiesIncM</w:t>
      </w:r>
      <w:r>
        <w:rPr>
          <w:rFonts w:eastAsia="Times New Roman"/>
          <w:vanish/>
        </w:rPr>
        <w:t>emberus-gaap:OperatingSegmentsMember2020-10-012021-09-300000884614us-gaap:ElectricityGenerationMemberugi:CorporateAndReconcilingItemsMember2020-10-012021-09-300000884614ugi:NonutilityOtherMember2020-10-012021-09-300000884614ugi:NonutilityOtherMemberus-gaap</w:t>
      </w:r>
      <w:r>
        <w:rPr>
          <w:rFonts w:eastAsia="Times New Roman"/>
          <w:vanish/>
        </w:rPr>
        <w:t>:IntersegmentEliminationMember2020-10-012021-09-300000884614ugi:NonutilityOtherMemberugi:AmerigasPropaneMemberus-gaap:OperatingSegmentsMember2020-10-012021-09-300000884614ugi:NonutilityOtherMemberugi:UGIInternationalMemberus-gaap:OperatingSegmentsMember202</w:t>
      </w:r>
      <w:r>
        <w:rPr>
          <w:rFonts w:eastAsia="Times New Roman"/>
          <w:vanish/>
        </w:rPr>
        <w:t>0-10-012021-09-300000884614ugi:NonutilityOtherMemberugi:MidstreamAndMarketingMemberus-gaap:OperatingSegmentsMember2020-10-012021-09-300000884614ugi:NonutilityOtherMemberugi:UGIUtilitiesIncMemberus-gaap:OperatingSegmentsMember2020-10-012021-09-300000884614u</w:t>
      </w:r>
      <w:r>
        <w:rPr>
          <w:rFonts w:eastAsia="Times New Roman"/>
          <w:vanish/>
        </w:rPr>
        <w:t>gi:NonutilityOtherMemberugi:CorporateAndReconcilingItemsMember2020-10-012021-09-300000884614ugi:NonutilityMember2020-10-012021-09-300000884614ugi:NonutilityMemberus-gaap:IntersegmentEliminationMember2020-10-012021-09-300000884614ugi:NonutilityMemberugi:Ame</w:t>
      </w:r>
      <w:r>
        <w:rPr>
          <w:rFonts w:eastAsia="Times New Roman"/>
          <w:vanish/>
        </w:rPr>
        <w:t>rigasPropaneMemberus-gaap:OperatingSegmentsMember2020-10-012021-09-300000884614ugi:NonutilityMemberugi:UGIInternationalMemberus-gaap:OperatingSegmentsMember2020-10-012021-09-300000884614ugi:NonutilityMemberugi:MidstreamAndMarketingMemberus-gaap:OperatingSe</w:t>
      </w:r>
      <w:r>
        <w:rPr>
          <w:rFonts w:eastAsia="Times New Roman"/>
          <w:vanish/>
        </w:rPr>
        <w:t>gmentsMember2020-10-012021-09-300000884614ugi:NonutilityMemberugi:UGIUtilitiesIncMemberus-gaap:OperatingSegmentsMember2020-10-012021-09-300000884614ugi:NonutilityMemberugi:CorporateAndReconcilingItemsMember2020-10-012021-09-300000884614us-gaap:Intersegment</w:t>
      </w:r>
      <w:r>
        <w:rPr>
          <w:rFonts w:eastAsia="Times New Roman"/>
          <w:vanish/>
        </w:rPr>
        <w:t>EliminationMember2020-10-012021-09-300000884614ugi:AmerigasPropaneMemberus-gaap:OperatingSegmentsMember2020-10-012021-09-300000884614ugi:UGIInternationalMemberus-gaap:OperatingSegmentsMember2020-10-012021-09-300000884614ugi:MidstreamAndMarketingMemberus-ga</w:t>
      </w:r>
      <w:r>
        <w:rPr>
          <w:rFonts w:eastAsia="Times New Roman"/>
          <w:vanish/>
        </w:rPr>
        <w:t>ap:OperatingSegmentsMember2020-10-012021-09-300000884614ugi:UGIUtilitiesIncMemberus-gaap:OperatingSegmentsMember2020-10-012021-09-300000884614ugi:CorporateAndReconcilingItemsMember2020-10-012021-09-300000884614ugi:ResidentialMember2019-10-012020-09-3000008</w:t>
      </w:r>
      <w:r>
        <w:rPr>
          <w:rFonts w:eastAsia="Times New Roman"/>
          <w:vanish/>
        </w:rPr>
        <w:t>84614ugi:ResidentialMemberus-gaap:IntersegmentEliminationMember2019-10-012020-09-300000884614ugi:AmerigasPropaneMemberugi:ResidentialMemberus-gaap:OperatingSegmentsMember2019-10-012020-09-300000884614ugi:ResidentialMemberugi:UGIInternationalMemberus-gaap:O</w:t>
      </w:r>
      <w:r>
        <w:rPr>
          <w:rFonts w:eastAsia="Times New Roman"/>
          <w:vanish/>
        </w:rPr>
        <w:t>peratingSegmentsMember2019-10-012020-09-300000884614ugi:ResidentialMemberugi:MidstreamAndMarketingMemberus-gaap:OperatingSegmentsMember2019-10-012020-09-300000884614ugi:ResidentialMemberugi:UGIUtilitiesIncMemberus-gaap:OperatingSegmentsMember2019-10-012020</w:t>
      </w:r>
      <w:r>
        <w:rPr>
          <w:rFonts w:eastAsia="Times New Roman"/>
          <w:vanish/>
        </w:rPr>
        <w:t>-09-300000884614ugi:ResidentialMemberugi:CorporateAndReconcilingItemsMember2019-10-012020-09-300000884614ugi:CommercialandIndustrialMember2019-10-012020-09-300000884614ugi:CommercialandIndustrialMemberus-gaap:IntersegmentEliminationMember2019-10-012020-09-</w:t>
      </w:r>
      <w:r>
        <w:rPr>
          <w:rFonts w:eastAsia="Times New Roman"/>
          <w:vanish/>
        </w:rPr>
        <w:t>300000884614ugi:CommercialandIndustrialMemberugi:AmerigasPropaneMemberus-gaap:OperatingSegmentsMember2019-10-012020-09-300000884614ugi:CommercialandIndustrialMemberugi:UGIInternationalMemberus-gaap:OperatingSegmentsMember2019-10-012020-09-300000884614ugi:C</w:t>
      </w:r>
      <w:r>
        <w:rPr>
          <w:rFonts w:eastAsia="Times New Roman"/>
          <w:vanish/>
        </w:rPr>
        <w:t>ommercialandIndustrialMemberugi:MidstreamAndMarketingMemberus-gaap:OperatingSegmentsMember2019-10-012020-09-300000884614ugi:CommercialandIndustrialMemberugi:UGIUtilitiesIncMemberus-gaap:OperatingSegmentsMember2019-10-012020-09-300000884614ugi:Commercialand</w:t>
      </w:r>
      <w:r>
        <w:rPr>
          <w:rFonts w:eastAsia="Times New Roman"/>
          <w:vanish/>
        </w:rPr>
        <w:t>IndustrialMemberugi:CorporateAndReconcilingItemsMember2019-10-012020-09-300000884614ugi:LargeDeliveryServiceMember2019-10-012020-09-300000884614ugi:LargeDeliveryServiceMemberus-gaap:IntersegmentEliminationMember2019-10-012020-09-300000884614ugi:LargeDelive</w:t>
      </w:r>
      <w:r>
        <w:rPr>
          <w:rFonts w:eastAsia="Times New Roman"/>
          <w:vanish/>
        </w:rPr>
        <w:t>ryServiceMemberugi:AmerigasPropaneMemberus-gaap:OperatingSegmentsMember2019-10-012020-09-300000884614ugi:LargeDeliveryServiceMemberugi:UGIInternationalMemberus-gaap:OperatingSegmentsMember2019-10-012020-09-300000884614ugi:LargeDeliveryServiceMemberugi:Mids</w:t>
      </w:r>
      <w:r>
        <w:rPr>
          <w:rFonts w:eastAsia="Times New Roman"/>
          <w:vanish/>
        </w:rPr>
        <w:t>treamAndMarketingMemberus-gaap:OperatingSegmentsMember2019-10-012020-09-300000884614ugi:LargeDeliveryServiceMemberugi:UGIUtilitiesIncMemberus-gaap:OperatingSegmentsMember2019-10-012020-09-300000884614ugi:LargeDeliveryServiceMemberugi:CorporateAndReconcilin</w:t>
      </w:r>
      <w:r>
        <w:rPr>
          <w:rFonts w:eastAsia="Times New Roman"/>
          <w:vanish/>
        </w:rPr>
        <w:t>gItemsMember2019-10-012020-09-300000884614ugi:OffSystemSalesandCapacityReleasesMember2019-10-012020-09-300000884614us-gaap:IntersegmentEliminationMemberugi:OffSystemSalesandCapacityReleasesMember2019-10-012020-09-300000884614ugi:AmerigasPropaneMemberugi:Of</w:t>
      </w:r>
      <w:r>
        <w:rPr>
          <w:rFonts w:eastAsia="Times New Roman"/>
          <w:vanish/>
        </w:rPr>
        <w:t>fSystemSalesandCapacityReleasesMemberus-gaap:OperatingSegmentsMember2019-10-012020-09-300000884614ugi:UGIInternationalMemberugi:OffSystemSalesandCapacityReleasesMemberus-gaap:OperatingSegmentsMember2019-10-012020-09-300000884614ugi:MidstreamAndMarketingMem</w:t>
      </w:r>
      <w:r>
        <w:rPr>
          <w:rFonts w:eastAsia="Times New Roman"/>
          <w:vanish/>
        </w:rPr>
        <w:t>berugi:OffSystemSalesandCapacityReleasesMemberus-gaap:OperatingSegmentsMember2019-10-012020-09-300000884614ugi:OffSystemSalesandCapacityReleasesMemberugi:UGIUtilitiesIncMemberus-gaap:OperatingSegmentsMember2019-10-012020-09-300000884614ugi:OffSystemSalesan</w:t>
      </w:r>
      <w:r>
        <w:rPr>
          <w:rFonts w:eastAsia="Times New Roman"/>
          <w:vanish/>
        </w:rPr>
        <w:t>dCapacityReleasesMemberugi:CorporateAndReconcilingItemsMember2019-10-012020-09-300000884614ugi:UtilityOtherMember2019-10-012020-09-300000884614us-gaap:IntersegmentEliminationMemberugi:UtilityOtherMember2019-10-012020-09-300000884614ugi:AmerigasPropaneMembe</w:t>
      </w:r>
      <w:r>
        <w:rPr>
          <w:rFonts w:eastAsia="Times New Roman"/>
          <w:vanish/>
        </w:rPr>
        <w:t>rugi:UtilityOtherMemberus-gaap:OperatingSegmentsMember2019-10-012020-09-300000884614ugi:UGIInternationalMemberugi:UtilityOtherMemberus-gaap:OperatingSegmentsMember2019-10-012020-09-300000884614ugi:MidstreamAndMarketingMemberugi:UtilityOtherMemberus-gaap:Op</w:t>
      </w:r>
      <w:r>
        <w:rPr>
          <w:rFonts w:eastAsia="Times New Roman"/>
          <w:vanish/>
        </w:rPr>
        <w:t>eratingSegmentsMember2019-10-012020-09-300000884614ugi:UtilityOtherMemberugi:UGIUtilitiesIncMemberus-gaap:OperatingSegmentsMember2019-10-012020-09-300000884614ugi:UtilityOtherMemberugi:CorporateAndReconcilingItemsMember2019-10-012020-09-300000884614ugi:Uti</w:t>
      </w:r>
      <w:r>
        <w:rPr>
          <w:rFonts w:eastAsia="Times New Roman"/>
          <w:vanish/>
        </w:rPr>
        <w:t>lityMember2019-10-012020-09-300000884614us-gaap:IntersegmentEliminationMemberugi:UtilityMember2019-10-012020-09-300000884614ugi:AmerigasPropaneMemberus-gaap:OperatingSegmentsMemberugi:UtilityMember2019-10-012020-09-300000884614ugi:UGIInternationalMemberus-</w:t>
      </w:r>
      <w:r>
        <w:rPr>
          <w:rFonts w:eastAsia="Times New Roman"/>
          <w:vanish/>
        </w:rPr>
        <w:t>gaap:OperatingSegmentsMemberugi:UtilityMember2019-10-012020-09-300000884614ugi:MidstreamAndMarketingMemberus-gaap:OperatingSegmentsMemberugi:UtilityMember2019-10-012020-09-300000884614ugi:UGIUtilitiesIncMemberus-gaap:OperatingSegmentsMemberugi:UtilityMembe</w:t>
      </w:r>
      <w:r>
        <w:rPr>
          <w:rFonts w:eastAsia="Times New Roman"/>
          <w:vanish/>
        </w:rPr>
        <w:t>r2019-10-012020-09-300000884614ugi:UtilityMemberugi:CorporateAndReconcilingItemsMember2019-10-012020-09-300000884614us-gaap:RetailMember2019-10-012020-09-300000884614us-gaap:IntersegmentEliminationMemberus-gaap:RetailMember2019-10-012020-09-300000884614ugi</w:t>
      </w:r>
      <w:r>
        <w:rPr>
          <w:rFonts w:eastAsia="Times New Roman"/>
          <w:vanish/>
        </w:rPr>
        <w:t>:AmerigasPropaneMemberus-gaap:RetailMemberus-gaap:OperatingSegmentsMember2019-10-012020-09-300000884614us-gaap:RetailMemberugi:UGIInternationalMemberus-gaap:OperatingSegmentsMember2019-10-012020-09-300000884614us-gaap:RetailMemberugi:MidstreamAndMarketingM</w:t>
      </w:r>
      <w:r>
        <w:rPr>
          <w:rFonts w:eastAsia="Times New Roman"/>
          <w:vanish/>
        </w:rPr>
        <w:t>emberus-gaap:OperatingSegmentsMember2019-10-012020-09-300000884614us-gaap:RetailMemberugi:UGIUtilitiesIncMemberus-gaap:OperatingSegmentsMember2019-10-012020-09-300000884614us-gaap:RetailMemberugi:CorporateAndReconcilingItemsMember2019-10-012020-09-30000088</w:t>
      </w:r>
      <w:r>
        <w:rPr>
          <w:rFonts w:eastAsia="Times New Roman"/>
          <w:vanish/>
        </w:rPr>
        <w:t>4614ugi:WholesaleMember2019-10-012020-09-300000884614us-gaap:IntersegmentEliminationMemberugi:WholesaleMember2019-10-012020-09-300000884614ugi:AmerigasPropaneMemberus-gaap:OperatingSegmentsMemberugi:WholesaleMember2019-10-012020-09-300000884614ugi:UGIInter</w:t>
      </w:r>
      <w:r>
        <w:rPr>
          <w:rFonts w:eastAsia="Times New Roman"/>
          <w:vanish/>
        </w:rPr>
        <w:t>nationalMemberus-gaap:OperatingSegmentsMemberugi:WholesaleMember2019-10-012020-09-300000884614ugi:MidstreamAndMarketingMemberus-gaap:OperatingSegmentsMemberugi:WholesaleMember2019-10-012020-09-300000884614ugi:UGIUtilitiesIncMemberus-gaap:OperatingSegmentsM</w:t>
      </w:r>
      <w:r>
        <w:rPr>
          <w:rFonts w:eastAsia="Times New Roman"/>
          <w:vanish/>
        </w:rPr>
        <w:t>emberugi:WholesaleMember2019-10-012020-09-300000884614ugi:WholesaleMemberugi:CorporateAndReconcilingItemsMember2019-10-012020-09-300000884614ugi:EnergyMarketingMember2019-10-012020-09-300000884614us-gaap:IntersegmentEliminationMemberugi:EnergyMarketingMemb</w:t>
      </w:r>
      <w:r>
        <w:rPr>
          <w:rFonts w:eastAsia="Times New Roman"/>
          <w:vanish/>
        </w:rPr>
        <w:t>er2019-10-012020-09-300000884614ugi:AmerigasPropaneMemberugi:EnergyMarketingMemberus-gaap:OperatingSegmentsMember2019-10-012020-09-300000884614ugi:UGIInternationalMemberugi:EnergyMarketingMemberus-gaap:OperatingSegmentsMember2019-10-012020-09-300000884614u</w:t>
      </w:r>
      <w:r>
        <w:rPr>
          <w:rFonts w:eastAsia="Times New Roman"/>
          <w:vanish/>
        </w:rPr>
        <w:t>gi:MidstreamAndMarketingMemberugi:EnergyMarketingMemberus-gaap:OperatingSegmentsMember2019-10-012020-09-300000884614ugi:EnergyMarketingMemberugi:UGIUtilitiesIncMemberus-gaap:OperatingSegmentsMember2019-10-012020-09-300000884614ugi:EnergyMarketingMemberugi:</w:t>
      </w:r>
      <w:r>
        <w:rPr>
          <w:rFonts w:eastAsia="Times New Roman"/>
          <w:vanish/>
        </w:rPr>
        <w:t>CorporateAndReconcilingItemsMember2019-10-012020-09-300000884614ugi:PipelineMember2019-10-012020-09-300000884614ugi:PipelineMemberus-gaap:IntersegmentEliminationMember2019-10-012020-09-300000884614ugi:PipelineMemberugi:AmerigasPropaneMemberus-gaap:Operatin</w:t>
      </w:r>
      <w:r>
        <w:rPr>
          <w:rFonts w:eastAsia="Times New Roman"/>
          <w:vanish/>
        </w:rPr>
        <w:t>gSegmentsMember2019-10-012020-09-300000884614ugi:PipelineMemberugi:UGIInternationalMemberus-gaap:OperatingSegmentsMember2019-10-012020-09-300000884614ugi:PipelineMemberugi:MidstreamAndMarketingMemberus-gaap:OperatingSegmentsMember2019-10-012020-09-30000088</w:t>
      </w:r>
      <w:r>
        <w:rPr>
          <w:rFonts w:eastAsia="Times New Roman"/>
          <w:vanish/>
        </w:rPr>
        <w:t>4614ugi:PipelineMemberugi:UGIUtilitiesIncMemberus-gaap:OperatingSegmentsMember2019-10-012020-09-300000884614ugi:PipelineMemberugi:CorporateAndReconcilingItemsMember2019-10-012020-09-300000884614ugi:PeakingMember2019-10-012020-09-300000884614us-gaap:Interse</w:t>
      </w:r>
      <w:r>
        <w:rPr>
          <w:rFonts w:eastAsia="Times New Roman"/>
          <w:vanish/>
        </w:rPr>
        <w:t>gmentEliminationMemberugi:PeakingMember2019-10-012020-09-300000884614ugi:AmerigasPropaneMemberugi:PeakingMemberus-gaap:OperatingSegmentsMember2019-10-012020-09-300000884614ugi:UGIInternationalMemberugi:PeakingMemberus-gaap:OperatingSegmentsMember2019-10-01</w:t>
      </w:r>
      <w:r>
        <w:rPr>
          <w:rFonts w:eastAsia="Times New Roman"/>
          <w:vanish/>
        </w:rPr>
        <w:t>2020-09-300000884614ugi:MidstreamAndMarketingMemberugi:PeakingMemberus-gaap:OperatingSegmentsMember2019-10-012020-09-300000884614ugi:PeakingMemberugi:UGIUtilitiesIncMemberus-gaap:OperatingSegmentsMember2019-10-012020-09-300000884614ugi:PeakingMemberugi:Cor</w:t>
      </w:r>
      <w:r>
        <w:rPr>
          <w:rFonts w:eastAsia="Times New Roman"/>
          <w:vanish/>
        </w:rPr>
        <w:t>porateAndReconcilingItemsMember2019-10-012020-09-300000884614ugi:MidstreamOtherMember2019-10-012020-09-300000884614ugi:MidstreamOtherMemberus-gaap:IntersegmentEliminationMember2019-10-012020-09-300000884614ugi:MidstreamOtherMemberugi:AmerigasPropaneMemberu</w:t>
      </w:r>
      <w:r>
        <w:rPr>
          <w:rFonts w:eastAsia="Times New Roman"/>
          <w:vanish/>
        </w:rPr>
        <w:t>s-gaap:OperatingSegmentsMember2019-10-012020-09-300000884614ugi:MidstreamOtherMemberugi:UGIInternationalMemberus-gaap:OperatingSegmentsMember2019-10-012020-09-300000884614ugi:MidstreamOtherMemberugi:MidstreamAndMarketingMemberus-gaap:OperatingSegmentsMembe</w:t>
      </w:r>
      <w:r>
        <w:rPr>
          <w:rFonts w:eastAsia="Times New Roman"/>
          <w:vanish/>
        </w:rPr>
        <w:t>r2019-10-012020-09-300000884614ugi:MidstreamOtherMemberugi:UGIUtilitiesIncMemberus-gaap:OperatingSegmentsMember2019-10-012020-09-300000884614ugi:MidstreamOtherMemberugi:CorporateAndReconcilingItemsMember2019-10-012020-09-300000884614us-gaap:ElectricityGene</w:t>
      </w:r>
      <w:r>
        <w:rPr>
          <w:rFonts w:eastAsia="Times New Roman"/>
          <w:vanish/>
        </w:rPr>
        <w:t>rationMember2019-10-012020-09-300000884614us-gaap:IntersegmentEliminationMemberus-gaap:ElectricityGenerationMember2019-10-012020-09-300000884614ugi:AmerigasPropaneMemberus-gaap:ElectricityGenerationMemberus-gaap:OperatingSegmentsMember2019-10-012020-09-300</w:t>
      </w:r>
      <w:r>
        <w:rPr>
          <w:rFonts w:eastAsia="Times New Roman"/>
          <w:vanish/>
        </w:rPr>
        <w:t>000884614ugi:UGIInternationalMemberus-gaap:ElectricityGenerationMemberus-gaap:OperatingSegmentsMember2019-10-012020-09-300000884614ugi:MidstreamAndMarketingMemberus-gaap:ElectricityGenerationMemberus-gaap:OperatingSegmentsMember2019-10-012020-09-3000008846</w:t>
      </w:r>
      <w:r>
        <w:rPr>
          <w:rFonts w:eastAsia="Times New Roman"/>
          <w:vanish/>
        </w:rPr>
        <w:t>14us-gaap:ElectricityGenerationMemberugi:UGIUtilitiesIncMemberus-gaap:OperatingSegmentsMember2019-10-012020-09-300000884614us-gaap:ElectricityGenerationMemberugi:CorporateAndReconcilingItemsMember2019-10-012020-09-300000884614ugi:NonutilityOtherMember2019-</w:t>
      </w:r>
      <w:r>
        <w:rPr>
          <w:rFonts w:eastAsia="Times New Roman"/>
          <w:vanish/>
        </w:rPr>
        <w:t>10-012020-09-300000884614ugi:NonutilityOtherMemberus-gaap:IntersegmentEliminationMember2019-10-012020-09-300000884614ugi:NonutilityOtherMemberugi:AmerigasPropaneMemberus-gaap:OperatingSegmentsMember2019-10-012020-09-300000884614ugi:NonutilityOtherMemberugi</w:t>
      </w:r>
      <w:r>
        <w:rPr>
          <w:rFonts w:eastAsia="Times New Roman"/>
          <w:vanish/>
        </w:rPr>
        <w:t>:UGIInternationalMemberus-gaap:OperatingSegmentsMember2019-10-012020-09-300000884614ugi:NonutilityOtherMemberugi:MidstreamAndMarketingMemberus-gaap:OperatingSegmentsMember2019-10-012020-09-300000884614ugi:NonutilityOtherMemberugi:UGIUtilitiesIncMemberus-ga</w:t>
      </w:r>
      <w:r>
        <w:rPr>
          <w:rFonts w:eastAsia="Times New Roman"/>
          <w:vanish/>
        </w:rPr>
        <w:t>ap:OperatingSegmentsMember2019-10-012020-09-300000884614ugi:NonutilityOtherMemberugi:CorporateAndReconcilingItemsMember2019-10-012020-09-300000884614ugi:NonutilityMember2019-10-012020-09-300000884614ugi:NonutilityMemberus-gaap:IntersegmentEliminationMember</w:t>
      </w:r>
      <w:r>
        <w:rPr>
          <w:rFonts w:eastAsia="Times New Roman"/>
          <w:vanish/>
        </w:rPr>
        <w:t>2019-10-012020-09-300000884614ugi:NonutilityMemberugi:AmerigasPropaneMemberus-gaap:OperatingSegmentsMember2019-10-012020-09-300000884614ugi:NonutilityMemberugi:UGIInternationalMemberus-gaap:OperatingSegmentsMember2019-10-012020-09-300000884614ugi:Nonutilit</w:t>
      </w:r>
      <w:r>
        <w:rPr>
          <w:rFonts w:eastAsia="Times New Roman"/>
          <w:vanish/>
        </w:rPr>
        <w:t>yMemberugi:MidstreamAndMarketingMemberus-gaap:OperatingSegmentsMember2019-10-012020-09-300000884614ugi:NonutilityMemberugi:UGIUtilitiesIncMemberus-gaap:OperatingSegmentsMember2019-10-012020-09-300000884614ugi:NonutilityMemberugi:CorporateAndReconcilingItem</w:t>
      </w:r>
      <w:r>
        <w:rPr>
          <w:rFonts w:eastAsia="Times New Roman"/>
          <w:vanish/>
        </w:rPr>
        <w:t>sMember2019-10-012020-09-300000884614us-gaap:IntersegmentEliminationMember2019-10-012020-09-300000884614ugi:AmerigasPropaneMemberus-gaap:OperatingSegmentsMember2019-10-012020-09-300000884614ugi:UGIInternationalMemberus-gaap:OperatingSegmentsMember2019-10-0</w:t>
      </w:r>
      <w:r>
        <w:rPr>
          <w:rFonts w:eastAsia="Times New Roman"/>
          <w:vanish/>
        </w:rPr>
        <w:t>12020-09-300000884614ugi:MidstreamAndMarketingMemberus-gaap:OperatingSegmentsMember2019-10-012020-09-300000884614ugi:UGIUtilitiesIncMemberus-gaap:OperatingSegmentsMember2019-10-012020-09-300000884614ugi:CorporateAndReconcilingItemsMember2019-10-012020-09-3</w:t>
      </w:r>
      <w:r>
        <w:rPr>
          <w:rFonts w:eastAsia="Times New Roman"/>
          <w:vanish/>
        </w:rPr>
        <w:t>00000884614ugi:ResidentialMember2018-10-012019-09-300000884614ugi:ResidentialMemberus-gaap:IntersegmentEliminationMember2018-10-012019-09-300000884614ugi:AmerigasPropaneMemberugi:ResidentialMemberus-gaap:OperatingSegmentsMember2018-10-012019-09-30000088461</w:t>
      </w:r>
      <w:r>
        <w:rPr>
          <w:rFonts w:eastAsia="Times New Roman"/>
          <w:vanish/>
        </w:rPr>
        <w:t>4ugi:ResidentialMemberugi:UGIInternationalMemberus-gaap:OperatingSegmentsMember2018-10-012019-09-300000884614ugi:ResidentialMemberugi:MidstreamAndMarketingMemberus-gaap:OperatingSegmentsMember2018-10-012019-09-300000884614ugi:ResidentialMemberugi:UGIUtilit</w:t>
      </w:r>
      <w:r>
        <w:rPr>
          <w:rFonts w:eastAsia="Times New Roman"/>
          <w:vanish/>
        </w:rPr>
        <w:t>iesIncMemberus-gaap:OperatingSegmentsMember2018-10-012019-09-300000884614ugi:ResidentialMemberugi:CorporateAndReconcilingItemsMember2018-10-012019-09-300000884614ugi:CommercialandIndustrialMember2018-10-012019-09-300000884614ugi:CommercialandIndustrialMemb</w:t>
      </w:r>
      <w:r>
        <w:rPr>
          <w:rFonts w:eastAsia="Times New Roman"/>
          <w:vanish/>
        </w:rPr>
        <w:t>erus-gaap:IntersegmentEliminationMember2018-10-012019-09-300000884614ugi:CommercialandIndustrialMemberugi:AmerigasPropaneMemberus-gaap:OperatingSegmentsMember2018-10-012019-09-300000884614ugi:CommercialandIndustrialMemberugi:UGIInternationalMemberus-gaap:O</w:t>
      </w:r>
      <w:r>
        <w:rPr>
          <w:rFonts w:eastAsia="Times New Roman"/>
          <w:vanish/>
        </w:rPr>
        <w:t>peratingSegmentsMember2018-10-012019-09-300000884614ugi:CommercialandIndustrialMemberugi:MidstreamAndMarketingMemberus-gaap:OperatingSegmentsMember2018-10-012019-09-300000884614ugi:CommercialandIndustrialMemberugi:UGIUtilitiesIncMemberus-gaap:OperatingSegm</w:t>
      </w:r>
      <w:r>
        <w:rPr>
          <w:rFonts w:eastAsia="Times New Roman"/>
          <w:vanish/>
        </w:rPr>
        <w:t>entsMember2018-10-012019-09-300000884614ugi:CommercialandIndustrialMemberugi:CorporateAndReconcilingItemsMember2018-10-012019-09-300000884614ugi:LargeDeliveryServiceMember2018-10-012019-09-300000884614ugi:LargeDeliveryServiceMemberus-gaap:IntersegmentElimi</w:t>
      </w:r>
      <w:r>
        <w:rPr>
          <w:rFonts w:eastAsia="Times New Roman"/>
          <w:vanish/>
        </w:rPr>
        <w:t>nationMember2018-10-012019-09-300000884614ugi:LargeDeliveryServiceMemberugi:AmerigasPropaneMemberus-gaap:OperatingSegmentsMember2018-10-012019-09-300000884614ugi:LargeDeliveryServiceMemberugi:UGIInternationalMemberus-gaap:OperatingSegmentsMember2018-10-012</w:t>
      </w:r>
      <w:r>
        <w:rPr>
          <w:rFonts w:eastAsia="Times New Roman"/>
          <w:vanish/>
        </w:rPr>
        <w:t>019-09-300000884614ugi:LargeDeliveryServiceMemberugi:MidstreamAndMarketingMemberus-gaap:OperatingSegmentsMember2018-10-012019-09-300000884614ugi:LargeDeliveryServiceMemberugi:UGIUtilitiesIncMemberus-gaap:OperatingSegmentsMember2018-10-012019-09-30000088461</w:t>
      </w:r>
      <w:r>
        <w:rPr>
          <w:rFonts w:eastAsia="Times New Roman"/>
          <w:vanish/>
        </w:rPr>
        <w:t>4ugi:LargeDeliveryServiceMemberugi:CorporateAndReconcilingItemsMember2018-10-012019-09-300000884614ugi:OffSystemSalesandCapacityReleasesMember2018-10-012019-09-300000884614us-gaap:IntersegmentEliminationMemberugi:OffSystemSalesandCapacityReleasesMember2018</w:t>
      </w:r>
      <w:r>
        <w:rPr>
          <w:rFonts w:eastAsia="Times New Roman"/>
          <w:vanish/>
        </w:rPr>
        <w:t>-10-012019-09-300000884614ugi:AmerigasPropaneMemberugi:OffSystemSalesandCapacityReleasesMemberus-gaap:OperatingSegmentsMember2018-10-012019-09-300000884614ugi:UGIInternationalMemberugi:OffSystemSalesandCapacityReleasesMemberus-gaap:OperatingSegmentsMember2</w:t>
      </w:r>
      <w:r>
        <w:rPr>
          <w:rFonts w:eastAsia="Times New Roman"/>
          <w:vanish/>
        </w:rPr>
        <w:t>018-10-012019-09-300000884614ugi:MidstreamAndMarketingMemberugi:OffSystemSalesandCapacityReleasesMemberus-gaap:OperatingSegmentsMember2018-10-012019-09-300000884614ugi:OffSystemSalesandCapacityReleasesMemberugi:UGIUtilitiesIncMemberus-gaap:OperatingSegment</w:t>
      </w:r>
      <w:r>
        <w:rPr>
          <w:rFonts w:eastAsia="Times New Roman"/>
          <w:vanish/>
        </w:rPr>
        <w:t>sMember2018-10-012019-09-300000884614ugi:OffSystemSalesandCapacityReleasesMemberugi:CorporateAndReconcilingItemsMember2018-10-012019-09-300000884614ugi:UtilityOtherMember2018-10-012019-09-300000884614us-gaap:IntersegmentEliminationMemberugi:UtilityOtherMem</w:t>
      </w:r>
      <w:r>
        <w:rPr>
          <w:rFonts w:eastAsia="Times New Roman"/>
          <w:vanish/>
        </w:rPr>
        <w:t>ber2018-10-012019-09-300000884614ugi:AmerigasPropaneMemberugi:UtilityOtherMemberus-gaap:OperatingSegmentsMember2018-10-012019-09-300000884614ugi:UGIInternationalMemberugi:UtilityOtherMemberus-gaap:OperatingSegmentsMember2018-10-012019-09-300000884614ugi:Mi</w:t>
      </w:r>
      <w:r>
        <w:rPr>
          <w:rFonts w:eastAsia="Times New Roman"/>
          <w:vanish/>
        </w:rPr>
        <w:t>dstreamAndMarketingMemberugi:UtilityOtherMemberus-gaap:OperatingSegmentsMember2018-10-012019-09-300000884614ugi:UtilityOtherMemberugi:UGIUtilitiesIncMemberus-gaap:OperatingSegmentsMember2018-10-012019-09-300000884614ugi:UtilityOtherMemberugi:CorporateAndRe</w:t>
      </w:r>
      <w:r>
        <w:rPr>
          <w:rFonts w:eastAsia="Times New Roman"/>
          <w:vanish/>
        </w:rPr>
        <w:t>concilingItemsMember2018-10-012019-09-300000884614ugi:UtilityMember2018-10-012019-09-300000884614us-gaap:IntersegmentEliminationMemberugi:UtilityMember2018-10-012019-09-300000884614ugi:AmerigasPropaneMemberus-gaap:OperatingSegmentsMemberugi:UtilityMember20</w:t>
      </w:r>
      <w:r>
        <w:rPr>
          <w:rFonts w:eastAsia="Times New Roman"/>
          <w:vanish/>
        </w:rPr>
        <w:t>18-10-012019-09-300000884614ugi:UGIInternationalMemberus-gaap:OperatingSegmentsMemberugi:UtilityMember2018-10-012019-09-300000884614ugi:MidstreamAndMarketingMemberus-gaap:OperatingSegmentsMemberugi:UtilityMember2018-10-012019-09-300000884614ugi:UGIUtilitie</w:t>
      </w:r>
      <w:r>
        <w:rPr>
          <w:rFonts w:eastAsia="Times New Roman"/>
          <w:vanish/>
        </w:rPr>
        <w:t>sIncMemberus-gaap:OperatingSegmentsMemberugi:UtilityMember2018-10-012019-09-300000884614ugi:UtilityMemberugi:CorporateAndReconcilingItemsMember2018-10-012019-09-300000884614us-gaap:RetailMember2018-10-012019-09-300000884614us-gaap:IntersegmentEliminationMe</w:t>
      </w:r>
      <w:r>
        <w:rPr>
          <w:rFonts w:eastAsia="Times New Roman"/>
          <w:vanish/>
        </w:rPr>
        <w:t>mberus-gaap:RetailMember2018-10-012019-09-300000884614ugi:AmerigasPropaneMemberus-gaap:RetailMemberus-gaap:OperatingSegmentsMember2018-10-012019-09-300000884614us-gaap:RetailMemberugi:UGIInternationalMemberus-gaap:OperatingSegmentsMember2018-10-012019-09-3</w:t>
      </w:r>
      <w:r>
        <w:rPr>
          <w:rFonts w:eastAsia="Times New Roman"/>
          <w:vanish/>
        </w:rPr>
        <w:t>00000884614us-gaap:RetailMemberugi:MidstreamAndMarketingMemberus-gaap:OperatingSegmentsMember2018-10-012019-09-300000884614us-gaap:RetailMemberugi:UGIUtilitiesIncMemberus-gaap:OperatingSegmentsMember2018-10-012019-09-300000884614us-gaap:RetailMemberugi:Cor</w:t>
      </w:r>
      <w:r>
        <w:rPr>
          <w:rFonts w:eastAsia="Times New Roman"/>
          <w:vanish/>
        </w:rPr>
        <w:t>porateAndReconcilingItemsMember2018-10-012019-09-300000884614ugi:WholesaleMember2018-10-012019-09-300000884614us-gaap:IntersegmentEliminationMemberugi:WholesaleMember2018-10-012019-09-300000884614ugi:AmerigasPropaneMemberus-gaap:OperatingSegmentsMemberugi:</w:t>
      </w:r>
      <w:r>
        <w:rPr>
          <w:rFonts w:eastAsia="Times New Roman"/>
          <w:vanish/>
        </w:rPr>
        <w:t>WholesaleMember2018-10-012019-09-300000884614ugi:UGIInternationalMemberus-gaap:OperatingSegmentsMemberugi:WholesaleMember2018-10-012019-09-300000884614ugi:MidstreamAndMarketingMemberus-gaap:OperatingSegmentsMemberugi:WholesaleMember2018-10-012019-09-300000</w:t>
      </w:r>
      <w:r>
        <w:rPr>
          <w:rFonts w:eastAsia="Times New Roman"/>
          <w:vanish/>
        </w:rPr>
        <w:t>884614ugi:UGIUtilitiesIncMemberus-gaap:OperatingSegmentsMemberugi:WholesaleMember2018-10-012019-09-300000884614ugi:WholesaleMemberugi:CorporateAndReconcilingItemsMember2018-10-012019-09-300000884614ugi:EnergyMarketingMember2018-10-012019-09-300000884614us-</w:t>
      </w:r>
      <w:r>
        <w:rPr>
          <w:rFonts w:eastAsia="Times New Roman"/>
          <w:vanish/>
        </w:rPr>
        <w:t>gaap:IntersegmentEliminationMemberugi:EnergyMarketingMember2018-10-012019-09-300000884614ugi:AmerigasPropaneMemberugi:EnergyMarketingMemberus-gaap:OperatingSegmentsMember2018-10-012019-09-300000884614ugi:UGIInternationalMemberugi:EnergyMarketingMemberus-ga</w:t>
      </w:r>
      <w:r>
        <w:rPr>
          <w:rFonts w:eastAsia="Times New Roman"/>
          <w:vanish/>
        </w:rPr>
        <w:t>ap:OperatingSegmentsMember2018-10-012019-09-300000884614ugi:MidstreamAndMarketingMemberugi:EnergyMarketingMemberus-gaap:OperatingSegmentsMember2018-10-012019-09-300000884614ugi:EnergyMarketingMemberugi:UGIUtilitiesIncMemberus-gaap:OperatingSegmentsMember20</w:t>
      </w:r>
      <w:r>
        <w:rPr>
          <w:rFonts w:eastAsia="Times New Roman"/>
          <w:vanish/>
        </w:rPr>
        <w:t>18-10-012019-09-300000884614ugi:EnergyMarketingMemberugi:CorporateAndReconcilingItemsMember2018-10-012019-09-300000884614ugi:PipelineMember2018-10-012019-09-300000884614ugi:PipelineMemberus-gaap:IntersegmentEliminationMember2018-10-012019-09-300000884614ug</w:t>
      </w:r>
      <w:r>
        <w:rPr>
          <w:rFonts w:eastAsia="Times New Roman"/>
          <w:vanish/>
        </w:rPr>
        <w:t>i:PipelineMemberugi:AmerigasPropaneMemberus-gaap:OperatingSegmentsMember2018-10-012019-09-300000884614ugi:PipelineMemberugi:UGIInternationalMemberus-gaap:OperatingSegmentsMember2018-10-012019-09-300000884614ugi:PipelineMemberugi:MidstreamAndMarketingMember</w:t>
      </w:r>
      <w:r>
        <w:rPr>
          <w:rFonts w:eastAsia="Times New Roman"/>
          <w:vanish/>
        </w:rPr>
        <w:t>us-gaap:OperatingSegmentsMember2018-10-012019-09-300000884614ugi:PipelineMemberugi:UGIUtilitiesIncMemberus-gaap:OperatingSegmentsMember2018-10-012019-09-300000884614ugi:PipelineMemberugi:CorporateAndReconcilingItemsMember2018-10-012019-09-300000884614ugi:P</w:t>
      </w:r>
      <w:r>
        <w:rPr>
          <w:rFonts w:eastAsia="Times New Roman"/>
          <w:vanish/>
        </w:rPr>
        <w:t>eakingMember2018-10-012019-09-300000884614us-gaap:IntersegmentEliminationMemberugi:PeakingMember2018-10-012019-09-300000884614ugi:AmerigasPropaneMemberugi:PeakingMemberus-gaap:OperatingSegmentsMember2018-10-012019-09-300000884614ugi:UGIInternationalMemberu</w:t>
      </w:r>
      <w:r>
        <w:rPr>
          <w:rFonts w:eastAsia="Times New Roman"/>
          <w:vanish/>
        </w:rPr>
        <w:t>gi:PeakingMemberus-gaap:OperatingSegmentsMember2018-10-012019-09-300000884614ugi:MidstreamAndMarketingMemberugi:PeakingMemberus-gaap:OperatingSegmentsMember2018-10-012019-09-300000884614ugi:PeakingMemberugi:UGIUtilitiesIncMemberus-gaap:OperatingSegmentsMem</w:t>
      </w:r>
      <w:r>
        <w:rPr>
          <w:rFonts w:eastAsia="Times New Roman"/>
          <w:vanish/>
        </w:rPr>
        <w:t>ber2018-10-012019-09-300000884614ugi:PeakingMemberugi:CorporateAndReconcilingItemsMember2018-10-012019-09-300000884614ugi:MidstreamOtherMember2018-10-012019-09-300000884614ugi:MidstreamOtherMemberus-gaap:IntersegmentEliminationMember2018-10-012019-09-30000</w:t>
      </w:r>
      <w:r>
        <w:rPr>
          <w:rFonts w:eastAsia="Times New Roman"/>
          <w:vanish/>
        </w:rPr>
        <w:t>0884614ugi:MidstreamOtherMemberugi:AmerigasPropaneMemberus-gaap:OperatingSegmentsMember2018-10-012019-09-300000884614ugi:MidstreamOtherMemberugi:UGIInternationalMemberus-gaap:OperatingSegmentsMember2018-10-012019-09-300000884614ugi:MidstreamOtherMemberugi:</w:t>
      </w:r>
      <w:r>
        <w:rPr>
          <w:rFonts w:eastAsia="Times New Roman"/>
          <w:vanish/>
        </w:rPr>
        <w:t>MidstreamAndMarketingMemberus-gaap:OperatingSegmentsMember2018-10-012019-09-300000884614ugi:MidstreamOtherMemberugi:UGIUtilitiesIncMemberus-gaap:OperatingSegmentsMember2018-10-012019-09-300000884614ugi:MidstreamOtherMemberugi:CorporateAndReconcilingItemsMe</w:t>
      </w:r>
      <w:r>
        <w:rPr>
          <w:rFonts w:eastAsia="Times New Roman"/>
          <w:vanish/>
        </w:rPr>
        <w:t>mber2018-10-012019-09-300000884614us-gaap:ElectricityGenerationMember2018-10-012019-09-300000884614us-gaap:IntersegmentEliminationMemberus-gaap:ElectricityGenerationMember2018-10-012019-09-300000884614ugi:AmerigasPropaneMemberus-gaap:ElectricityGenerationM</w:t>
      </w:r>
      <w:r>
        <w:rPr>
          <w:rFonts w:eastAsia="Times New Roman"/>
          <w:vanish/>
        </w:rPr>
        <w:t>emberus-gaap:OperatingSegmentsMember2018-10-012019-09-300000884614ugi:UGIInternationalMemberus-gaap:ElectricityGenerationMemberus-gaap:OperatingSegmentsMember2018-10-012019-09-300000884614ugi:MidstreamAndMarketingMemberus-gaap:ElectricityGenerationMemberus</w:t>
      </w:r>
      <w:r>
        <w:rPr>
          <w:rFonts w:eastAsia="Times New Roman"/>
          <w:vanish/>
        </w:rPr>
        <w:t>-gaap:OperatingSegmentsMember2018-10-012019-09-300000884614us-gaap:ElectricityGenerationMemberugi:UGIUtilitiesIncMemberus-gaap:OperatingSegmentsMember2018-10-012019-09-300000884614us-gaap:ElectricityGenerationMemberugi:CorporateAndReconcilingItemsMember201</w:t>
      </w:r>
      <w:r>
        <w:rPr>
          <w:rFonts w:eastAsia="Times New Roman"/>
          <w:vanish/>
        </w:rPr>
        <w:t>8-10-012019-09-300000884614ugi:NonutilityOtherMember2018-10-012019-09-300000884614ugi:NonutilityOtherMemberus-gaap:IntersegmentEliminationMember2018-10-012019-09-300000884614ugi:NonutilityOtherMemberugi:AmerigasPropaneMemberus-gaap:OperatingSegmentsMember2</w:t>
      </w:r>
      <w:r>
        <w:rPr>
          <w:rFonts w:eastAsia="Times New Roman"/>
          <w:vanish/>
        </w:rPr>
        <w:t>018-10-012019-09-300000884614ugi:NonutilityOtherMemberugi:UGIInternationalMemberus-gaap:OperatingSegmentsMember2018-10-012019-09-300000884614ugi:NonutilityOtherMemberugi:MidstreamAndMarketingMemberus-gaap:OperatingSegmentsMember2018-10-012019-09-3000008846</w:t>
      </w:r>
      <w:r>
        <w:rPr>
          <w:rFonts w:eastAsia="Times New Roman"/>
          <w:vanish/>
        </w:rPr>
        <w:t>14ugi:NonutilityOtherMemberugi:UGIUtilitiesIncMemberus-gaap:OperatingSegmentsMember2018-10-012019-09-300000884614ugi:NonutilityOtherMemberugi:CorporateAndReconcilingItemsMember2018-10-012019-09-300000884614ugi:NonutilityMember2018-10-012019-09-300000884614</w:t>
      </w:r>
      <w:r>
        <w:rPr>
          <w:rFonts w:eastAsia="Times New Roman"/>
          <w:vanish/>
        </w:rPr>
        <w:t>ugi:NonutilityMemberus-gaap:IntersegmentEliminationMember2018-10-012019-09-300000884614ugi:NonutilityMemberugi:AmerigasPropaneMemberus-gaap:OperatingSegmentsMember2018-10-012019-09-300000884614ugi:NonutilityMemberugi:UGIInternationalMemberus-gaap:Operating</w:t>
      </w:r>
      <w:r>
        <w:rPr>
          <w:rFonts w:eastAsia="Times New Roman"/>
          <w:vanish/>
        </w:rPr>
        <w:t>SegmentsMember2018-10-012019-09-300000884614ugi:NonutilityMemberugi:MidstreamAndMarketingMemberus-gaap:OperatingSegmentsMember2018-10-012019-09-300000884614ugi:NonutilityMemberugi:UGIUtilitiesIncMemberus-gaap:OperatingSegmentsMember2018-10-012019-09-300000</w:t>
      </w:r>
      <w:r>
        <w:rPr>
          <w:rFonts w:eastAsia="Times New Roman"/>
          <w:vanish/>
        </w:rPr>
        <w:t>884614ugi:NonutilityMemberugi:CorporateAndReconcilingItemsMember2018-10-012019-09-300000884614us-gaap:IntersegmentEliminationMember2018-10-012019-09-300000884614ugi:AmerigasPropaneMemberus-gaap:OperatingSegmentsMember2018-10-012019-09-300000884614ugi:UGIIn</w:t>
      </w:r>
      <w:r>
        <w:rPr>
          <w:rFonts w:eastAsia="Times New Roman"/>
          <w:vanish/>
        </w:rPr>
        <w:t>ternationalMemberus-gaap:OperatingSegmentsMember2018-10-012019-09-300000884614ugi:MidstreamAndMarketingMemberus-gaap:OperatingSegmentsMember2018-10-012019-09-300000884614ugi:UGIUtilitiesIncMemberus-gaap:OperatingSegmentsMember2018-10-012019-09-300000884614</w:t>
      </w:r>
      <w:r>
        <w:rPr>
          <w:rFonts w:eastAsia="Times New Roman"/>
          <w:vanish/>
        </w:rPr>
        <w:t>ugi:CorporateAndReconcilingItemsMember2018-10-012019-09-300000884614ugi:MidstreamAndMarketingMember2021-09-300000884614ugi:UGIUtilitiesIncMember2021-09-300000884614ugi:MountaineerMember2021-09-010000884614ugi:MountaineerMember2021-09-300000884614ugi:Merger</w:t>
      </w:r>
      <w:r>
        <w:rPr>
          <w:rFonts w:eastAsia="Times New Roman"/>
          <w:vanish/>
        </w:rPr>
        <w:t>SubMemberugi:MergerAgreementProposedConsiderationOneMemberus-gaap:CommonStockMember2019-08-212019-08-210000884614ugi:MergerSubMemberugi:CashWithoutInterestMemberugi:MergerAgreementProposedConsiderationTwoMember2019-08-212019-08-210000884614ugi:MergerSubMem</w:t>
      </w:r>
      <w:r>
        <w:rPr>
          <w:rFonts w:eastAsia="Times New Roman"/>
          <w:vanish/>
        </w:rPr>
        <w:t>berugi:MergerAgreementProposedConsiderationTwoMemberus-gaap:CommonStockMember2019-08-212019-08-210000884614ugi:MergerSubMemberugi:MergerAgreementProposedConsiderationThreeMemberugi:CashWithoutInterestMember2019-08-212019-08-210000884614ugi:MergerSubMember2</w:t>
      </w:r>
      <w:r>
        <w:rPr>
          <w:rFonts w:eastAsia="Times New Roman"/>
          <w:vanish/>
        </w:rPr>
        <w:t>019-08-210000884614ugi:MergerSubMember2019-09-300000884614srt:AffiliatedEntityMemberugi:CMGMemberugi:PennantMember2019-08-010000884614ugi:CMGMember2019-08-012019-08-010000884614ugi:CMGMember2019-08-010000884614us-gaap:CustomerRelationshipsMemberugi:CMGMemb</w:t>
      </w:r>
      <w:r>
        <w:rPr>
          <w:rFonts w:eastAsia="Times New Roman"/>
          <w:vanish/>
        </w:rPr>
        <w:t>er2019-08-012019-08-010000884614ugi:CMGMember2019-09-300000884614ugi:UGIInternationalMember2020-10-012021-09-300000884614ugi:MidstreamAndMarketingMember2019-10-012020-09-300000884614ugi:UGIInternationalMember2018-10-012019-09-300000884614ugi:MidstreamAndMa</w:t>
      </w:r>
      <w:r>
        <w:rPr>
          <w:rFonts w:eastAsia="Times New Roman"/>
          <w:vanish/>
        </w:rPr>
        <w:t>rketingMember2018-10-012019-09-30utr:mi0000884614us-gaap:JointlyOwnedElectricityGenerationPlantMember2020-07-3100008846142020-04-012020-06-300000884614us-gaap:DisposalGroupHeldForSaleOrDisposedOfBySaleNotDiscontinuedOperationsMemberugi:HVACBusinessMember20</w:t>
      </w:r>
      <w:r>
        <w:rPr>
          <w:rFonts w:eastAsia="Times New Roman"/>
          <w:vanish/>
        </w:rPr>
        <w:t>20-07-012020-09-300000884614ugi:MountaineerMember2021-09-01ugi:extension0000884614ugi:MountaineerMember2021-09-012021-09-010000884614us-gaap:SeniorNotesMemberugi:UGIUtilitiesIncMemberugi:A159SeniorNotesDueJune2026Member2021-05-070000884614us-gaap:SeniorNot</w:t>
      </w:r>
      <w:r>
        <w:rPr>
          <w:rFonts w:eastAsia="Times New Roman"/>
          <w:vanish/>
        </w:rPr>
        <w:t>esMemberugi:UGIUtilitiesIncMemberugi:A164SeniorNotesDueSeptember2026Member2021-05-070000884614ugi:TermLoanMemberugi:UGICorporationSeniorCreditFacilityMember2021-05-032021-05-030000884614ugi:TermLoanMemberugi:UGICorporationSeniorCreditFacilityMember2021-05-</w:t>
      </w:r>
      <w:r>
        <w:rPr>
          <w:rFonts w:eastAsia="Times New Roman"/>
          <w:vanish/>
        </w:rPr>
        <w:t>030000884614ugi:TermLoanMemberugi:UGICorporationSeniorCreditFacilityMember2021-05-042021-05-040000884614ugi:TermLoanMemberugi:UGICorporationSeniorCreditFacilityMember2021-06-080000884614ugi:TermLoanMemberugi:UGICorporationSeniorCreditFacilityMember2021-06-</w:t>
      </w:r>
      <w:r>
        <w:rPr>
          <w:rFonts w:eastAsia="Times New Roman"/>
          <w:vanish/>
        </w:rPr>
        <w:t>090000884614us-gaap:LineOfCreditMemberus-gaap:PrimeRateMembersrt:MinimumMemberugi:UGICorporationSeniorCreditFacilityMember2021-05-042021-05-040000884614srt:MaximumMemberus-gaap:LineOfCreditMemberus-gaap:PrimeRateMemberugi:UGICorporationSeniorCreditFacility</w:t>
      </w:r>
      <w:r>
        <w:rPr>
          <w:rFonts w:eastAsia="Times New Roman"/>
          <w:vanish/>
        </w:rPr>
        <w:t>Member2021-05-042021-05-040000884614us-gaap:LondonInterbankOfferedRateLIBORMemberus-gaap:LineOfCreditMembersrt:MinimumMemberugi:UGICorporationSeniorCreditFacilityMember2021-05-042021-05-040000884614us-gaap:LondonInterbankOfferedRateLIBORMembersrt:MaximumMe</w:t>
      </w:r>
      <w:r>
        <w:rPr>
          <w:rFonts w:eastAsia="Times New Roman"/>
          <w:vanish/>
        </w:rPr>
        <w:t>mberus-gaap:LineOfCreditMemberugi:UGICorporationSeniorCreditFacilityMember2021-05-042021-05-040000884614ugi:AmeriGasOLPMember2021-09-30iso4217:EUR0000884614ugi:UGIInternationalLLCMember2021-09-300000884614ugi:EnergyServicesMember2021-09-300000884614ugi:UGI</w:t>
      </w:r>
      <w:r>
        <w:rPr>
          <w:rFonts w:eastAsia="Times New Roman"/>
          <w:vanish/>
        </w:rPr>
        <w:t>UtilitiesIncMember2021-09-300000884614ugi:MountaineerMember2021-09-300000884614ugi:UGICorporationMember2021-09-300000884614us-gaap:LineOfCreditMemberugi:UGICorporationMember2021-09-300000884614ugi:AmeriGasOLPMember2020-09-300000884614ugi:UGIInternationalLL</w:t>
      </w:r>
      <w:r>
        <w:rPr>
          <w:rFonts w:eastAsia="Times New Roman"/>
          <w:vanish/>
        </w:rPr>
        <w:t>CMember2020-09-300000884614ugi:EnergyServicesMember2020-09-300000884614ugi:UGIUtilitiesIncMember2020-09-300000884614ugi:UGICorporationMember2020-09-300000884614us-gaap:LineOfCreditMemberugi:AmeriGasOLPCreditAgreementMemberus-gaap:LetterOfCreditMemberugi:Am</w:t>
      </w:r>
      <w:r>
        <w:rPr>
          <w:rFonts w:eastAsia="Times New Roman"/>
          <w:vanish/>
        </w:rPr>
        <w:t>eriGasOLPMember2021-09-300000884614us-gaap:LineOfCreditMemberugi:EnergyServicesMemberugi:EnergyServicesCreditAgreementMemberus-gaap:LetterOfCreditMember2021-09-300000884614ugi:UGIUtilitiesIncCreditAgreementMemberus-gaap:LineOfCreditMemberugi:UGIUtilitiesIn</w:t>
      </w:r>
      <w:r>
        <w:rPr>
          <w:rFonts w:eastAsia="Times New Roman"/>
          <w:vanish/>
        </w:rPr>
        <w:t>cMemberus-gaap:LetterOfCreditMember2021-09-300000884614ugi:MountaineerMemberugi:MountaineerCreditAgreementMemberus-gaap:LineOfCreditMemberus-gaap:LetterOfCreditMember2021-09-300000884614us-gaap:LineOfCreditMemberugi:UGICorporationMemberus-gaap:SubsequentEv</w:t>
      </w:r>
      <w:r>
        <w:rPr>
          <w:rFonts w:eastAsia="Times New Roman"/>
          <w:vanish/>
        </w:rPr>
        <w:t>entMemberugi:UGICorporationSeniorCreditFacilityMember2021-10-012021-10-310000884614us-gaap:LineOfCreditMemberugi:UGICorporationMemberugi:UGICorporationSeniorCreditFacilityMember2020-10-012020-10-310000884614us-gaap:LineOfCreditMemberugi:UGICorporationMembe</w:t>
      </w:r>
      <w:r>
        <w:rPr>
          <w:rFonts w:eastAsia="Times New Roman"/>
          <w:vanish/>
        </w:rPr>
        <w:t>rus-gaap:LetterOfCreditMemberugi:UGICorporationSeniorCreditFacilityMember2021-09-300000884614ugi:EnergyServicesMemberugi:EnergyServicesAccountsReceivableSecuritizationFacilityMemberugi:ReceivablesFacilityMember2018-11-012019-04-300000884614ugi:EnergyServic</w:t>
      </w:r>
      <w:r>
        <w:rPr>
          <w:rFonts w:eastAsia="Times New Roman"/>
          <w:vanish/>
        </w:rPr>
        <w:t>esMemberugi:EnergyServicesAccountsReceivableSecuritizationFacilityMemberugi:ReceivablesFacilityMember2019-05-012019-10-310000884614ugi:EnergyServicesMemberugi:EnergyServicesAccountsReceivableSecuritizationFacilityMemberugi:ReceivablesFacilityMember2021-09-</w:t>
      </w:r>
      <w:r>
        <w:rPr>
          <w:rFonts w:eastAsia="Times New Roman"/>
          <w:vanish/>
        </w:rPr>
        <w:t>300000884614ugi:EnergyServicesMemberugi:EnergyServicesAccountsReceivableSecuritizationFacilityMemberugi:ReceivablesFacilityMember2020-09-300000884614ugi:EnergyServicesMemberugi:EnergyServicesAccountsReceivableSecuritizationFacilityMemberugi:ReceivablesFaci</w:t>
      </w:r>
      <w:r>
        <w:rPr>
          <w:rFonts w:eastAsia="Times New Roman"/>
          <w:vanish/>
        </w:rPr>
        <w:t>lityMember2019-09-300000884614ugi:EnergyServicesMemberugi:EnergyServicesAccountsReceivableSecuritizationFacilityMemberugi:ReceivablesFacilityMember2020-10-012021-09-300000884614ugi:EnergyServicesMemberugi:EnergyServicesAccountsReceivableSecuritizationFacil</w:t>
      </w:r>
      <w:r>
        <w:rPr>
          <w:rFonts w:eastAsia="Times New Roman"/>
          <w:vanish/>
        </w:rPr>
        <w:t>ityMemberugi:ReceivablesFacilityMember2019-10-012020-09-300000884614ugi:EnergyServicesMemberugi:EnergyServicesAccountsReceivableSecuritizationFacilityMemberugi:ReceivablesFacilityMember2018-10-012019-09-300000884614us-gaap:SeniorNotesMemberugi:A5.50SeniorN</w:t>
      </w:r>
      <w:r>
        <w:rPr>
          <w:rFonts w:eastAsia="Times New Roman"/>
          <w:vanish/>
        </w:rPr>
        <w:t>otesdueMay2025Memberugi:AmerigasPropaneMember2021-09-300000884614us-gaap:SeniorNotesMemberugi:A5.50SeniorNotesdueMay2025Memberugi:AmerigasPropaneMember2020-09-300000884614us-gaap:SeniorNotesMemberugi:AmerigasPropaneMemberugi:SeniorNotesDueAugust2026Member2</w:t>
      </w:r>
      <w:r>
        <w:rPr>
          <w:rFonts w:eastAsia="Times New Roman"/>
          <w:vanish/>
        </w:rPr>
        <w:t>021-09-300000884614us-gaap:SeniorNotesMemberugi:AmerigasPropaneMemberugi:SeniorNotesDueAugust2026Member2020-09-300000884614us-gaap:SeniorNotesMemberugi:SeniorNotesDueMay2024Memberugi:AmerigasPropaneMember2021-09-300000884614us-gaap:SeniorNotesMemberugi:Sen</w:t>
      </w:r>
      <w:r>
        <w:rPr>
          <w:rFonts w:eastAsia="Times New Roman"/>
          <w:vanish/>
        </w:rPr>
        <w:t>iorNotesDueMay2024Memberugi:AmerigasPropaneMember2020-09-300000884614us-gaap:SeniorNotesMemberugi:A5.75SeniorNotesDueMay2027Memberugi:AmerigasPropaneMember2021-09-300000884614us-gaap:SeniorNotesMemberugi:A5.75SeniorNotesDueMay2027Memberugi:AmerigasPropaneM</w:t>
      </w:r>
      <w:r>
        <w:rPr>
          <w:rFonts w:eastAsia="Times New Roman"/>
          <w:vanish/>
        </w:rPr>
        <w:t>ember2020-09-300000884614ugi:AmerigasPropaneMemberugi:OtherNotesMember2021-09-300000884614ugi:AmerigasPropaneMemberugi:OtherNotesMember2020-09-300000884614ugi:AmerigasPropaneMember2021-09-300000884614ugi:AmerigasPropaneMember2020-09-300000884614us-gaap:Sen</w:t>
      </w:r>
      <w:r>
        <w:rPr>
          <w:rFonts w:eastAsia="Times New Roman"/>
          <w:vanish/>
        </w:rPr>
        <w:t>iorNotesMemberugi:UGIInternationalMemberugi:A3.25SeniorNotesdueNovember2025Member2021-09-300000884614us-gaap:SeniorNotesMemberugi:UGIInternationalMemberugi:A3.25SeniorNotesdueNovember2025Member2020-09-300000884614ugi:UGIInternationalMemberugi:TermLoanMembe</w:t>
      </w:r>
      <w:r>
        <w:rPr>
          <w:rFonts w:eastAsia="Times New Roman"/>
          <w:vanish/>
        </w:rPr>
        <w:t>rugi:VariableRateMember2021-09-300000884614ugi:UGIInternationalMemberugi:TermLoanMemberugi:VariableRateMember2020-09-300000884614ugi:OtherBusinessesMemberugi:OtherNotesMemberugi:OtherNotesMember2021-09-300000884614ugi:OtherBusinessesMemberugi:OtherNotesMem</w:t>
      </w:r>
      <w:r>
        <w:rPr>
          <w:rFonts w:eastAsia="Times New Roman"/>
          <w:vanish/>
        </w:rPr>
        <w:t>berugi:OtherNotesMember2020-09-300000884614ugi:UGIInternationalMember2021-09-300000884614ugi:UGIInternationalMember2020-09-300000884614ugi:MidstreamAndMarketingMemberugi:TermLoanMemberugi:VariableRateMember2021-09-300000884614ugi:MidstreamAndMarketingMembe</w:t>
      </w:r>
      <w:r>
        <w:rPr>
          <w:rFonts w:eastAsia="Times New Roman"/>
          <w:vanish/>
        </w:rPr>
        <w:t>rugi:TermLoanMemberugi:VariableRateMember2020-09-300000884614ugi:MidstreamAndMarketingMemberugi:OtherNotesMemberugi:OtherNotesMember2021-09-300000884614ugi:MidstreamAndMarketingMemberugi:OtherNotesMemberugi:OtherNotesMember2020-09-300000884614ugi:Midstream</w:t>
      </w:r>
      <w:r>
        <w:rPr>
          <w:rFonts w:eastAsia="Times New Roman"/>
          <w:vanish/>
        </w:rPr>
        <w:t>AndMarketingMember2021-09-300000884614ugi:MidstreamAndMarketingMember2020-09-300000884614us-gaap:SeniorNotesMemberugi:SeniorNotesdueSeptember2046Memberugi:UGIUtilitiesIncMember2021-09-300000884614us-gaap:SeniorNotesMemberugi:SeniorNotesdueSeptember2046Memb</w:t>
      </w:r>
      <w:r>
        <w:rPr>
          <w:rFonts w:eastAsia="Times New Roman"/>
          <w:vanish/>
        </w:rPr>
        <w:t>erugi:UGIUtilitiesIncMember2020-09-300000884614us-gaap:SeniorNotesMemberugi:FourPointNintyEightPercentSeniorNoteMemberugi:UGIUtilitiesIncMember2021-09-300000884614us-gaap:SeniorNotesMemberugi:FourPointNintyEightPercentSeniorNoteMemberugi:UGIUtilitiesIncMem</w:t>
      </w:r>
      <w:r>
        <w:rPr>
          <w:rFonts w:eastAsia="Times New Roman"/>
          <w:vanish/>
        </w:rPr>
        <w:t>ber2020-09-300000884614us-gaap:SeniorNotesMemberugi:UGIUtilitiesIncMemberugi:SeniorNotesDueSeptember2050Member2021-09-300000884614us-gaap:SeniorNotesMemberugi:UGIUtilitiesIncMemberugi:SeniorNotesDueSeptember2050Member2020-09-300000884614us-gaap:SeniorNotes</w:t>
      </w:r>
      <w:r>
        <w:rPr>
          <w:rFonts w:eastAsia="Times New Roman"/>
          <w:vanish/>
        </w:rPr>
        <w:t>Memberugi:UGIUtilitiesIncMemberugi:FourPointFiftyFivePercentSeniorNoteMember2021-09-300000884614us-gaap:SeniorNotesMemberugi:UGIUtilitiesIncMemberugi:FourPointFiftyFivePercentSeniorNoteMember2020-09-300000884614us-gaap:SeniorNotesMemberugi:UGIUtilitiesIncM</w:t>
      </w:r>
      <w:r>
        <w:rPr>
          <w:rFonts w:eastAsia="Times New Roman"/>
          <w:vanish/>
        </w:rPr>
        <w:t>emberugi:SeniorNotesdueOctober2046Member2021-09-300000884614us-gaap:SeniorNotesMemberugi:UGIUtilitiesIncMemberugi:SeniorNotesdueOctober2046Member2020-09-300000884614us-gaap:SeniorNotesMemberugi:UGIUtilitiesIncMemberugi:SeniorNotesDueSeptember2036Member2021</w:t>
      </w:r>
      <w:r>
        <w:rPr>
          <w:rFonts w:eastAsia="Times New Roman"/>
          <w:vanish/>
        </w:rPr>
        <w:t>-09-300000884614us-gaap:SeniorNotesMemberugi:UGIUtilitiesIncMemberugi:SeniorNotesDueSeptember2036Member2020-09-300000884614us-gaap:SeniorNotesMemberugi:UGIUtilitiesIncMemberugi:A295SeniorNotesDueJune2026Member2021-09-300000884614us-gaap:SeniorNotesMemberug</w:t>
      </w:r>
      <w:r>
        <w:rPr>
          <w:rFonts w:eastAsia="Times New Roman"/>
          <w:vanish/>
        </w:rPr>
        <w:t>i:UGIUtilitiesIncMemberugi:A295SeniorNotesDueJune2026Member2020-09-300000884614us-gaap:SeniorNotesMemberugi:UGIUtilitiesIncMemberugi:A159SeniorNotesDueJune2026Member2021-09-300000884614us-gaap:SeniorNotesMemberugi:UGIUtilitiesIncMemberugi:A159SeniorNotesDu</w:t>
      </w:r>
      <w:r>
        <w:rPr>
          <w:rFonts w:eastAsia="Times New Roman"/>
          <w:vanish/>
        </w:rPr>
        <w:t>eJune2026Member2020-09-300000884614us-gaap:SeniorNotesMemberugi:UGIUtilitiesIncMemberugi:A164SeniorNotesDueSeptember2026Member2021-09-300000884614us-gaap:SeniorNotesMemberugi:UGIUtilitiesIncMemberugi:A164SeniorNotesDueSeptember2026Member2020-09-30000088461</w:t>
      </w:r>
      <w:r>
        <w:rPr>
          <w:rFonts w:eastAsia="Times New Roman"/>
          <w:vanish/>
        </w:rPr>
        <w:t>4us-gaap:MediumTermNotesMemberugi:UGIUtilitiesIncMemberugi:MediumTermNotesDueOctober2034Member2021-09-300000884614us-gaap:MediumTermNotesMemberugi:UGIUtilitiesIncMemberugi:MediumTermNotesDueOctober2034Member2020-09-300000884614us-gaap:MediumTermNotesMember</w:t>
      </w:r>
      <w:r>
        <w:rPr>
          <w:rFonts w:eastAsia="Times New Roman"/>
          <w:vanish/>
        </w:rPr>
        <w:t>ugi:UGIUtilitiesIncMemberugi:MediumTermNotesAugust2033Member2021-09-300000884614us-gaap:MediumTermNotesMemberugi:UGIUtilitiesIncMemberugi:MediumTermNotesAugust2033Member2020-09-300000884614ugi:UGIUtilitiesIncMemberugi:MountaineerSeniorNotesMember2021-09-30</w:t>
      </w:r>
      <w:r>
        <w:rPr>
          <w:rFonts w:eastAsia="Times New Roman"/>
          <w:vanish/>
        </w:rPr>
        <w:t>0000884614ugi:UGIUtilitiesIncMemberugi:MountaineerSeniorNotesMember2020-09-300000884614ugi:TermLoanMemberugi:UGIUtilitiesIncMemberugi:VariableRateMember2021-09-300000884614ugi:TermLoanMemberugi:UGIUtilitiesIncMemberugi:VariableRateMember2020-09-30000088461</w:t>
      </w:r>
      <w:r>
        <w:rPr>
          <w:rFonts w:eastAsia="Times New Roman"/>
          <w:vanish/>
        </w:rPr>
        <w:t>4ugi:UGIUtilitiesIncMemberugi:OtherNotesMemberugi:OtherNotesMember2021-09-300000884614ugi:UGIUtilitiesIncMemberugi:OtherNotesMemberugi:OtherNotesMember2020-09-300000884614us-gaap:LineOfCreditMemberugi:UGICorporationMember2020-09-300000884614ugi:TermLoanMem</w:t>
      </w:r>
      <w:r>
        <w:rPr>
          <w:rFonts w:eastAsia="Times New Roman"/>
          <w:vanish/>
        </w:rPr>
        <w:t>berugi:UGICorporationMemberugi:ThreeYearTermLoanMember2021-09-300000884614ugi:TermLoanMemberugi:UGICorporationMemberugi:ThreeYearTermLoanMember2020-09-300000884614ugi:TermLoanMemberugi:UGICorporationMemberugi:FiveYearTermLoanMember2021-09-300000884614ugi:T</w:t>
      </w:r>
      <w:r>
        <w:rPr>
          <w:rFonts w:eastAsia="Times New Roman"/>
          <w:vanish/>
        </w:rPr>
        <w:t>ermLoanMemberugi:UGICorporationMemberugi:FiveYearTermLoanMember2020-09-300000884614ugi:TermLoanMemberugi:UGICorporationMemberugi:SevenYearTermLoanMember2021-09-300000884614ugi:TermLoanMemberugi:UGICorporationMemberugi:SevenYearTermLoanMember2020-09-3000008</w:t>
      </w:r>
      <w:r>
        <w:rPr>
          <w:rFonts w:eastAsia="Times New Roman"/>
          <w:vanish/>
        </w:rPr>
        <w:t>84614ugi:OtherBusinessesMember2021-09-300000884614ugi:OtherBusinessesMember2020-09-300000884614ugi:MidstreamAndMarketingMemberugi:TermLoanMemberugi:VariableRateMember2020-10-012021-09-300000884614ugi:MountaineerSeniorNotesMemberus-gaap:SecuredDebtMember202</w:t>
      </w:r>
      <w:r>
        <w:rPr>
          <w:rFonts w:eastAsia="Times New Roman"/>
          <w:vanish/>
        </w:rPr>
        <w:t>1-09-300000884614srt:MinimumMemberugi:MountaineerSeniorNotesMemberus-gaap:SecuredDebtMember2021-09-300000884614srt:MaximumMemberugi:MountaineerSeniorNotesMemberus-gaap:SecuredDebtMember2021-09-300000884614ugi:TermLoanMemberugi:UGIUtilitiesIncMemberugi:Vari</w:t>
      </w:r>
      <w:r>
        <w:rPr>
          <w:rFonts w:eastAsia="Times New Roman"/>
          <w:vanish/>
        </w:rPr>
        <w:t>ableRateMember2020-10-012021-09-300000884614ugi:TermLoanMemberugi:UGICorporationMemberugi:FiveYearTermLoanMember2020-10-012021-09-300000884614us-gaap:SubsequentEventMember2021-10-012021-10-310000884614us-gaap:DomesticCountryMember2020-10-012021-09-30000088</w:t>
      </w:r>
      <w:r>
        <w:rPr>
          <w:rFonts w:eastAsia="Times New Roman"/>
          <w:vanish/>
        </w:rPr>
        <w:t>4614us-gaap:DomesticCountryMember2019-10-012020-09-300000884614us-gaap:DomesticCountryMember2018-10-012019-09-300000884614us-gaap:ForeignCountryMember2020-10-012021-09-300000884614us-gaap:ForeignCountryMember2019-10-012020-09-300000884614us-gaap:ForeignCou</w:t>
      </w:r>
      <w:r>
        <w:rPr>
          <w:rFonts w:eastAsia="Times New Roman"/>
          <w:vanish/>
        </w:rPr>
        <w:t>ntryMember2018-10-012019-09-300000884614country:ITus-gaap:ForeignCountryMember2021-09-300000884614ugi:Fiscal2020CarrybackToFiscal2015Member2020-09-300000884614ugi:Fiscal2021CarrybackToFiscal2016Member2021-09-300000884614us-gaap:StateAndLocalJurisdictionMem</w:t>
      </w:r>
      <w:r>
        <w:rPr>
          <w:rFonts w:eastAsia="Times New Roman"/>
          <w:vanish/>
        </w:rPr>
        <w:t>ber2020-10-012021-09-300000884614us-gaap:StateAndLocalJurisdictionMember2019-10-012020-09-300000884614us-gaap:StateAndLocalJurisdictionMember2018-10-012019-09-300000884614ugi:FlagaMemberus-gaap:ForeignCountryMember2021-09-300000884614ugi:UGIFranceMemberus-</w:t>
      </w:r>
      <w:r>
        <w:rPr>
          <w:rFonts w:eastAsia="Times New Roman"/>
          <w:vanish/>
        </w:rPr>
        <w:t>gaap:ForeignCountryMember2021-09-300000884614country:NLus-gaap:ForeignCountryMember2021-09-300000884614us-gaap:StateAndLocalJurisdictionMember2021-09-300000884614ugi:MountaintopEnergyHoldingLLCMemberus-gaap:DomesticCountryMember2021-09-300000884614ugi:Othe</w:t>
      </w:r>
      <w:r>
        <w:rPr>
          <w:rFonts w:eastAsia="Times New Roman"/>
          <w:vanish/>
        </w:rPr>
        <w:t>rSubsidiariesMember2021-09-300000884614ugi:FutureCapitalLossesOnPennEastAndHudsonInvestmentsMember2020-10-012021-09-300000884614ugi:NotionalInterestDeductionCarryoverMember2020-10-012021-09-300000884614ugi:FutureUtilizationOfForeignTaxCreditsMember2020-10-</w:t>
      </w:r>
      <w:r>
        <w:rPr>
          <w:rFonts w:eastAsia="Times New Roman"/>
          <w:vanish/>
        </w:rPr>
        <w:t>012021-09-300000884614ugi:NotionalInterestDeductionCarryoverMember2019-10-012020-09-300000884614us-gaap:PensionPlansDefinedBenefitMember2020-09-300000884614us-gaap:PensionPlansDefinedBenefitMember2019-09-300000884614us-gaap:PensionPlansDefinedBenefitMember</w:t>
      </w:r>
      <w:r>
        <w:rPr>
          <w:rFonts w:eastAsia="Times New Roman"/>
          <w:vanish/>
        </w:rPr>
        <w:t>2020-10-012021-09-300000884614us-gaap:PensionPlansDefinedBenefitMember2019-10-012020-09-300000884614us-gaap:PensionPlansDefinedBenefitMember2021-09-300000884614us-gaap:PensionPlansDefinedBenefitMember2018-10-012019-09-300000884614country:USus-gaap:PensionP</w:t>
      </w:r>
      <w:r>
        <w:rPr>
          <w:rFonts w:eastAsia="Times New Roman"/>
          <w:vanish/>
        </w:rPr>
        <w:t>lansDefinedBenefitMember2020-10-012021-09-300000884614country:USus-gaap:PensionPlansDefinedBenefitMember2019-10-012020-09-300000884614country:USus-gaap:PensionPlansDefinedBenefitMember2018-10-012019-09-300000884614us-gaap:SupplementalEmployeeRetirementPlan</w:t>
      </w:r>
      <w:r>
        <w:rPr>
          <w:rFonts w:eastAsia="Times New Roman"/>
          <w:vanish/>
        </w:rPr>
        <w:t>DefinedBenefitMember2021-09-300000884614us-gaap:SupplementalEmployeeRetirementPlanDefinedBenefitMember2020-09-300000884614us-gaap:SupplementalEmployeeRetirementPlanDefinedBenefitMember2019-10-012020-09-300000884614us-gaap:SupplementalEmployeeRetirementPlan</w:t>
      </w:r>
      <w:r>
        <w:rPr>
          <w:rFonts w:eastAsia="Times New Roman"/>
          <w:vanish/>
        </w:rPr>
        <w:t>DefinedBenefitMember2020-10-012021-09-300000884614us-gaap:SupplementalEmployeeRetirementPlanDefinedBenefitMember2021-07-012021-09-300000884614us-gaap:SupplementalEmployeeRetirementPlanDefinedBenefitMember2018-10-012019-09-300000884614country:USus-gaap:Pens</w:t>
      </w:r>
      <w:r>
        <w:rPr>
          <w:rFonts w:eastAsia="Times New Roman"/>
          <w:vanish/>
        </w:rPr>
        <w:t>ionPlansDefinedBenefitMemberus-gaap:DefinedBenefitPlanEquitySecuritiesUsMember2021-09-300000884614country:USus-gaap:PensionPlansDefinedBenefitMemberus-gaap:DefinedBenefitPlanEquitySecuritiesUsMember2020-09-300000884614country:USus-gaap:DefinedBenefitPlanEq</w:t>
      </w:r>
      <w:r>
        <w:rPr>
          <w:rFonts w:eastAsia="Times New Roman"/>
          <w:vanish/>
        </w:rPr>
        <w:t>uitySecuritiesNonUsMemberus-gaap:PensionPlansDefinedBenefitMember2021-09-300000884614country:USus-gaap:DefinedBenefitPlanEquitySecuritiesNonUsMemberus-gaap:PensionPlansDefinedBenefitMember2020-09-300000884614country:USus-gaap:PensionPlansDefinedBenefitMemb</w:t>
      </w:r>
      <w:r>
        <w:rPr>
          <w:rFonts w:eastAsia="Times New Roman"/>
          <w:vanish/>
        </w:rPr>
        <w:t>erugi:DefinedBenefitPlanEquitySecuritiesUSNonUSMember2021-09-300000884614country:USus-gaap:PensionPlansDefinedBenefitMemberugi:DefinedBenefitPlanEquitySecuritiesUSNonUSMember2020-09-300000884614country:USus-gaap:PensionPlansDefinedBenefitMemberus-gaap:Equi</w:t>
      </w:r>
      <w:r>
        <w:rPr>
          <w:rFonts w:eastAsia="Times New Roman"/>
          <w:vanish/>
        </w:rPr>
        <w:t>tySecuritiesMember2021-09-300000884614country:USus-gaap:PensionPlansDefinedBenefitMemberus-gaap:EquitySecuritiesMember2020-09-300000884614country:USus-gaap:PensionPlansDefinedBenefitMemberugi:FixedIncomeFundsAndCashEquivalentsMember2021-09-300000884614coun</w:t>
      </w:r>
      <w:r>
        <w:rPr>
          <w:rFonts w:eastAsia="Times New Roman"/>
          <w:vanish/>
        </w:rPr>
        <w:t>try:USus-gaap:PensionPlansDefinedBenefitMemberugi:FixedIncomeFundsAndCashEquivalentsMember2020-09-300000884614country:USus-gaap:PensionPlansDefinedBenefitMemberugi:AlternativeInvestmentsMember2021-09-300000884614country:USus-gaap:PensionPlansDefinedBenefit</w:t>
      </w:r>
      <w:r>
        <w:rPr>
          <w:rFonts w:eastAsia="Times New Roman"/>
          <w:vanish/>
        </w:rPr>
        <w:t>Memberugi:AlternativeInvestmentsMember2020-09-300000884614country:USus-gaap:PensionPlansDefinedBenefitMember2021-09-300000884614country:USus-gaap:PensionPlansDefinedBenefitMember2020-09-300000884614country:USus-gaap:PensionPlansDefinedBenefitMemberus-gaap:</w:t>
      </w:r>
      <w:r>
        <w:rPr>
          <w:rFonts w:eastAsia="Times New Roman"/>
          <w:vanish/>
        </w:rPr>
        <w:t>DefinedBenefitPlanEquitySecuritiesCommonStockMember2021-09-300000884614country:USus-gaap:PensionPlansDefinedBenefitMemberus-gaap:DefinedBenefitPlanEquitySecuritiesCommonStockMember2020-09-300000884614country:USugi:DefinedBenefitUSEquityIndexInvestmentMembe</w:t>
      </w:r>
      <w:r>
        <w:rPr>
          <w:rFonts w:eastAsia="Times New Roman"/>
          <w:vanish/>
        </w:rPr>
        <w:t>rus-gaap:PensionPlansDefinedBenefitMember2021-09-300000884614country:USugi:DefinedBenefitUSEquityIndexInvestmentMemberus-gaap:PensionPlansDefinedBenefitMember2020-09-300000884614country:USus-gaap:PensionPlansDefinedBenefitMemberugi:DefinedBenefitPlanNonUsE</w:t>
      </w:r>
      <w:r>
        <w:rPr>
          <w:rFonts w:eastAsia="Times New Roman"/>
          <w:vanish/>
        </w:rPr>
        <w:t>quityIndexInvestmentsMember2021-09-300000884614country:USus-gaap:PensionPlansDefinedBenefitMemberugi:DefinedBenefitPlanNonUsEquityIndexInvestmentsMember2020-09-300000884614country:USus-gaap:PensionPlansDefinedBenefitMemberugi:BondIndexMutualFundsMember2021</w:t>
      </w:r>
      <w:r>
        <w:rPr>
          <w:rFonts w:eastAsia="Times New Roman"/>
          <w:vanish/>
        </w:rPr>
        <w:t>-09-300000884614country:USus-gaap:PensionPlansDefinedBenefitMemberugi:BondIndexMutualFundsMember2020-09-300000884614country:USus-gaap:PensionPlansDefinedBenefitMemberus-gaap:DefinedBenefitPlanCashAndCashEquivalentsMember2021-09-300000884614country:USus-gaa</w:t>
      </w:r>
      <w:r>
        <w:rPr>
          <w:rFonts w:eastAsia="Times New Roman"/>
          <w:vanish/>
        </w:rPr>
        <w:t>p:PensionPlansDefinedBenefitMemberus-gaap:DefinedBenefitPlanCashAndCashEquivalentsMember2020-09-300000884614country:USus-gaap:PensionPlansDefinedBenefitMemberus-gaap:DefinedBenefitPlanCommonCollectiveTrustMember2021-09-300000884614country:USus-gaap:Pension</w:t>
      </w:r>
      <w:r>
        <w:rPr>
          <w:rFonts w:eastAsia="Times New Roman"/>
          <w:vanish/>
        </w:rPr>
        <w:t>PlansDefinedBenefitMemberus-gaap:DefinedBenefitPlanCommonCollectiveTrustMember2020-09-300000884614us-gaap:OtherPensionPlansPostretirementOrSupplementalPlansDefinedBenefitMember2020-10-012021-09-300000884614us-gaap:OtherPensionPlansPostretirementOrSupplemen</w:t>
      </w:r>
      <w:r>
        <w:rPr>
          <w:rFonts w:eastAsia="Times New Roman"/>
          <w:vanish/>
        </w:rPr>
        <w:t>talPlansDefinedBenefitMember2019-10-012020-09-300000884614us-gaap:OtherPensionPlansPostretirementOrSupplementalPlansDefinedBenefitMember2018-10-012019-09-300000884614us-gaap:OtherPensionPlansPostretirementOrSupplementalPlansDefinedBenefitMember2021-09-3000</w:t>
      </w:r>
      <w:r>
        <w:rPr>
          <w:rFonts w:eastAsia="Times New Roman"/>
          <w:vanish/>
        </w:rPr>
        <w:t>00884614us-gaap:OtherPensionPlansPostretirementOrSupplementalPlansDefinedBenefitMember2020-09-300000884614ugi:UGIUtilitiesIncMemberugi:IncomeTaxesRecoverableMember2021-09-300000884614ugi:UGIUtilitiesIncMemberugi:IncomeTaxesRecoverableMember2020-09-30000088</w:t>
      </w:r>
      <w:r>
        <w:rPr>
          <w:rFonts w:eastAsia="Times New Roman"/>
          <w:vanish/>
        </w:rPr>
        <w:t>4614ugi:UGIUtilitiesIncMemberus-gaap:PensionCostsMember2021-09-300000884614ugi:UGIUtilitiesIncMemberus-gaap:PensionCostsMember2020-09-300000884614ugi:UGIUtilitiesIncMemberus-gaap:EnvironmentalRestorationCostsMember2021-09-300000884614ugi:UGIUtilitiesIncMem</w:t>
      </w:r>
      <w:r>
        <w:rPr>
          <w:rFonts w:eastAsia="Times New Roman"/>
          <w:vanish/>
        </w:rPr>
        <w:t>berus-gaap:EnvironmentalRestorationCostsMember2020-09-300000884614ugi:UGIUtilitiesIncMemberus-gaap:DeferredFuelCostsMember2021-09-300000884614ugi:UGIUtilitiesIncMemberus-gaap:DeferredFuelCostsMember2020-09-300000884614ugi:UGIUtilitiesIncMemberugi:RemovalCo</w:t>
      </w:r>
      <w:r>
        <w:rPr>
          <w:rFonts w:eastAsia="Times New Roman"/>
          <w:vanish/>
        </w:rPr>
        <w:t>stsNetMember2021-09-300000884614ugi:UGIUtilitiesIncMemberugi:RemovalCostsNetMember2020-09-300000884614ugi:UGIUtilitiesIncMemberugi:OtherRegulatoryAssetsMember2021-09-300000884614ugi:UGIUtilitiesIncMemberugi:OtherRegulatoryAssetsMember2020-09-300000884614ug</w:t>
      </w:r>
      <w:r>
        <w:rPr>
          <w:rFonts w:eastAsia="Times New Roman"/>
          <w:vanish/>
        </w:rPr>
        <w:t>i:UGIUtilitiesIncMemberus-gaap:PostretirementBenefitCostsMember2021-09-300000884614ugi:UGIUtilitiesIncMemberus-gaap:PostretirementBenefitCostsMember2020-09-300000884614ugi:UGIUtilitiesIncMemberugi:DeferredFuelAndPowerRefundsMember2021-09-300000884614ugi:UG</w:t>
      </w:r>
      <w:r>
        <w:rPr>
          <w:rFonts w:eastAsia="Times New Roman"/>
          <w:vanish/>
        </w:rPr>
        <w:t>IUtilitiesIncMemberugi:DeferredFuelAndPowerRefundsMember2020-09-300000884614ugi:UGIUtilitiesIncMemberus-gaap:DeferredIncomeTaxChargesMember2021-09-300000884614ugi:UGIUtilitiesIncMemberus-gaap:DeferredIncomeTaxChargesMember2020-09-300000884614ugi:UGIUtiliti</w:t>
      </w:r>
      <w:r>
        <w:rPr>
          <w:rFonts w:eastAsia="Times New Roman"/>
          <w:vanish/>
        </w:rPr>
        <w:t>esIncMemberugi:PUCTemporaryRatesOrderMember2021-09-300000884614ugi:UGIUtilitiesIncMemberugi:PUCTemporaryRatesOrderMember2020-09-300000884614ugi:ExcessFederalDeferredIncomeTaxesMemberugi:UGIUtilitiesIncMember2021-09-300000884614ugi:ExcessFederalDeferredInco</w:t>
      </w:r>
      <w:r>
        <w:rPr>
          <w:rFonts w:eastAsia="Times New Roman"/>
          <w:vanish/>
        </w:rPr>
        <w:t>meTaxesMemberugi:UGIUtilitiesIncMember2020-09-300000884614us-gaap:OtherLiabilitiesMemberugi:UGIUtilitiesIncMember2021-09-300000884614us-gaap:OtherLiabilitiesMemberugi:UGIUtilitiesIncMember2020-09-300000884614srt:MinimumMember2020-10-012021-09-300000884614s</w:t>
      </w:r>
      <w:r>
        <w:rPr>
          <w:rFonts w:eastAsia="Times New Roman"/>
          <w:vanish/>
        </w:rPr>
        <w:t>rt:MaximumMember2020-10-012021-09-300000884614srt:MaximumMemberus-gaap:RemovalCostsMember2020-10-012021-09-300000884614us-gaap:PostretirementBenefitCostsMember2016-10-192016-10-1900008846142018-10-272018-10-270000884614ugi:GasUtilityMember2021-09-300000884</w:t>
      </w:r>
      <w:r>
        <w:rPr>
          <w:rFonts w:eastAsia="Times New Roman"/>
          <w:vanish/>
        </w:rPr>
        <w:t>614ugi:GasUtilityMember2020-09-300000884614ugi:PennsylvaniaPublicUtilityCommissionMemberugi:UGIGasMember2021-02-082021-02-080000884614ugi:PennsylvaniaPublicUtilityCommissionMemberugi:UGIGasMemberus-gaap:SubsequentEventMember2021-11-092021-11-090000884614ug</w:t>
      </w:r>
      <w:r>
        <w:rPr>
          <w:rFonts w:eastAsia="Times New Roman"/>
          <w:vanish/>
        </w:rPr>
        <w:t>i:PennsylvaniaPublicUtilityCommissionMemberugi:UGIGasMember2020-01-282020-01-280000884614ugi:PennsylvaniaPublicUtilityCommissionMemberugi:UGIGasMember2020-10-082020-10-080000884614ugi:PennsylvaniaPublicUtilityCommissionMemberugi:UGIGasMemberugi:PublicUtili</w:t>
      </w:r>
      <w:r>
        <w:rPr>
          <w:rFonts w:eastAsia="Times New Roman"/>
          <w:vanish/>
        </w:rPr>
        <w:t>tyRequestedRateIncreaseTermOneMember2020-10-082020-10-080000884614ugi:PennsylvaniaPublicUtilityCommissionMemberugi:PublicUtilityRequestedRateIncreaseTermTwoMemberugi:UGIGasMember2020-10-082020-10-080000884614ugi:PennsylvaniaPublicUtilityCommissionMemberugi</w:t>
      </w:r>
      <w:r>
        <w:rPr>
          <w:rFonts w:eastAsia="Times New Roman"/>
          <w:vanish/>
        </w:rPr>
        <w:t>:UGIGasMember2020-10-080000884614ugi:PennsylvaniaPublicUtilityCommissionMemberugi:UGIGasMember2019-01-282019-01-280000884614ugi:PennsylvaniaPublicUtilityCommissionMemberugi:UGIGasMember2019-10-112019-10-110000884614ugi:UGIGasMember2019-01-282019-01-2800008</w:t>
      </w:r>
      <w:r>
        <w:rPr>
          <w:rFonts w:eastAsia="Times New Roman"/>
          <w:vanish/>
        </w:rPr>
        <w:t>84614ugi:NonUtilityLpgAndNaturalGasMember2021-09-300000884614ugi:NonUtilityLpgAndNaturalGasMember2020-09-300000884614ugi:GasUtilityNaturalGasMember2021-09-300000884614ugi:GasUtilityNaturalGasMember2020-09-300000884614ugi:EnergyCertificatesMember2021-09-300</w:t>
      </w:r>
      <w:r>
        <w:rPr>
          <w:rFonts w:eastAsia="Times New Roman"/>
          <w:vanish/>
        </w:rPr>
        <w:t>000884614ugi:EnergyCertificatesMember2020-09-300000884614ugi:MaterialsSuppliesAndOtherMember2021-09-300000884614ugi:MaterialsSuppliesAndOtherMember2020-09-300000884614ugi:DistributionMember2021-09-300000884614ugi:DistributionMember2020-09-300000884614ugi:T</w:t>
      </w:r>
      <w:r>
        <w:rPr>
          <w:rFonts w:eastAsia="Times New Roman"/>
          <w:vanish/>
        </w:rPr>
        <w:t>ransmissionMember2021-09-300000884614ugi:TransmissionMember2020-09-300000884614ugi:GeneralandOtherPropertyPlantandEquipmentMember2021-09-300000884614ugi:GeneralandOtherPropertyPlantandEquipmentMember2020-09-300000884614us-gaap:ConstructionInProgressMember2</w:t>
      </w:r>
      <w:r>
        <w:rPr>
          <w:rFonts w:eastAsia="Times New Roman"/>
          <w:vanish/>
        </w:rPr>
        <w:t>021-09-300000884614us-gaap:ConstructionInProgressMember2020-09-300000884614us-gaap:LandMember2021-09-300000884614us-gaap:LandMember2020-09-300000884614us-gaap:BuildingImprovementsMember2021-09-300000884614us-gaap:BuildingImprovementsMember2020-09-300000884</w:t>
      </w:r>
      <w:r>
        <w:rPr>
          <w:rFonts w:eastAsia="Times New Roman"/>
          <w:vanish/>
        </w:rPr>
        <w:t>614us-gaap:BuildingImprovementsMembersrt:MinimumMember2020-10-012021-09-300000884614us-gaap:BuildingImprovementsMembersrt:MaximumMember2020-10-012021-09-300000884614us-gaap:TransportationEquipmentMember2021-09-300000884614us-gaap:TransportationEquipmentMem</w:t>
      </w:r>
      <w:r>
        <w:rPr>
          <w:rFonts w:eastAsia="Times New Roman"/>
          <w:vanish/>
        </w:rPr>
        <w:t>ber2020-09-300000884614us-gaap:TransportationEquipmentMembersrt:MinimumMember2020-10-012021-09-300000884614srt:MaximumMemberus-gaap:TransportationEquipmentMember2020-10-012021-09-300000884614ugi:EquipmentPrimarilyCylindersAndTanksMember2021-09-300000884614</w:t>
      </w:r>
      <w:r>
        <w:rPr>
          <w:rFonts w:eastAsia="Times New Roman"/>
          <w:vanish/>
        </w:rPr>
        <w:t>ugi:EquipmentPrimarilyCylindersAndTanksMember2020-09-300000884614srt:MinimumMemberugi:EquipmentPrimarilyCylindersAndTanksMember2020-10-012021-09-300000884614srt:MaximumMemberugi:EquipmentPrimarilyCylindersAndTanksMember2020-10-012021-09-300000884614us-gaap</w:t>
      </w:r>
      <w:r>
        <w:rPr>
          <w:rFonts w:eastAsia="Times New Roman"/>
          <w:vanish/>
        </w:rPr>
        <w:t>:ElectricGenerationEquipmentMember2021-09-300000884614us-gaap:ElectricGenerationEquipmentMember2020-09-300000884614us-gaap:ElectricGenerationEquipmentMembersrt:MinimumMember2020-10-012021-09-300000884614srt:MaximumMemberus-gaap:ElectricGenerationEquipmentM</w:t>
      </w:r>
      <w:r>
        <w:rPr>
          <w:rFonts w:eastAsia="Times New Roman"/>
          <w:vanish/>
        </w:rPr>
        <w:t>ember2020-10-012021-09-300000884614us-gaap:PipelinesMember2021-09-300000884614us-gaap:PipelinesMember2020-09-300000884614us-gaap:PipelinesMembersrt:MinimumMember2020-10-012021-09-300000884614srt:MaximumMemberus-gaap:PipelinesMember2020-10-012021-09-3000008</w:t>
      </w:r>
      <w:r>
        <w:rPr>
          <w:rFonts w:eastAsia="Times New Roman"/>
          <w:vanish/>
        </w:rPr>
        <w:t>84614us-gaap:OtherCapitalizedPropertyPlantAndEquipmentMember2021-09-300000884614us-gaap:OtherCapitalizedPropertyPlantAndEquipmentMember2020-09-300000884614us-gaap:OtherCapitalizedPropertyPlantAndEquipmentMembersrt:MinimumMember2020-10-012021-09-30000088461</w:t>
      </w:r>
      <w:r>
        <w:rPr>
          <w:rFonts w:eastAsia="Times New Roman"/>
          <w:vanish/>
        </w:rPr>
        <w:t>4srt:MaximumMemberus-gaap:OtherCapitalizedPropertyPlantAndEquipmentMember2020-10-012021-09-300000884614ugi:GasUtilityMember2020-10-012021-09-300000884614ugi:GasUtilityMember2019-10-012020-09-300000884614ugi:GasUtilityMember2018-10-012019-09-300000884614ugi</w:t>
      </w:r>
      <w:r>
        <w:rPr>
          <w:rFonts w:eastAsia="Times New Roman"/>
          <w:vanish/>
        </w:rPr>
        <w:t>:ElectricUtilityMember2020-10-012021-09-300000884614ugi:ElectricUtilityMember2019-10-012020-09-300000884614ugi:ElectricUtilityMember2018-10-012019-09-300000884614ugi:AmerigasPropaneMember2019-09-300000884614ugi:UGIInternationalMember2019-09-300000884614ugi</w:t>
      </w:r>
      <w:r>
        <w:rPr>
          <w:rFonts w:eastAsia="Times New Roman"/>
          <w:vanish/>
        </w:rPr>
        <w:t>:MidstreamAndMarketingMember2019-09-300000884614ugi:GasUtilityMember2019-09-300000884614ugi:AmerigasPropaneMember2019-10-012020-09-300000884614ugi:UGIInternationalMember2019-10-012020-09-300000884614ugi:MidstreamAndMarketingMember2019-10-012020-09-30000088</w:t>
      </w:r>
      <w:r>
        <w:rPr>
          <w:rFonts w:eastAsia="Times New Roman"/>
          <w:vanish/>
        </w:rPr>
        <w:t>4614ugi:AmerigasPropaneMember2020-09-300000884614ugi:UGIInternationalMember2020-09-300000884614ugi:MidstreamAndMarketingMember2020-09-300000884614ugi:GasUtilityMember2020-09-300000884614ugi:AmerigasPropaneMember2020-10-012021-09-300000884614ugi:UGIInternat</w:t>
      </w:r>
      <w:r>
        <w:rPr>
          <w:rFonts w:eastAsia="Times New Roman"/>
          <w:vanish/>
        </w:rPr>
        <w:t>ionalMember2020-10-012021-09-300000884614ugi:MidstreamAndMarketingMember2020-10-012021-09-300000884614ugi:AmerigasPropaneMember2021-09-300000884614ugi:UGIInternationalMember2021-09-300000884614ugi:GasUtilityMember2021-09-3000008846142021-07-012021-09-30000</w:t>
      </w:r>
      <w:r>
        <w:rPr>
          <w:rFonts w:eastAsia="Times New Roman"/>
          <w:vanish/>
        </w:rPr>
        <w:t>0884614us-gaap:CommonStockMember2018-01-250000884614us-gaap:CommonStockMember2018-01-252018-01-250000884614us-gaap:CommonStockMemberus-gaap:TreasuryStockMember2019-10-012020-09-300000884614us-gaap:CommonStockMemberus-gaap:TreasuryStockMember2018-10-012019-</w:t>
      </w:r>
      <w:r>
        <w:rPr>
          <w:rFonts w:eastAsia="Times New Roman"/>
          <w:vanish/>
        </w:rPr>
        <w:t>09-300000884614us-gaap:CommonStockMember2020-09-300000884614us-gaap:CommonStockMember2019-09-300000884614us-gaap:CommonStockMemberus-gaap:TreasuryStockMember2020-10-012021-09-300000884614us-gaap:PreferredStockMember2018-09-300000884614us-gaap:CommonStockMe</w:t>
      </w:r>
      <w:r>
        <w:rPr>
          <w:rFonts w:eastAsia="Times New Roman"/>
          <w:vanish/>
        </w:rPr>
        <w:t>mber2018-09-300000884614us-gaap:CommonStockMemberus-gaap:TreasuryStockMember2018-09-300000884614us-gaap:CommonStockMember2018-10-012019-09-300000884614us-gaap:PreferredStockMember2019-09-300000884614us-gaap:CommonStockMemberus-gaap:TreasuryStockMember2019-</w:t>
      </w:r>
      <w:r>
        <w:rPr>
          <w:rFonts w:eastAsia="Times New Roman"/>
          <w:vanish/>
        </w:rPr>
        <w:t>09-300000884614us-gaap:CommonStockMember2019-10-012020-09-300000884614us-gaap:PreferredStockMember2020-09-300000884614us-gaap:CommonStockMemberus-gaap:TreasuryStockMember2020-09-300000884614us-gaap:PreferredStockMember2020-10-012021-09-300000884614us-gaap:</w:t>
      </w:r>
      <w:r>
        <w:rPr>
          <w:rFonts w:eastAsia="Times New Roman"/>
          <w:vanish/>
        </w:rPr>
        <w:t>PreferredStockMember2021-09-300000884614us-gaap:CommonStockMember2021-09-300000884614us-gaap:CommonStockMemberus-gaap:TreasuryStockMember2021-09-300000884614us-gaap:CapitalUnitsMemberus-gaap:PreferredStockMember2021-05-252021-05-250000884614us-gaap:Capital</w:t>
      </w:r>
      <w:r>
        <w:rPr>
          <w:rFonts w:eastAsia="Times New Roman"/>
          <w:vanish/>
        </w:rPr>
        <w:t>UnitsMemberus-gaap:PreferredStockMember2021-05-250000884614us-gaap:PreferredStockMemberus-gaap:ConvertiblePreferredStockMember2021-05-252021-05-250000884614us-gaap:PreferredStockMemberus-gaap:ConvertiblePreferredStockMember2021-05-250000884614us-gaap:Conve</w:t>
      </w:r>
      <w:r>
        <w:rPr>
          <w:rFonts w:eastAsia="Times New Roman"/>
          <w:vanish/>
        </w:rPr>
        <w:t>rtiblePreferredStockMember2021-05-252021-05-2500008846142021-05-250000884614us-gaap:ConvertiblePreferredStockMember2021-05-250000884614us-gaap:SeriesBPreferredStockMember2021-09-300000884614ugi:A2024PurchaseContractsMembersrt:ScenarioForecastMember2024-06-</w:t>
      </w:r>
      <w:r>
        <w:rPr>
          <w:rFonts w:eastAsia="Times New Roman"/>
          <w:vanish/>
        </w:rPr>
        <w:t>012024-06-010000884614ugi:A2024PurchaseContractsMember2021-05-252021-05-250000884614ugi:A2024PurchaseContractsMember2021-05-2500008846142021-05-170000884614us-gaap:CommonStockMemberugi:A2021IAPMember2021-01-290000884614us-gaap:CommonStockMemberugi:A2021IAP</w:t>
      </w:r>
      <w:r>
        <w:rPr>
          <w:rFonts w:eastAsia="Times New Roman"/>
          <w:vanish/>
        </w:rPr>
        <w:t>Member2021-01-292021-01-290000884614us-gaap:CommonStockMemberugi:A2021IAPMember2021-09-300000884614us-gaap:EmployeeStockOptionMember2021-09-300000884614us-gaap:EmployeeStockOptionMember2020-10-012021-09-300000884614ugi:UgiPerformanceUnitMember2020-10-01202</w:t>
      </w:r>
      <w:r>
        <w:rPr>
          <w:rFonts w:eastAsia="Times New Roman"/>
          <w:vanish/>
        </w:rPr>
        <w:t>1-09-300000884614srt:MinimumMemberugi:UgiPerformanceUnitMember2020-10-012021-09-300000884614srt:MaximumMemberugi:UgiPerformanceUnitMember2020-10-012021-09-300000884614ugi:UgiPerformanceUnitMember2019-10-012020-09-300000884614ugi:UgiPerformanceUnitMember201</w:t>
      </w:r>
      <w:r>
        <w:rPr>
          <w:rFonts w:eastAsia="Times New Roman"/>
          <w:vanish/>
        </w:rPr>
        <w:t>8-10-012019-09-300000884614ugi:UgiPerformanceUnitsAndStockUnitsMember2021-09-300000884614ugi:UgiPerformanceUnitsAndStockUnitsMember2020-10-012021-09-300000884614us-gaap:LimitedPartnerMember2018-10-012019-08-210000884614us-gaap:GeneralPartnerMember2018-10-0</w:t>
      </w:r>
      <w:r>
        <w:rPr>
          <w:rFonts w:eastAsia="Times New Roman"/>
          <w:vanish/>
        </w:rPr>
        <w:t>12019-08-210000884614ugi:AmeriGasPartnersL.P.Member2018-10-012019-08-210000884614ugi:AmeriGasOLPMember2018-10-012019-08-210000884614us-gaap:VehiclesMembersrt:MinimumMember2021-09-300000884614srt:MaximumMemberus-gaap:VehiclesMember2021-09-300000884614ugi:Se</w:t>
      </w:r>
      <w:r>
        <w:rPr>
          <w:rFonts w:eastAsia="Times New Roman"/>
          <w:vanish/>
        </w:rPr>
        <w:t>gmentConcentrationRiskMemberugi:AmerigasPropaneMemberugi:LeaseLiabilityTotalMember2020-10-012021-09-30ugi:subsidiary0000884614ugi:UGIUtilitiesIncMemberugi:PNGandCPGMember2021-09-30ugi:agreement0000884614ugi:UGIUtilitiesIncMember2020-09-302020-09-3000008846</w:t>
      </w:r>
      <w:r>
        <w:rPr>
          <w:rFonts w:eastAsia="Times New Roman"/>
          <w:vanish/>
        </w:rPr>
        <w:t>14ugi:UGIUtilitiesIncMember2020-10-012020-10-010000884614ugi:CPGCOA.PNGCOAandUGIGasCOAMember2021-09-300000884614ugi:CPGCOA.PNGCOAandUGIGasCOAMember2020-09-30ugi:record_of_decision0000884614ugi:AmeriGasOLPMemberugi:SaranacLakeNewYorkMemberugi:NewYorkStateDe</w:t>
      </w:r>
      <w:r>
        <w:rPr>
          <w:rFonts w:eastAsia="Times New Roman"/>
          <w:vanish/>
        </w:rPr>
        <w:t>partmentofEnvironmentConservationRemediationPlanMember2017-01-012017-12-310000884614ugi:AmeriGasOLPMemberugi:SaranacLakeNewYorkMemberugi:NewYorkStateDepartmentofEnvironmentConservationRemediationPlanMember2017-09-300000884614ugi:AmeriGasOLPMemberugi:Sarana</w:t>
      </w:r>
      <w:r>
        <w:rPr>
          <w:rFonts w:eastAsia="Times New Roman"/>
          <w:vanish/>
        </w:rPr>
        <w:t>cLakeNewYorkMemberugi:NewYorkStateDepartmentofEnvironmentConservationRemediationPlanMember2021-09-300000884614ugi:AmeriGasOLPMemberugi:SaranacLakeNewYorkMemberugi:NewYorkStateDepartmentofEnvironmentConservationRemediationPlanMember2020-09-30utr:lb000088461</w:t>
      </w:r>
      <w:r>
        <w:rPr>
          <w:rFonts w:eastAsia="Times New Roman"/>
          <w:vanish/>
        </w:rPr>
        <w:t>42007-01-012007-12-3100008846142008-01-012008-12-310000884614us-gaap:FairValueInputsLevel1Memberus-gaap:CommodityContractMemberus-gaap:FairValueMeasurementsRecurringMember2021-09-300000884614us-gaap:CommodityContractMemberus-gaap:FairValueMeasurementsRecur</w:t>
      </w:r>
      <w:r>
        <w:rPr>
          <w:rFonts w:eastAsia="Times New Roman"/>
          <w:vanish/>
        </w:rPr>
        <w:t>ringMemberus-gaap:FairValueInputsLevel2Member2021-09-300000884614us-gaap:CommodityContractMemberus-gaap:FairValueMeasurementsRecurringMemberus-gaap:FairValueInputsLevel3Member2021-09-300000884614us-gaap:CommodityContractMemberus-gaap:FairValueMeasurementsR</w:t>
      </w:r>
      <w:r>
        <w:rPr>
          <w:rFonts w:eastAsia="Times New Roman"/>
          <w:vanish/>
        </w:rPr>
        <w:t>ecurringMember2021-09-300000884614us-gaap:FairValueInputsLevel1Memberus-gaap:FairValueMeasurementsRecurringMemberus-gaap:ForeignExchangeContractMember2021-09-300000884614us-gaap:FairValueMeasurementsRecurringMemberus-gaap:FairValueInputsLevel2Memberus-gaap</w:t>
      </w:r>
      <w:r>
        <w:rPr>
          <w:rFonts w:eastAsia="Times New Roman"/>
          <w:vanish/>
        </w:rPr>
        <w:t>:ForeignExchangeContractMember2021-09-300000884614us-gaap:FairValueMeasurementsRecurringMemberus-gaap:ForeignExchangeContractMemberus-gaap:FairValueInputsLevel3Member2021-09-300000884614us-gaap:FairValueMeasurementsRecurringMemberus-gaap:ForeignExchangeCon</w:t>
      </w:r>
      <w:r>
        <w:rPr>
          <w:rFonts w:eastAsia="Times New Roman"/>
          <w:vanish/>
        </w:rPr>
        <w:t>tractMember2021-09-300000884614us-gaap:FairValueInputsLevel1Memberus-gaap:FairValueMeasurementsRecurringMemberus-gaap:InterestRateContractMember2021-09-300000884614us-gaap:FairValueMeasurementsRecurringMemberus-gaap:FairValueInputsLevel2Memberus-gaap:Inter</w:t>
      </w:r>
      <w:r>
        <w:rPr>
          <w:rFonts w:eastAsia="Times New Roman"/>
          <w:vanish/>
        </w:rPr>
        <w:t>estRateContractMember2021-09-300000884614us-gaap:FairValueMeasurementsRecurringMemberus-gaap:FairValueInputsLevel3Memberus-gaap:InterestRateContractMember2021-09-300000884614us-gaap:FairValueMeasurementsRecurringMemberus-gaap:InterestRateContractMember2021</w:t>
      </w:r>
      <w:r>
        <w:rPr>
          <w:rFonts w:eastAsia="Times New Roman"/>
          <w:vanish/>
        </w:rPr>
        <w:t>-09-300000884614us-gaap:FairValueInputsLevel1Memberus-gaap:FairValueMeasurementsRecurringMember2021-09-300000884614us-gaap:FairValueMeasurementsRecurringMemberus-gaap:FairValueInputsLevel2Member2021-09-300000884614us-gaap:FairValueMeasurementsRecurringMemb</w:t>
      </w:r>
      <w:r>
        <w:rPr>
          <w:rFonts w:eastAsia="Times New Roman"/>
          <w:vanish/>
        </w:rPr>
        <w:t>erus-gaap:FairValueInputsLevel3Member2021-09-300000884614us-gaap:FairValueMeasurementsRecurringMember2021-09-300000884614us-gaap:FairValueInputsLevel1Memberus-gaap:CommodityContractMemberus-gaap:FairValueMeasurementsRecurringMember2020-09-300000884614us-ga</w:t>
      </w:r>
      <w:r>
        <w:rPr>
          <w:rFonts w:eastAsia="Times New Roman"/>
          <w:vanish/>
        </w:rPr>
        <w:t>ap:CommodityContractMemberus-gaap:FairValueMeasurementsRecurringMemberus-gaap:FairValueInputsLevel2Member2020-09-300000884614us-gaap:CommodityContractMemberus-gaap:FairValueMeasurementsRecurringMemberus-gaap:FairValueInputsLevel3Member2020-09-300000884614u</w:t>
      </w:r>
      <w:r>
        <w:rPr>
          <w:rFonts w:eastAsia="Times New Roman"/>
          <w:vanish/>
        </w:rPr>
        <w:t>s-gaap:CommodityContractMemberus-gaap:FairValueMeasurementsRecurringMember2020-09-300000884614us-gaap:FairValueInputsLevel1Memberus-gaap:FairValueMeasurementsRecurringMemberus-gaap:ForeignExchangeContractMember2020-09-300000884614us-gaap:FairValueMeasureme</w:t>
      </w:r>
      <w:r>
        <w:rPr>
          <w:rFonts w:eastAsia="Times New Roman"/>
          <w:vanish/>
        </w:rPr>
        <w:t>ntsRecurringMemberus-gaap:FairValueInputsLevel2Memberus-gaap:ForeignExchangeContractMember2020-09-300000884614us-gaap:FairValueMeasurementsRecurringMemberus-gaap:ForeignExchangeContractMemberus-gaap:FairValueInputsLevel3Member2020-09-300000884614us-gaap:Fa</w:t>
      </w:r>
      <w:r>
        <w:rPr>
          <w:rFonts w:eastAsia="Times New Roman"/>
          <w:vanish/>
        </w:rPr>
        <w:t>irValueMeasurementsRecurringMemberus-gaap:ForeignExchangeContractMember2020-09-300000884614us-gaap:FairValueInputsLevel1Memberus-gaap:FairValueMeasurementsRecurringMemberus-gaap:InterestRateContractMember2020-09-300000884614us-gaap:FairValueMeasurementsRec</w:t>
      </w:r>
      <w:r>
        <w:rPr>
          <w:rFonts w:eastAsia="Times New Roman"/>
          <w:vanish/>
        </w:rPr>
        <w:t>urringMemberus-gaap:FairValueInputsLevel2Memberus-gaap:InterestRateContractMember2020-09-300000884614us-gaap:FairValueMeasurementsRecurringMemberus-gaap:FairValueInputsLevel3Memberus-gaap:InterestRateContractMember2020-09-300000884614us-gaap:FairValueMeasu</w:t>
      </w:r>
      <w:r>
        <w:rPr>
          <w:rFonts w:eastAsia="Times New Roman"/>
          <w:vanish/>
        </w:rPr>
        <w:t>rementsRecurringMemberus-gaap:InterestRateContractMember2020-09-300000884614us-gaap:FairValueInputsLevel1Memberus-gaap:FairValueMeasurementsRecurringMember2020-09-300000884614us-gaap:FairValueMeasurementsRecurringMemberus-gaap:FairValueInputsLevel2Member20</w:t>
      </w:r>
      <w:r>
        <w:rPr>
          <w:rFonts w:eastAsia="Times New Roman"/>
          <w:vanish/>
        </w:rPr>
        <w:t>20-09-300000884614us-gaap:FairValueMeasurementsRecurringMemberus-gaap:FairValueInputsLevel3Member2020-09-300000884614us-gaap:FairValueMeasurementsRecurringMember2020-09-300000884614us-gaap:CarryingReportedAmountFairValueDisclosureMember2021-09-300000884614</w:t>
      </w:r>
      <w:r>
        <w:rPr>
          <w:rFonts w:eastAsia="Times New Roman"/>
          <w:vanish/>
        </w:rPr>
        <w:t>us-gaap:CarryingReportedAmountFairValueDisclosureMember2020-09-300000884614us-gaap:EstimateOfFairValueFairValueDisclosureMember2021-09-300000884614us-gaap:EstimateOfFairValueFairValueDisclosureMember2020-09-300000884614ugi:InterestRateProtectionAgreementsM</w:t>
      </w:r>
      <w:r>
        <w:rPr>
          <w:rFonts w:eastAsia="Times New Roman"/>
          <w:vanish/>
        </w:rPr>
        <w:t>ember2020-09-300000884614ugi:InterestRateProtectionAgreementsMember2021-09-300000884614us-gaap:ForeignExchangeForwardMember2021-09-30ugi:DTH0000884614us-gaap:CommodityContractMemberus-gaap:RegulatedOperationMemberugi:NaturalGasMember2021-09-300000884614us-</w:t>
      </w:r>
      <w:r>
        <w:rPr>
          <w:rFonts w:eastAsia="Times New Roman"/>
          <w:vanish/>
        </w:rPr>
        <w:t>gaap:CommodityContractMemberus-gaap:RegulatedOperationMemberugi:NaturalGasMember2020-09-30utr:gal0000884614us-gaap:CommodityContractMemberus-gaap:PublicUtilitiesInventoryPropaneMember2021-09-300000884614us-gaap:CommodityContractMemberus-gaap:PublicUtilitie</w:t>
      </w:r>
      <w:r>
        <w:rPr>
          <w:rFonts w:eastAsia="Times New Roman"/>
          <w:vanish/>
        </w:rPr>
        <w:t>sInventoryPropaneMember2020-09-300000884614ugi:NaturalGasMemberugi:NaturalGasFuturesForwardAndPipelineContractsMember2021-09-300000884614ugi:NaturalGasMemberugi:NaturalGasFuturesForwardAndPipelineContractsMember2020-09-30utr:kWh0000884614us-gaap:Electricit</w:t>
      </w:r>
      <w:r>
        <w:rPr>
          <w:rFonts w:eastAsia="Times New Roman"/>
          <w:vanish/>
        </w:rPr>
        <w:t>yMemberus-gaap:CommodityContractMember2021-09-300000884614us-gaap:ElectricityMemberus-gaap:CommodityContractMember2020-09-300000884614us-gaap:InterestRateSwapMember2021-09-300000884614us-gaap:InterestRateSwapMember2020-09-300000884614us-gaap:ForeignExchang</w:t>
      </w:r>
      <w:r>
        <w:rPr>
          <w:rFonts w:eastAsia="Times New Roman"/>
          <w:vanish/>
        </w:rPr>
        <w:t>eContractMember2021-09-300000884614us-gaap:ForeignExchangeContractMember2020-09-300000884614us-gaap:DesignatedAsHedgingInstrumentMemberus-gaap:ForeignExchangeContractMember2021-09-300000884614us-gaap:DesignatedAsHedgingInstrumentMemberus-gaap:ForeignExchan</w:t>
      </w:r>
      <w:r>
        <w:rPr>
          <w:rFonts w:eastAsia="Times New Roman"/>
          <w:vanish/>
        </w:rPr>
        <w:t>geContractMember2020-09-300000884614ugi:CommodityContractSubjectToPGCandDSMechanismsMember2021-09-300000884614ugi:CommodityContractSubjectToPGCandDSMechanismsMember2020-09-300000884614us-gaap:NondesignatedMemberus-gaap:CommodityContractMember2021-09-300000</w:t>
      </w:r>
      <w:r>
        <w:rPr>
          <w:rFonts w:eastAsia="Times New Roman"/>
          <w:vanish/>
        </w:rPr>
        <w:t>884614us-gaap:NondesignatedMemberus-gaap:CommodityContractMember2020-09-300000884614us-gaap:NondesignatedMemberus-gaap:ForeignExchangeContractMember2021-09-300000884614us-gaap:NondesignatedMemberus-gaap:ForeignExchangeContractMember2020-09-300000884614us-g</w:t>
      </w:r>
      <w:r>
        <w:rPr>
          <w:rFonts w:eastAsia="Times New Roman"/>
          <w:vanish/>
        </w:rPr>
        <w:t>aap:NondesignatedMember2021-09-300000884614us-gaap:NondesignatedMember2020-09-300000884614us-gaap:DesignatedAsHedgingInstrumentMemberus-gaap:InterestRateContractMember2021-09-300000884614us-gaap:DesignatedAsHedgingInstrumentMemberus-gaap:InterestRateContra</w:t>
      </w:r>
      <w:r>
        <w:rPr>
          <w:rFonts w:eastAsia="Times New Roman"/>
          <w:vanish/>
        </w:rPr>
        <w:t>ctMember2020-09-300000884614us-gaap:CashFlowHedgingMemberus-gaap:ForeignExchangeContractMember2020-10-012021-09-300000884614us-gaap:CashFlowHedgingMemberus-gaap:ForeignExchangeContractMember2019-10-012020-09-300000884614us-gaap:CashFlowHedgingMemberus-gaap</w:t>
      </w:r>
      <w:r>
        <w:rPr>
          <w:rFonts w:eastAsia="Times New Roman"/>
          <w:vanish/>
        </w:rPr>
        <w:t>:ForeignExchangeContractMember2018-10-012019-09-300000884614us-gaap:CashFlowHedgingMemberus-gaap:CostOfSalesMemberus-gaap:ForeignExchangeContractMember2020-10-012021-09-300000884614us-gaap:CashFlowHedgingMemberus-gaap:CostOfSalesMemberus-gaap:ForeignExchan</w:t>
      </w:r>
      <w:r>
        <w:rPr>
          <w:rFonts w:eastAsia="Times New Roman"/>
          <w:vanish/>
        </w:rPr>
        <w:t>geContractMember2019-10-012020-09-300000884614us-gaap:CashFlowHedgingMemberus-gaap:CostOfSalesMemberus-gaap:ForeignExchangeContractMember2018-10-012019-09-300000884614us-gaap:CashFlowHedgingMemberus-gaap:InterestRateContractMember2020-10-012021-09-30000088</w:t>
      </w:r>
      <w:r>
        <w:rPr>
          <w:rFonts w:eastAsia="Times New Roman"/>
          <w:vanish/>
        </w:rPr>
        <w:t>4614us-gaap:CashFlowHedgingMemberus-gaap:InterestRateContractMember2019-10-012020-09-300000884614us-gaap:CashFlowHedgingMemberus-gaap:InterestRateContractMember2018-10-012019-09-300000884614us-gaap:InterestExpenseMemberus-gaap:CashFlowHedgingMemberus-gaap:</w:t>
      </w:r>
      <w:r>
        <w:rPr>
          <w:rFonts w:eastAsia="Times New Roman"/>
          <w:vanish/>
        </w:rPr>
        <w:t>InterestRateContractMember2020-10-012021-09-300000884614us-gaap:InterestExpenseMemberus-gaap:CashFlowHedgingMemberus-gaap:InterestRateContractMember2019-10-012020-09-300000884614us-gaap:InterestExpenseMemberus-gaap:CashFlowHedgingMemberus-gaap:InterestRate</w:t>
      </w:r>
      <w:r>
        <w:rPr>
          <w:rFonts w:eastAsia="Times New Roman"/>
          <w:vanish/>
        </w:rPr>
        <w:t>ContractMember2018-10-012019-09-300000884614us-gaap:CashFlowHedgingMember2020-10-012021-09-300000884614us-gaap:CashFlowHedgingMember2019-10-012020-09-300000884614us-gaap:CashFlowHedgingMember2018-10-012019-09-300000884614us-gaap:NetInvestmentHedgingMemberu</w:t>
      </w:r>
      <w:r>
        <w:rPr>
          <w:rFonts w:eastAsia="Times New Roman"/>
          <w:vanish/>
        </w:rPr>
        <w:t>s-gaap:ForeignExchangeContractMember2020-10-012021-09-300000884614us-gaap:NetInvestmentHedgingMemberus-gaap:ForeignExchangeContractMember2019-10-012020-09-300000884614us-gaap:NetInvestmentHedgingMemberus-gaap:ForeignExchangeContractMember2018-10-012019-09-</w:t>
      </w:r>
      <w:r>
        <w:rPr>
          <w:rFonts w:eastAsia="Times New Roman"/>
          <w:vanish/>
        </w:rPr>
        <w:t>300000884614us-gaap:NondesignatedMemberus-gaap:SalesRevenueNetMemberus-gaap:CommodityContractMember2020-10-012021-09-300000884614us-gaap:NondesignatedMemberus-gaap:SalesRevenueNetMemberus-gaap:CommodityContractMember2019-10-012020-09-300000884614us-gaap:No</w:t>
      </w:r>
      <w:r>
        <w:rPr>
          <w:rFonts w:eastAsia="Times New Roman"/>
          <w:vanish/>
        </w:rPr>
        <w:t>ndesignatedMemberus-gaap:SalesRevenueNetMemberus-gaap:CommodityContractMember2018-10-012019-09-300000884614us-gaap:NondesignatedMemberus-gaap:CostOfSalesMemberus-gaap:CommodityContractMember2020-10-012021-09-300000884614us-gaap:NondesignatedMemberus-gaap:C</w:t>
      </w:r>
      <w:r>
        <w:rPr>
          <w:rFonts w:eastAsia="Times New Roman"/>
          <w:vanish/>
        </w:rPr>
        <w:t>ostOfSalesMemberus-gaap:CommodityContractMember2019-10-012020-09-300000884614us-gaap:NondesignatedMemberus-gaap:CostOfSalesMemberus-gaap:CommodityContractMember2018-10-012019-09-300000884614us-gaap:NondesignatedMemberus-gaap:OtherOperatingIncomeExpenseMemb</w:t>
      </w:r>
      <w:r>
        <w:rPr>
          <w:rFonts w:eastAsia="Times New Roman"/>
          <w:vanish/>
        </w:rPr>
        <w:t>erus-gaap:CommodityContractMember2020-10-012021-09-300000884614us-gaap:NondesignatedMemberus-gaap:OtherOperatingIncomeExpenseMemberus-gaap:CommodityContractMember2019-10-012020-09-300000884614us-gaap:NondesignatedMemberus-gaap:OtherOperatingIncomeExpenseMe</w:t>
      </w:r>
      <w:r>
        <w:rPr>
          <w:rFonts w:eastAsia="Times New Roman"/>
          <w:vanish/>
        </w:rPr>
        <w:t>mberus-gaap:CommodityContractMember2018-10-012019-09-300000884614us-gaap:NondesignatedMemberus-gaap:ForeignExchangeContractMemberus-gaap:OtherIncomeMember2020-10-012021-09-300000884614us-gaap:NondesignatedMemberus-gaap:ForeignExchangeContractMemberus-gaap:</w:t>
      </w:r>
      <w:r>
        <w:rPr>
          <w:rFonts w:eastAsia="Times New Roman"/>
          <w:vanish/>
        </w:rPr>
        <w:t>OtherIncomeMember2019-10-012020-09-300000884614us-gaap:NondesignatedMemberus-gaap:ForeignExchangeContractMemberus-gaap:OtherIncomeMember2018-10-012019-09-300000884614us-gaap:NondesignatedMember2020-10-012021-09-300000884614us-gaap:NondesignatedMember2019-1</w:t>
      </w:r>
      <w:r>
        <w:rPr>
          <w:rFonts w:eastAsia="Times New Roman"/>
          <w:vanish/>
        </w:rPr>
        <w:t>0-012020-09-300000884614us-gaap:NondesignatedMember2018-10-012019-09-300000884614us-gaap:AccumulatedDefinedBenefitPlansAdjustmentMember2018-09-300000884614us-gaap:AccumulatedNetGainLossFromDesignatedOrQualifyingCashFlowHedgesMember2018-09-300000884614us-ga</w:t>
      </w:r>
      <w:r>
        <w:rPr>
          <w:rFonts w:eastAsia="Times New Roman"/>
          <w:vanish/>
        </w:rPr>
        <w:t>ap:AccumulatedTranslationAdjustmentMember2018-09-300000884614us-gaap:AccumulatedDefinedBenefitPlansAdjustmentMember2018-10-012019-09-300000884614us-gaap:AccumulatedNetGainLossFromDesignatedOrQualifyingCashFlowHedgesMember2018-10-012019-09-300000884614us-ga</w:t>
      </w:r>
      <w:r>
        <w:rPr>
          <w:rFonts w:eastAsia="Times New Roman"/>
          <w:vanish/>
        </w:rPr>
        <w:t>ap:AccumulatedTranslationAdjustmentMember2018-10-012019-09-300000884614us-gaap:AccumulatedDefinedBenefitPlansAdjustmentMember2019-09-300000884614us-gaap:AccumulatedNetGainLossFromDesignatedOrQualifyingCashFlowHedgesMember2019-09-300000884614us-gaap:Accumul</w:t>
      </w:r>
      <w:r>
        <w:rPr>
          <w:rFonts w:eastAsia="Times New Roman"/>
          <w:vanish/>
        </w:rPr>
        <w:t>atedTranslationAdjustmentMember2019-09-300000884614us-gaap:AccumulatedDefinedBenefitPlansAdjustmentMember2019-10-012020-09-300000884614us-gaap:AccumulatedNetGainLossFromDesignatedOrQualifyingCashFlowHedgesMember2019-10-012020-09-300000884614us-gaap:Accumul</w:t>
      </w:r>
      <w:r>
        <w:rPr>
          <w:rFonts w:eastAsia="Times New Roman"/>
          <w:vanish/>
        </w:rPr>
        <w:t>atedTranslationAdjustmentMember2019-10-012020-09-300000884614us-gaap:AccumulatedDefinedBenefitPlansAdjustmentMember2020-09-300000884614us-gaap:AccumulatedNetGainLossFromDesignatedOrQualifyingCashFlowHedgesMember2020-09-300000884614us-gaap:AccumulatedTransl</w:t>
      </w:r>
      <w:r>
        <w:rPr>
          <w:rFonts w:eastAsia="Times New Roman"/>
          <w:vanish/>
        </w:rPr>
        <w:t>ationAdjustmentMember2020-09-300000884614us-gaap:AccumulatedDefinedBenefitPlansAdjustmentMember2020-10-012021-09-300000884614us-gaap:AccumulatedNetGainLossFromDesignatedOrQualifyingCashFlowHedgesMember2020-10-012021-09-300000884614us-gaap:AccumulatedTransl</w:t>
      </w:r>
      <w:r>
        <w:rPr>
          <w:rFonts w:eastAsia="Times New Roman"/>
          <w:vanish/>
        </w:rPr>
        <w:t>ationAdjustmentMember2020-10-012021-09-300000884614us-gaap:AccumulatedDefinedBenefitPlansAdjustmentMember2021-09-300000884614us-gaap:AccumulatedNetGainLossFromDesignatedOrQualifyingCashFlowHedgesMember2021-09-300000884614us-gaap:AccumulatedTranslationAdjus</w:t>
      </w:r>
      <w:r>
        <w:rPr>
          <w:rFonts w:eastAsia="Times New Roman"/>
          <w:vanish/>
        </w:rPr>
        <w:t>tmentMember2021-09-300000884614ugi:UGIPennEastLLCMemberugi:PennEastPipelineCompanyLLCMembersrt:AffiliatedEntityMember2021-09-300000884614ugi:PennEastPipelineCompanyLLCMembersrt:AffiliatedEntityMemberugi:SouthernCompanyMember2021-09-300000884614ugi:PennEast</w:t>
      </w:r>
      <w:r>
        <w:rPr>
          <w:rFonts w:eastAsia="Times New Roman"/>
          <w:vanish/>
        </w:rPr>
        <w:t>PipelineCompanyLLCMembersrt:AffiliatedEntityMemberugi:NewJerseyResourcesMember2021-09-300000884614ugi:PennEastPipelineCompanyLLCMemberugi:EnbridgeIncMembersrt:AffiliatedEntityMember2021-09-300000884614ugi:PennEastPipelineCompanyLLCMemberugi:SouthJerseyIndu</w:t>
      </w:r>
      <w:r>
        <w:rPr>
          <w:rFonts w:eastAsia="Times New Roman"/>
          <w:vanish/>
        </w:rPr>
        <w:t>striesMembersrt:AffiliatedEntityMember2021-09-300000884614ugi:PennEastPipelineCompanyLLCMembersrt:AffiliatedEntityMember2021-09-300000884614ugi:PennEastPipelineCompanyLLCMember2021-06-012021-06-300000884614ugi:PennEastPipelineCompanyLLCMemberus-gaap:FairVa</w:t>
      </w:r>
      <w:r>
        <w:rPr>
          <w:rFonts w:eastAsia="Times New Roman"/>
          <w:vanish/>
        </w:rPr>
        <w:t>lueInputsLevel2Member2021-09-300000884614ugi:EnergyServicesMemberugi:PennantMember2021-09-300000884614ugi:PennantMember2021-09-300000884614ugi:PennantMember2020-09-300000884614ugi:PineRunMidstreamLLCMemberMember2021-02-012021-02-280000884614ugi:PineRunMids</w:t>
      </w:r>
      <w:r>
        <w:rPr>
          <w:rFonts w:eastAsia="Times New Roman"/>
          <w:vanish/>
        </w:rPr>
        <w:t>treamLLCMemberMember2021-02-280000884614ugi:PineRunMidstreamLLCMemberMember2021-09-30ugi:segmentugi:state0000884614us-gaap:SalesRevenueNetMembercountry:FRus-gaap:GeographicConcentrationRiskMember2020-10-012021-09-300000884614country:FRugi:LonglivedAssetsMe</w:t>
      </w:r>
      <w:r>
        <w:rPr>
          <w:rFonts w:eastAsia="Times New Roman"/>
          <w:vanish/>
        </w:rPr>
        <w:t>mberus-gaap:GeographicConcentrationRiskMember2020-10-012021-09-300000884614ugi:AmerigasPropaneMemberus-gaap:IntersegmentEliminationMember2020-10-012021-09-300000884614us-gaap:IntersegmentEliminationMemberugi:UGIInternationalMember2020-10-012021-09-30000088</w:t>
      </w:r>
      <w:r>
        <w:rPr>
          <w:rFonts w:eastAsia="Times New Roman"/>
          <w:vanish/>
        </w:rPr>
        <w:t>4614us-gaap:IntersegmentEliminationMemberugi:MidstreamAndMarketingMember2020-10-012021-09-300000884614us-gaap:IntersegmentEliminationMemberugi:UGIUtilitiesIncMember2020-10-012021-09-300000884614ugi:CorporateReconcilingItemsAndEliminationsMember2020-10-0120</w:t>
      </w:r>
      <w:r>
        <w:rPr>
          <w:rFonts w:eastAsia="Times New Roman"/>
          <w:vanish/>
        </w:rPr>
        <w:t>21-09-300000884614us-gaap:IntersegmentEliminationMember2021-09-300000884614ugi:AmerigasPropaneMemberus-gaap:OperatingSegmentsMember2021-09-300000884614ugi:UGIInternationalMemberus-gaap:OperatingSegmentsMember2021-09-300000884614ugi:MidstreamAndMarketingMem</w:t>
      </w:r>
      <w:r>
        <w:rPr>
          <w:rFonts w:eastAsia="Times New Roman"/>
          <w:vanish/>
        </w:rPr>
        <w:t>berus-gaap:OperatingSegmentsMember2021-09-300000884614ugi:UGIUtilitiesIncMemberus-gaap:OperatingSegmentsMember2021-09-300000884614ugi:CorporateAndReconcilingItemsMember2021-09-300000884614ugi:AmerigasPropaneMemberus-gaap:IntersegmentEliminationMember2019-1</w:t>
      </w:r>
      <w:r>
        <w:rPr>
          <w:rFonts w:eastAsia="Times New Roman"/>
          <w:vanish/>
        </w:rPr>
        <w:t>0-012020-09-300000884614us-gaap:IntersegmentEliminationMemberugi:UGIInternationalMember2019-10-012020-09-300000884614us-gaap:IntersegmentEliminationMemberugi:MidstreamAndMarketingMember2019-10-012020-09-300000884614us-gaap:IntersegmentEliminationMemberugi:</w:t>
      </w:r>
      <w:r>
        <w:rPr>
          <w:rFonts w:eastAsia="Times New Roman"/>
          <w:vanish/>
        </w:rPr>
        <w:t>UGIUtilitiesIncMember2019-10-012020-09-300000884614ugi:CorporateReconcilingItemsAndEliminationsMember2019-10-012020-09-300000884614us-gaap:IntersegmentEliminationMember2020-09-300000884614ugi:AmerigasPropaneMemberus-gaap:OperatingSegmentsMember2020-09-3000</w:t>
      </w:r>
      <w:r>
        <w:rPr>
          <w:rFonts w:eastAsia="Times New Roman"/>
          <w:vanish/>
        </w:rPr>
        <w:t>00884614ugi:UGIInternationalMemberus-gaap:OperatingSegmentsMember2020-09-300000884614ugi:MidstreamAndMarketingMemberus-gaap:OperatingSegmentsMember2020-09-300000884614ugi:UGIUtilitiesIncMemberus-gaap:OperatingSegmentsMember2020-09-300000884614ugi:Corporate</w:t>
      </w:r>
      <w:r>
        <w:rPr>
          <w:rFonts w:eastAsia="Times New Roman"/>
          <w:vanish/>
        </w:rPr>
        <w:t>AndReconcilingItemsMember2020-09-300000884614ugi:AmerigasPropaneMemberus-gaap:IntersegmentEliminationMember2018-10-012019-09-300000884614us-gaap:IntersegmentEliminationMemberugi:UGIInternationalMember2018-10-012019-09-300000884614us-gaap:IntersegmentElimin</w:t>
      </w:r>
      <w:r>
        <w:rPr>
          <w:rFonts w:eastAsia="Times New Roman"/>
          <w:vanish/>
        </w:rPr>
        <w:t>ationMemberugi:MidstreamAndMarketingMember2018-10-012019-09-300000884614us-gaap:IntersegmentEliminationMemberugi:UGIUtilitiesIncMember2018-10-012019-09-300000884614ugi:CorporateReconcilingItemsAndEliminationsMember2018-10-012019-09-300000884614us-gaap:Inte</w:t>
      </w:r>
      <w:r>
        <w:rPr>
          <w:rFonts w:eastAsia="Times New Roman"/>
          <w:vanish/>
        </w:rPr>
        <w:t>rsegmentEliminationMember2019-09-300000884614ugi:AmerigasPropaneMemberus-gaap:OperatingSegmentsMember2019-09-300000884614ugi:UGIInternationalMemberus-gaap:OperatingSegmentsMember2019-09-300000884614ugi:MidstreamAndMarketingMemberus-gaap:OperatingSegmentsMe</w:t>
      </w:r>
      <w:r>
        <w:rPr>
          <w:rFonts w:eastAsia="Times New Roman"/>
          <w:vanish/>
        </w:rPr>
        <w:t>mber2019-09-300000884614ugi:UGIUtilitiesIncMemberus-gaap:OperatingSegmentsMember2019-09-300000884614ugi:CorporateAndReconcilingItemsMember2019-09-300000884614ugi:AmerigasPropaneMemberus-gaap:SalesMemberugi:CorporateAndReconcilingItemsMember2020-10-012021-0</w:t>
      </w:r>
      <w:r>
        <w:rPr>
          <w:rFonts w:eastAsia="Times New Roman"/>
          <w:vanish/>
        </w:rPr>
        <w:t>9-300000884614us-gaap:SalesMemberugi:UGIInternationalMemberugi:CorporateAndReconcilingItemsMember2020-10-012021-09-300000884614us-gaap:SalesMemberugi:MidstreamAndMarketingMemberugi:CorporateAndReconcilingItemsMember2020-10-012021-09-300000884614us-gaap:Cos</w:t>
      </w:r>
      <w:r>
        <w:rPr>
          <w:rFonts w:eastAsia="Times New Roman"/>
          <w:vanish/>
        </w:rPr>
        <w:t>tOfSalesMemberugi:AmerigasPropaneMemberugi:CorporateAndReconcilingItemsMember2020-10-012021-09-300000884614us-gaap:CostOfSalesMemberugi:UGIInternationalMemberugi:CorporateAndReconcilingItemsMember2020-10-012021-09-300000884614us-gaap:CostOfSalesMemberugi:M</w:t>
      </w:r>
      <w:r>
        <w:rPr>
          <w:rFonts w:eastAsia="Times New Roman"/>
          <w:vanish/>
        </w:rPr>
        <w:t>idstreamAndMarketingMemberugi:CorporateAndReconcilingItemsMember2020-10-012021-09-300000884614ugi:AmerigasPropaneMemberus-gaap:OtherNonoperatingIncomeExpenseMemberugi:CorporateAndReconcilingItemsMember2020-10-012021-09-300000884614us-gaap:OtherNonoperating</w:t>
      </w:r>
      <w:r>
        <w:rPr>
          <w:rFonts w:eastAsia="Times New Roman"/>
          <w:vanish/>
        </w:rPr>
        <w:t>IncomeExpenseMemberugi:UGIInternationalMemberugi:CorporateAndReconcilingItemsMember2020-10-012021-09-300000884614us-gaap:OtherNonoperatingIncomeExpenseMemberugi:MidstreamAndMarketingMemberugi:CorporateAndReconcilingItemsMember2020-10-012021-09-300000884614</w:t>
      </w:r>
      <w:r>
        <w:rPr>
          <w:rFonts w:eastAsia="Times New Roman"/>
          <w:vanish/>
        </w:rPr>
        <w:t>ugi:AmerigasPropaneMemberus-gaap:GeneralAndAdministrativeExpenseMemberugi:CorporateAndReconcilingItemsMember2020-10-012021-09-300000884614ugi:UGIInternationalMemberus-gaap:GeneralAndAdministrativeExpenseMemberugi:CorporateAndReconcilingItemsMember2020-10-0</w:t>
      </w:r>
      <w:r>
        <w:rPr>
          <w:rFonts w:eastAsia="Times New Roman"/>
          <w:vanish/>
        </w:rPr>
        <w:t>12021-09-300000884614ugi:MidstreamAndMarketingMemberus-gaap:GeneralAndAdministrativeExpenseMemberugi:CorporateAndReconcilingItemsMember2020-10-012021-09-300000884614ugi:IncomeLossFromEquityMethodInvestmentsMemberugi:AmerigasPropaneMemberugi:CorporateAndRec</w:t>
      </w:r>
      <w:r>
        <w:rPr>
          <w:rFonts w:eastAsia="Times New Roman"/>
          <w:vanish/>
        </w:rPr>
        <w:t>oncilingItemsMember2020-10-012021-09-300000884614ugi:IncomeLossFromEquityMethodInvestmentsMemberugi:UGIInternationalMemberugi:CorporateAndReconcilingItemsMember2020-10-012021-09-300000884614ugi:IncomeLossFromEquityMethodInvestmentsMemberugi:MidstreamAndMar</w:t>
      </w:r>
      <w:r>
        <w:rPr>
          <w:rFonts w:eastAsia="Times New Roman"/>
          <w:vanish/>
        </w:rPr>
        <w:t>ketingMemberugi:CorporateAndReconcilingItemsMember2020-10-012021-09-300000884614ugi:AmerigasPropaneMemberus-gaap:SalesMemberugi:CorporateAndReconcilingItemsMember2019-10-012020-09-300000884614us-gaap:SalesMemberugi:UGIInternationalMemberugi:CorporateAndRec</w:t>
      </w:r>
      <w:r>
        <w:rPr>
          <w:rFonts w:eastAsia="Times New Roman"/>
          <w:vanish/>
        </w:rPr>
        <w:t>oncilingItemsMember2019-10-012020-09-300000884614us-gaap:SalesMemberugi:MidstreamAndMarketingMemberugi:CorporateAndReconcilingItemsMember2019-10-012020-09-300000884614us-gaap:CostOfSalesMemberugi:AmerigasPropaneMemberugi:CorporateAndReconcilingItemsMember2</w:t>
      </w:r>
      <w:r>
        <w:rPr>
          <w:rFonts w:eastAsia="Times New Roman"/>
          <w:vanish/>
        </w:rPr>
        <w:t>019-10-012020-09-300000884614us-gaap:CostOfSalesMemberugi:UGIInternationalMemberugi:CorporateAndReconcilingItemsMember2019-10-012020-09-300000884614us-gaap:CostOfSalesMemberugi:MidstreamAndMarketingMemberugi:CorporateAndReconcilingItemsMember2019-10-012020</w:t>
      </w:r>
      <w:r>
        <w:rPr>
          <w:rFonts w:eastAsia="Times New Roman"/>
          <w:vanish/>
        </w:rPr>
        <w:t>-09-300000884614ugi:AmerigasPropaneMemberus-gaap:OtherNonoperatingIncomeExpenseMemberugi:CorporateAndReconcilingItemsMember2019-10-012020-09-300000884614us-gaap:OtherNonoperatingIncomeExpenseMemberugi:UGIInternationalMemberugi:CorporateAndReconcilingItemsM</w:t>
      </w:r>
      <w:r>
        <w:rPr>
          <w:rFonts w:eastAsia="Times New Roman"/>
          <w:vanish/>
        </w:rPr>
        <w:t>ember2019-10-012020-09-300000884614us-gaap:OtherNonoperatingIncomeExpenseMemberugi:MidstreamAndMarketingMemberugi:CorporateAndReconcilingItemsMember2019-10-012020-09-300000884614ugi:AmerigasPropaneMemberus-gaap:GeneralAndAdministrativeExpenseMemberugi:Corp</w:t>
      </w:r>
      <w:r>
        <w:rPr>
          <w:rFonts w:eastAsia="Times New Roman"/>
          <w:vanish/>
        </w:rPr>
        <w:t>orateAndReconcilingItemsMember2019-10-012020-09-300000884614ugi:UGIInternationalMemberus-gaap:GeneralAndAdministrativeExpenseMemberugi:CorporateAndReconcilingItemsMember2019-10-012020-09-300000884614ugi:MidstreamAndMarketingMemberus-gaap:GeneralAndAdminist</w:t>
      </w:r>
      <w:r>
        <w:rPr>
          <w:rFonts w:eastAsia="Times New Roman"/>
          <w:vanish/>
        </w:rPr>
        <w:t>rativeExpenseMemberugi:CorporateAndReconcilingItemsMember2019-10-012020-09-300000884614ugi:AmerigasPropaneMemberugi:CorporateAndReconcilingItemsMember2019-10-012020-09-300000884614ugi:UGIInternationalMemberugi:CorporateAndReconcilingItemsMember2019-10-0120</w:t>
      </w:r>
      <w:r>
        <w:rPr>
          <w:rFonts w:eastAsia="Times New Roman"/>
          <w:vanish/>
        </w:rPr>
        <w:t>20-09-300000884614ugi:MidstreamAndMarketingMemberugi:CorporateAndReconcilingItemsMember2019-10-012020-09-300000884614ugi:AmerigasPropaneMemberus-gaap:SalesMemberugi:CorporateAndReconcilingItemsMember2018-10-012019-09-300000884614us-gaap:SalesMemberugi:UGII</w:t>
      </w:r>
      <w:r>
        <w:rPr>
          <w:rFonts w:eastAsia="Times New Roman"/>
          <w:vanish/>
        </w:rPr>
        <w:t>nternationalMemberugi:CorporateAndReconcilingItemsMember2018-10-012019-09-300000884614us-gaap:SalesMemberugi:MidstreamAndMarketingMemberugi:CorporateAndReconcilingItemsMember2018-10-012019-09-300000884614us-gaap:CostOfSalesMemberugi:AmerigasPropaneMemberug</w:t>
      </w:r>
      <w:r>
        <w:rPr>
          <w:rFonts w:eastAsia="Times New Roman"/>
          <w:vanish/>
        </w:rPr>
        <w:t>i:CorporateAndReconcilingItemsMember2018-10-012019-09-300000884614us-gaap:CostOfSalesMemberugi:UGIInternationalMemberugi:CorporateAndReconcilingItemsMember2018-10-012019-09-300000884614us-gaap:CostOfSalesMemberugi:MidstreamAndMarketingMemberugi:CorporateAn</w:t>
      </w:r>
      <w:r>
        <w:rPr>
          <w:rFonts w:eastAsia="Times New Roman"/>
          <w:vanish/>
        </w:rPr>
        <w:t>dReconcilingItemsMember2018-10-012019-09-300000884614ugi:AmerigasPropaneMemberus-gaap:OtherNonoperatingIncomeExpenseMemberugi:CorporateAndReconcilingItemsMember2018-10-012019-09-300000884614us-gaap:OtherNonoperatingIncomeExpenseMemberugi:UGIInternationalMe</w:t>
      </w:r>
      <w:r>
        <w:rPr>
          <w:rFonts w:eastAsia="Times New Roman"/>
          <w:vanish/>
        </w:rPr>
        <w:t>mberugi:CorporateAndReconcilingItemsMember2018-10-012019-09-300000884614us-gaap:OtherNonoperatingIncomeExpenseMemberugi:MidstreamAndMarketingMemberugi:CorporateAndReconcilingItemsMember2018-10-012019-09-300000884614ugi:AmerigasPropaneMemberugi:CorporateAnd</w:t>
      </w:r>
      <w:r>
        <w:rPr>
          <w:rFonts w:eastAsia="Times New Roman"/>
          <w:vanish/>
        </w:rPr>
        <w:t>ReconcilingItemsMember2018-10-012019-09-300000884614ugi:UGIInternationalMemberugi:CorporateAndReconcilingItemsMember2018-10-012019-09-300000884614ugi:MidstreamAndMarketingMemberugi:CorporateAndReconcilingItemsMember2018-10-012019-09-300000884614ugi:Ameriga</w:t>
      </w:r>
      <w:r>
        <w:rPr>
          <w:rFonts w:eastAsia="Times New Roman"/>
          <w:vanish/>
        </w:rPr>
        <w:t>sPropaneMemberus-gaap:GeneralAndAdministrativeExpenseMemberugi:CorporateAndReconcilingItemsMember2018-10-012019-09-300000884614ugi:UGIInternationalMemberus-gaap:GeneralAndAdministrativeExpenseMemberugi:CorporateAndReconcilingItemsMember2018-10-012019-09-30</w:t>
      </w:r>
      <w:r>
        <w:rPr>
          <w:rFonts w:eastAsia="Times New Roman"/>
          <w:vanish/>
        </w:rPr>
        <w:t>0000884614ugi:MidstreamAndMarketingMemberus-gaap:GeneralAndAdministrativeExpenseMemberugi:CorporateAndReconcilingItemsMember2018-10-012019-09-300000884614ugi:CorporateServicesMemberMember2020-10-012021-09-300000884614srt:ParentCompanyMember2021-09-30000088</w:t>
      </w:r>
      <w:r>
        <w:rPr>
          <w:rFonts w:eastAsia="Times New Roman"/>
          <w:vanish/>
        </w:rPr>
        <w:t>4614srt:ParentCompanyMember2020-09-300000884614srt:ParentCompanyMember2020-10-012021-09-300000884614srt:ParentCompanyMember2019-10-012020-09-300000884614srt:ParentCompanyMember2018-10-012019-09-300000884614srt:ParentCompanyMember2019-09-300000884614srt:Par</w:t>
      </w:r>
      <w:r>
        <w:rPr>
          <w:rFonts w:eastAsia="Times New Roman"/>
          <w:vanish/>
        </w:rPr>
        <w:t>entCompanyMember2018-09-300000884614us-gaap:AllowanceForCreditLossMember2020-09-300000884614us-gaap:AllowanceForCreditLossMember2020-10-012021-09-300000884614us-gaap:AllowanceForCreditLossMember2021-09-300000884614us-gaap:ValuationAllowanceOfDeferredTaxAss</w:t>
      </w:r>
      <w:r>
        <w:rPr>
          <w:rFonts w:eastAsia="Times New Roman"/>
          <w:vanish/>
        </w:rPr>
        <w:t>etsMember2020-09-300000884614us-gaap:ValuationAllowanceOfDeferredTaxAssetsMember2020-10-012021-09-300000884614us-gaap:ValuationAllowanceOfDeferredTaxAssetsMember2021-09-300000884614us-gaap:AllowanceForCreditLossMember2019-09-300000884614us-gaap:AllowanceFo</w:t>
      </w:r>
      <w:r>
        <w:rPr>
          <w:rFonts w:eastAsia="Times New Roman"/>
          <w:vanish/>
        </w:rPr>
        <w:t>rCreditLossMember2019-10-012020-09-300000884614us-gaap:ValuationAllowanceOfDeferredTaxAssetsMember2019-09-300000884614us-gaap:ValuationAllowanceOfDeferredTaxAssetsMember2019-10-012020-09-300000884614us-gaap:AllowanceForCreditLossMember2018-09-300000884614u</w:t>
      </w:r>
      <w:r>
        <w:rPr>
          <w:rFonts w:eastAsia="Times New Roman"/>
          <w:vanish/>
        </w:rPr>
        <w:t>s-gaap:AllowanceForCreditLossMember2018-10-012019-09-300000884614us-gaap:ValuationAllowanceOfDeferredTaxAssetsMember2018-09-300000884614us-gaap:ValuationAllowanceOfDeferredTaxAssetsMember2018-10-012019-09-30</w:t>
      </w:r>
    </w:p>
    <w:p w:rsidR="00000000" w:rsidRDefault="00DF5BC2">
      <w:pPr>
        <w:divId w:val="997802167"/>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DF5BC2">
            <w:pPr>
              <w:jc w:val="center"/>
              <w:rPr>
                <w:rFonts w:eastAsia="Times New Roman"/>
              </w:rPr>
            </w:pPr>
          </w:p>
        </w:tc>
        <w:tc>
          <w:tcPr>
            <w:tcW w:w="494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trHeight w:val="60"/>
          <w:jc w:val="center"/>
        </w:trPr>
        <w:tc>
          <w:tcPr>
            <w:tcW w:w="0" w:type="auto"/>
            <w:gridSpan w:val="3"/>
            <w:tcBorders>
              <w:top w:val="single" w:sz="24" w:space="0" w:color="000000"/>
              <w:bottom w:val="single" w:sz="8" w:space="0" w:color="000000"/>
            </w:tcBorders>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jc w:val="center"/>
        <w:rPr>
          <w:rFonts w:eastAsia="Times New Roman"/>
        </w:rPr>
      </w:pPr>
      <w:r>
        <w:rPr>
          <w:rFonts w:eastAsia="Times New Roman"/>
          <w:b/>
          <w:bCs/>
          <w:color w:val="000000"/>
        </w:rPr>
        <w:t>UNITED STATES</w:t>
      </w:r>
    </w:p>
    <w:p w:rsidR="00000000" w:rsidRDefault="00DF5BC2">
      <w:pPr>
        <w:jc w:val="center"/>
        <w:rPr>
          <w:rFonts w:eastAsia="Times New Roman"/>
        </w:rPr>
      </w:pPr>
      <w:r>
        <w:rPr>
          <w:rFonts w:eastAsia="Times New Roman"/>
          <w:b/>
          <w:bCs/>
          <w:color w:val="000000"/>
        </w:rPr>
        <w:t>SECURITIES AND EXCHANGE COMMISSION</w:t>
      </w:r>
    </w:p>
    <w:p w:rsidR="00000000" w:rsidRDefault="00DF5BC2">
      <w:pPr>
        <w:jc w:val="center"/>
        <w:rPr>
          <w:rFonts w:eastAsia="Times New Roman"/>
        </w:rPr>
      </w:pPr>
      <w:r>
        <w:rPr>
          <w:rFonts w:eastAsia="Times New Roman"/>
          <w:b/>
          <w:bCs/>
          <w:color w:val="000000"/>
          <w:sz w:val="22"/>
          <w:szCs w:val="22"/>
        </w:rPr>
        <w:t>WASHINGTON, D.C. 20549</w:t>
      </w:r>
    </w:p>
    <w:tbl>
      <w:tblPr>
        <w:tblW w:w="2640" w:type="dxa"/>
        <w:jc w:val="center"/>
        <w:tblCellMar>
          <w:top w:w="15" w:type="dxa"/>
          <w:left w:w="15" w:type="dxa"/>
          <w:bottom w:w="15" w:type="dxa"/>
          <w:right w:w="15" w:type="dxa"/>
        </w:tblCellMar>
        <w:tblLook w:val="04A0" w:firstRow="1" w:lastRow="0" w:firstColumn="1" w:lastColumn="0" w:noHBand="0" w:noVBand="1"/>
      </w:tblPr>
      <w:tblGrid>
        <w:gridCol w:w="36"/>
        <w:gridCol w:w="2568"/>
        <w:gridCol w:w="36"/>
      </w:tblGrid>
      <w:tr w:rsidR="00000000">
        <w:trPr>
          <w:divId w:val="1525635907"/>
          <w:jc w:val="center"/>
        </w:trPr>
        <w:tc>
          <w:tcPr>
            <w:tcW w:w="20" w:type="dxa"/>
            <w:vAlign w:val="center"/>
            <w:hideMark/>
          </w:tcPr>
          <w:p w:rsidR="00000000" w:rsidRDefault="00DF5BC2">
            <w:pPr>
              <w:jc w:val="center"/>
              <w:rPr>
                <w:rFonts w:eastAsia="Times New Roman"/>
              </w:rPr>
            </w:pPr>
          </w:p>
        </w:tc>
        <w:tc>
          <w:tcPr>
            <w:tcW w:w="260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r>
      <w:tr w:rsidR="00000000">
        <w:trPr>
          <w:divId w:val="1525635907"/>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jc w:val="center"/>
        <w:rPr>
          <w:rFonts w:eastAsia="Times New Roman"/>
        </w:rPr>
      </w:pPr>
      <w:r>
        <w:rPr>
          <w:rFonts w:eastAsia="Times New Roman"/>
          <w:b/>
          <w:bCs/>
          <w:color w:val="000000"/>
          <w:sz w:val="36"/>
          <w:szCs w:val="36"/>
        </w:rPr>
        <w:t xml:space="preserve">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75"/>
        <w:gridCol w:w="239"/>
        <w:gridCol w:w="36"/>
        <w:gridCol w:w="69"/>
        <w:gridCol w:w="7851"/>
        <w:gridCol w:w="36"/>
      </w:tblGrid>
      <w:tr w:rsidR="00000000">
        <w:trPr>
          <w:jc w:val="center"/>
        </w:trPr>
        <w:tc>
          <w:tcPr>
            <w:tcW w:w="50" w:type="pct"/>
            <w:vAlign w:val="center"/>
            <w:hideMark/>
          </w:tcPr>
          <w:p w:rsidR="00000000" w:rsidRDefault="00DF5BC2">
            <w:pPr>
              <w:jc w:val="center"/>
              <w:rPr>
                <w:rFonts w:eastAsia="Times New Roman"/>
              </w:rPr>
            </w:pPr>
          </w:p>
        </w:tc>
        <w:tc>
          <w:tcPr>
            <w:tcW w:w="15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73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center"/>
            <w:hideMark/>
          </w:tcPr>
          <w:p w:rsidR="00000000" w:rsidRDefault="00DF5BC2">
            <w:pPr>
              <w:spacing w:after="100"/>
              <w:jc w:val="both"/>
              <w:divId w:val="977413368"/>
              <w:rPr>
                <w:rFonts w:eastAsia="Times New Roman"/>
              </w:rPr>
            </w:pPr>
            <w:r>
              <w:rPr>
                <w:rFonts w:eastAsia="Times New Roman"/>
                <w:b/>
                <w:bCs/>
                <w:color w:val="000000"/>
                <w:sz w:val="22"/>
                <w:szCs w:val="22"/>
              </w:rPr>
              <w:t>ANNUAL REPORT PURSUANT TO SECTIONS 13 OR 15(d) OF THE SECURITIES EXCHANGE ACT OF 1934</w:t>
            </w:r>
          </w:p>
        </w:tc>
      </w:tr>
    </w:tbl>
    <w:p w:rsidR="00000000" w:rsidRDefault="00DF5BC2">
      <w:pPr>
        <w:jc w:val="center"/>
        <w:rPr>
          <w:rFonts w:eastAsia="Times New Roman"/>
        </w:rPr>
      </w:pPr>
      <w:r>
        <w:rPr>
          <w:rFonts w:eastAsia="Times New Roman"/>
          <w:b/>
          <w:bCs/>
          <w:color w:val="000000"/>
          <w:sz w:val="18"/>
          <w:szCs w:val="18"/>
        </w:rPr>
        <w:t xml:space="preserve">FOR THE FISCAL YEAR ENDED SEPTEMBER 30, 2021 </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234"/>
        <w:gridCol w:w="36"/>
        <w:gridCol w:w="69"/>
        <w:gridCol w:w="7813"/>
        <w:gridCol w:w="36"/>
      </w:tblGrid>
      <w:tr w:rsidR="00000000">
        <w:trPr>
          <w:jc w:val="center"/>
        </w:trPr>
        <w:tc>
          <w:tcPr>
            <w:tcW w:w="50" w:type="pct"/>
            <w:vAlign w:val="center"/>
            <w:hideMark/>
          </w:tcPr>
          <w:p w:rsidR="00000000" w:rsidRDefault="00DF5BC2">
            <w:pPr>
              <w:jc w:val="center"/>
              <w:rPr>
                <w:rFonts w:eastAsia="Times New Roman"/>
              </w:rPr>
            </w:pPr>
          </w:p>
        </w:tc>
        <w:tc>
          <w:tcPr>
            <w:tcW w:w="15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73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2"/>
                <w:szCs w:val="22"/>
              </w:rPr>
              <w:t>TRANSITION REPORT PURSUANT TO SECTION 13 OR 15(d) OF THE SECURITIES EXCHANGE ACT OF 1934</w:t>
            </w:r>
          </w:p>
        </w:tc>
      </w:tr>
    </w:tbl>
    <w:p w:rsidR="00000000" w:rsidRDefault="00DF5BC2">
      <w:pPr>
        <w:jc w:val="center"/>
        <w:rPr>
          <w:rFonts w:eastAsia="Times New Roman"/>
        </w:rPr>
      </w:pPr>
      <w:r>
        <w:rPr>
          <w:rFonts w:eastAsia="Times New Roman"/>
          <w:b/>
          <w:bCs/>
          <w:color w:val="000000"/>
          <w:sz w:val="20"/>
          <w:szCs w:val="20"/>
        </w:rPr>
        <w:t>For the transition period from  ________ to ________  </w:t>
      </w:r>
    </w:p>
    <w:p w:rsidR="00000000" w:rsidRDefault="00DF5BC2">
      <w:pPr>
        <w:jc w:val="center"/>
        <w:rPr>
          <w:rFonts w:eastAsia="Times New Roman"/>
        </w:rPr>
      </w:pPr>
      <w:r>
        <w:rPr>
          <w:rFonts w:eastAsia="Times New Roman"/>
          <w:b/>
          <w:bCs/>
          <w:color w:val="000000"/>
          <w:sz w:val="18"/>
          <w:szCs w:val="18"/>
        </w:rPr>
        <w:t xml:space="preserve">Commission file number 1-11071 </w:t>
      </w:r>
    </w:p>
    <w:p w:rsidR="00000000" w:rsidRDefault="00DF5BC2">
      <w:pPr>
        <w:jc w:val="center"/>
        <w:rPr>
          <w:rFonts w:eastAsia="Times New Roman"/>
        </w:rPr>
      </w:pPr>
      <w:r>
        <w:rPr>
          <w:rFonts w:eastAsia="Times New Roman"/>
          <w:b/>
          <w:bCs/>
          <w:color w:val="000000"/>
          <w:sz w:val="48"/>
          <w:szCs w:val="48"/>
        </w:rPr>
        <w:t>UGI CORPORATION</w:t>
      </w:r>
    </w:p>
    <w:p w:rsidR="00000000" w:rsidRDefault="00DF5BC2">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3762"/>
        <w:gridCol w:w="36"/>
        <w:gridCol w:w="69"/>
        <w:gridCol w:w="465"/>
        <w:gridCol w:w="36"/>
        <w:gridCol w:w="70"/>
        <w:gridCol w:w="3763"/>
        <w:gridCol w:w="36"/>
      </w:tblGrid>
      <w:tr w:rsidR="00000000">
        <w:trPr>
          <w:divId w:val="1732076942"/>
        </w:trPr>
        <w:tc>
          <w:tcPr>
            <w:tcW w:w="50" w:type="pct"/>
            <w:vAlign w:val="center"/>
            <w:hideMark/>
          </w:tcPr>
          <w:p w:rsidR="00000000" w:rsidRDefault="00DF5BC2">
            <w:pPr>
              <w:jc w:val="center"/>
              <w:rPr>
                <w:rFonts w:eastAsia="Times New Roman"/>
              </w:rPr>
            </w:pPr>
          </w:p>
        </w:tc>
        <w:tc>
          <w:tcPr>
            <w:tcW w:w="227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2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227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732076942"/>
        </w:trPr>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18"/>
                <w:szCs w:val="18"/>
              </w:rPr>
              <w:t>Pennsylvania</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18"/>
                <w:szCs w:val="18"/>
              </w:rPr>
              <w:t>23-2668356</w:t>
            </w:r>
          </w:p>
        </w:tc>
      </w:tr>
      <w:tr w:rsidR="00000000">
        <w:trPr>
          <w:divId w:val="1732076942"/>
        </w:trPr>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b/>
                <w:bCs/>
                <w:color w:val="000000"/>
                <w:sz w:val="18"/>
                <w:szCs w:val="18"/>
              </w:rPr>
              <w:t>(State or Other Jurisdiction of</w:t>
            </w:r>
            <w:r>
              <w:rPr>
                <w:rFonts w:eastAsia="Times New Roman"/>
                <w:b/>
                <w:bCs/>
                <w:color w:val="000000"/>
                <w:sz w:val="18"/>
                <w:szCs w:val="18"/>
              </w:rPr>
              <w:br/>
              <w:t>Incorporation or Organization)</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b/>
                <w:bCs/>
                <w:color w:val="000000"/>
                <w:sz w:val="18"/>
                <w:szCs w:val="18"/>
              </w:rPr>
              <w:t>(I.R.S. Employer Identification No.)</w:t>
            </w:r>
          </w:p>
        </w:tc>
      </w:tr>
    </w:tbl>
    <w:p w:rsidR="00000000" w:rsidRDefault="00DF5BC2">
      <w:pPr>
        <w:jc w:val="center"/>
        <w:rPr>
          <w:rFonts w:eastAsia="Times New Roman"/>
        </w:rPr>
      </w:pPr>
      <w:r>
        <w:rPr>
          <w:rFonts w:eastAsia="Times New Roman"/>
          <w:color w:val="000000"/>
          <w:sz w:val="18"/>
          <w:szCs w:val="18"/>
        </w:rPr>
        <w:t xml:space="preserve">460 North Gulph Road, </w:t>
      </w:r>
      <w:r>
        <w:rPr>
          <w:rFonts w:eastAsia="Times New Roman"/>
          <w:color w:val="000000"/>
          <w:sz w:val="18"/>
          <w:szCs w:val="18"/>
        </w:rPr>
        <w:t xml:space="preserve">King of Prussia, PA 19406 </w:t>
      </w:r>
    </w:p>
    <w:p w:rsidR="00000000" w:rsidRDefault="00DF5BC2">
      <w:pPr>
        <w:jc w:val="center"/>
        <w:rPr>
          <w:rFonts w:eastAsia="Times New Roman"/>
        </w:rPr>
      </w:pPr>
      <w:r>
        <w:rPr>
          <w:rFonts w:eastAsia="Times New Roman"/>
          <w:b/>
          <w:bCs/>
          <w:color w:val="000000"/>
          <w:sz w:val="18"/>
          <w:szCs w:val="18"/>
        </w:rPr>
        <w:t>(Address of Principal Executive Offices) (Zip Code)</w:t>
      </w:r>
    </w:p>
    <w:p w:rsidR="00000000" w:rsidRDefault="00DF5BC2">
      <w:pPr>
        <w:jc w:val="center"/>
        <w:rPr>
          <w:rFonts w:eastAsia="Times New Roman"/>
        </w:rPr>
      </w:pPr>
      <w:r>
        <w:rPr>
          <w:rFonts w:eastAsia="Times New Roman"/>
          <w:color w:val="000000"/>
          <w:sz w:val="18"/>
          <w:szCs w:val="18"/>
        </w:rPr>
        <w:t xml:space="preserve">(610) 337-1000 </w:t>
      </w:r>
    </w:p>
    <w:p w:rsidR="00000000" w:rsidRDefault="00DF5BC2">
      <w:pPr>
        <w:jc w:val="center"/>
        <w:rPr>
          <w:rFonts w:eastAsia="Times New Roman"/>
        </w:rPr>
      </w:pPr>
      <w:r>
        <w:rPr>
          <w:rFonts w:eastAsia="Times New Roman"/>
          <w:b/>
          <w:bCs/>
          <w:color w:val="000000"/>
          <w:sz w:val="18"/>
          <w:szCs w:val="18"/>
        </w:rPr>
        <w:t>(Registrant’s telephone number, including area code)</w:t>
      </w:r>
    </w:p>
    <w:p w:rsidR="00000000" w:rsidRDefault="00DF5BC2">
      <w:pPr>
        <w:jc w:val="center"/>
        <w:rPr>
          <w:rFonts w:eastAsia="Times New Roman"/>
        </w:rPr>
      </w:pPr>
      <w:r>
        <w:rPr>
          <w:rFonts w:eastAsia="Times New Roman"/>
          <w:b/>
          <w:bCs/>
          <w:color w:val="000000"/>
          <w:sz w:val="18"/>
          <w:szCs w:val="18"/>
        </w:rPr>
        <w:t>Securities registered pursuant to Section 12(b) of the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3258"/>
        <w:gridCol w:w="37"/>
        <w:gridCol w:w="69"/>
        <w:gridCol w:w="1460"/>
        <w:gridCol w:w="36"/>
        <w:gridCol w:w="69"/>
        <w:gridCol w:w="3259"/>
        <w:gridCol w:w="36"/>
      </w:tblGrid>
      <w:tr w:rsidR="00000000">
        <w:trPr>
          <w:divId w:val="201406787"/>
        </w:trPr>
        <w:tc>
          <w:tcPr>
            <w:tcW w:w="50" w:type="pct"/>
            <w:vAlign w:val="center"/>
            <w:hideMark/>
          </w:tcPr>
          <w:p w:rsidR="00000000" w:rsidRDefault="00DF5BC2">
            <w:pPr>
              <w:jc w:val="center"/>
              <w:rPr>
                <w:rFonts w:eastAsia="Times New Roman"/>
              </w:rPr>
            </w:pPr>
          </w:p>
        </w:tc>
        <w:tc>
          <w:tcPr>
            <w:tcW w:w="197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8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97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201406787"/>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Name of each exchange on which registered:</w:t>
            </w:r>
          </w:p>
        </w:tc>
      </w:tr>
      <w:tr w:rsidR="00000000">
        <w:trPr>
          <w:divId w:val="201406787"/>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18"/>
                <w:szCs w:val="18"/>
              </w:rPr>
              <w:t>Common Stock, without par value</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UGI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18"/>
                <w:szCs w:val="18"/>
              </w:rPr>
              <w:t>New York Stock Exchange</w:t>
            </w:r>
          </w:p>
        </w:tc>
      </w:tr>
      <w:tr w:rsidR="00000000">
        <w:trPr>
          <w:divId w:val="201406787"/>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18"/>
                <w:szCs w:val="18"/>
              </w:rPr>
              <w:t>Corporate Units</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UGIC</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18"/>
                <w:szCs w:val="18"/>
              </w:rPr>
              <w:t>New York Stock Exchange</w:t>
            </w:r>
          </w:p>
        </w:tc>
      </w:tr>
    </w:tbl>
    <w:p w:rsidR="00000000" w:rsidRDefault="00DF5BC2">
      <w:pPr>
        <w:jc w:val="center"/>
        <w:rPr>
          <w:rFonts w:eastAsia="Times New Roman"/>
        </w:rPr>
      </w:pPr>
      <w:r>
        <w:rPr>
          <w:rFonts w:eastAsia="Times New Roman"/>
          <w:b/>
          <w:bCs/>
          <w:color w:val="000000"/>
          <w:sz w:val="18"/>
          <w:szCs w:val="18"/>
        </w:rPr>
        <w:t>Securities registered pursuant to Section 12(g) of the Act:</w:t>
      </w:r>
      <w:r>
        <w:rPr>
          <w:rFonts w:eastAsia="Times New Roman"/>
          <w:color w:val="000000"/>
          <w:sz w:val="18"/>
          <w:szCs w:val="18"/>
        </w:rPr>
        <w:t xml:space="preserve"> None</w:t>
      </w:r>
    </w:p>
    <w:p w:rsidR="00000000" w:rsidRDefault="00DF5BC2">
      <w:pPr>
        <w:jc w:val="both"/>
        <w:divId w:val="1299412031"/>
        <w:rPr>
          <w:rFonts w:eastAsia="Times New Roman"/>
        </w:rPr>
      </w:pPr>
      <w:r>
        <w:rPr>
          <w:rFonts w:eastAsia="Times New Roman"/>
          <w:color w:val="000000"/>
          <w:sz w:val="18"/>
          <w:szCs w:val="18"/>
        </w:rPr>
        <w:t xml:space="preserve">Indicate by check mark if the registrant is a well-known seasoned issuer, as defined in Rule 405 of the Securities Act.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DF5BC2">
      <w:pPr>
        <w:jc w:val="both"/>
        <w:divId w:val="1252663367"/>
        <w:rPr>
          <w:rFonts w:eastAsia="Times New Roman"/>
        </w:rPr>
      </w:pPr>
      <w:r>
        <w:rPr>
          <w:rFonts w:eastAsia="Times New Roman"/>
          <w:color w:val="000000"/>
          <w:sz w:val="18"/>
          <w:szCs w:val="18"/>
        </w:rPr>
        <w:t xml:space="preserve">Indicate by check mark if the registrant is not required to </w:t>
      </w:r>
      <w:r>
        <w:rPr>
          <w:rFonts w:eastAsia="Times New Roman"/>
          <w:color w:val="000000"/>
          <w:sz w:val="18"/>
          <w:szCs w:val="18"/>
        </w:rPr>
        <w:t xml:space="preserve">file reports pursuant to Section 13 or Section 15(d) of the Act.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Emoji" w:eastAsia="Times New Roman" w:hAnsi="Segoe UI Emoji" w:cs="Segoe UI Emoji"/>
          <w:color w:val="000000"/>
          <w:sz w:val="18"/>
          <w:szCs w:val="18"/>
        </w:rPr>
        <w:t>☑</w:t>
      </w:r>
    </w:p>
    <w:p w:rsidR="00000000" w:rsidRDefault="00DF5BC2">
      <w:pPr>
        <w:jc w:val="both"/>
        <w:divId w:val="1422222310"/>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DF5BC2">
      <w:pPr>
        <w:jc w:val="both"/>
        <w:divId w:val="471757385"/>
        <w:rPr>
          <w:rFonts w:eastAsia="Times New Roman"/>
        </w:rPr>
      </w:pPr>
      <w:r>
        <w:rPr>
          <w:rFonts w:eastAsia="Times New Roman"/>
          <w:color w:val="000000"/>
          <w:sz w:val="18"/>
          <w:szCs w:val="18"/>
        </w:rPr>
        <w:t>Indi</w:t>
      </w:r>
      <w:r>
        <w:rPr>
          <w:rFonts w:eastAsia="Times New Roman"/>
          <w:color w:val="000000"/>
          <w:sz w:val="18"/>
          <w:szCs w:val="18"/>
        </w:rPr>
        <w:t>cate by check mark whether the registrant has submitted electronically every Interactive Data File required to be submitted pursuant to Rule 405 of Regulation S-T (§232.405 of this chapter) during the preceding 12 months (or for such shorter period that th</w:t>
      </w:r>
      <w:r>
        <w:rPr>
          <w:rFonts w:eastAsia="Times New Roman"/>
          <w:color w:val="000000"/>
          <w:sz w:val="18"/>
          <w:szCs w:val="18"/>
        </w:rPr>
        <w:t xml:space="preserve">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DF5BC2">
      <w:pPr>
        <w:jc w:val="both"/>
        <w:divId w:val="2134205525"/>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the defin</w:t>
      </w:r>
      <w:r>
        <w:rPr>
          <w:rFonts w:eastAsia="Times New Roman"/>
          <w:color w:val="000000"/>
          <w:sz w:val="18"/>
          <w:szCs w:val="18"/>
        </w:rPr>
        <w:t>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5"/>
        <w:gridCol w:w="1919"/>
        <w:gridCol w:w="36"/>
        <w:gridCol w:w="95"/>
        <w:gridCol w:w="184"/>
        <w:gridCol w:w="36"/>
        <w:gridCol w:w="65"/>
        <w:gridCol w:w="618"/>
        <w:gridCol w:w="36"/>
        <w:gridCol w:w="65"/>
        <w:gridCol w:w="1919"/>
        <w:gridCol w:w="36"/>
        <w:gridCol w:w="65"/>
        <w:gridCol w:w="145"/>
        <w:gridCol w:w="36"/>
        <w:gridCol w:w="65"/>
        <w:gridCol w:w="618"/>
        <w:gridCol w:w="36"/>
        <w:gridCol w:w="65"/>
        <w:gridCol w:w="1919"/>
        <w:gridCol w:w="36"/>
        <w:gridCol w:w="65"/>
        <w:gridCol w:w="146"/>
        <w:gridCol w:w="36"/>
      </w:tblGrid>
      <w:tr w:rsidR="00000000">
        <w:trPr>
          <w:divId w:val="2142797565"/>
        </w:trPr>
        <w:tc>
          <w:tcPr>
            <w:tcW w:w="50" w:type="pct"/>
            <w:vAlign w:val="center"/>
            <w:hideMark/>
          </w:tcPr>
          <w:p w:rsidR="00000000" w:rsidRDefault="00DF5BC2">
            <w:pPr>
              <w:jc w:val="both"/>
              <w:rPr>
                <w:rFonts w:eastAsia="Times New Roman"/>
              </w:rPr>
            </w:pPr>
          </w:p>
        </w:tc>
        <w:tc>
          <w:tcPr>
            <w:tcW w:w="116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16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16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2142797565"/>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ascii="Segoe UI Emoji" w:eastAsia="Times New Roman" w:hAnsi="Segoe UI Emoji" w:cs="Segoe UI Emoji"/>
                <w:color w:val="000000"/>
                <w:sz w:val="18"/>
                <w:szCs w:val="18"/>
              </w:rPr>
              <w:t>☑</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ascii="Segoe UI Symbol" w:eastAsia="Times New Roman" w:hAnsi="Segoe UI Symbol" w:cs="Segoe UI Symbol"/>
                <w:color w:val="000000"/>
                <w:sz w:val="18"/>
                <w:szCs w:val="18"/>
              </w:rPr>
              <w:t>☐</w:t>
            </w:r>
          </w:p>
        </w:tc>
      </w:tr>
      <w:tr w:rsidR="00000000">
        <w:trPr>
          <w:divId w:val="2142797565"/>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DF5BC2">
      <w:pPr>
        <w:jc w:val="both"/>
        <w:divId w:val="1732386210"/>
        <w:rPr>
          <w:rFonts w:eastAsia="Times New Roman"/>
        </w:rPr>
      </w:pPr>
      <w:r>
        <w:rPr>
          <w:rFonts w:eastAsia="Times New Roman"/>
          <w:color w:val="000000"/>
          <w:sz w:val="18"/>
          <w:szCs w:val="18"/>
        </w:rPr>
        <w:lastRenderedPageBreak/>
        <w:t>Indicate by check mark whether the registrant has filed a report on and attestation to its management’s assessment of the effectiveness of its internal control over financial reporting under Section 404(b) of the Sarbanes-Oxley Act (15 U.S.C. 7262(b)) by t</w:t>
      </w:r>
      <w:r>
        <w:rPr>
          <w:rFonts w:eastAsia="Times New Roman"/>
          <w:color w:val="000000"/>
          <w:sz w:val="18"/>
          <w:szCs w:val="18"/>
        </w:rPr>
        <w:t>he registered public accounting firm that prepared or issued its audit repo</w:t>
      </w:r>
      <w:r>
        <w:rPr>
          <w:rFonts w:ascii="Arial Unicode MS" w:eastAsia="Times New Roman" w:hAnsi="Arial Unicode MS"/>
          <w:color w:val="000000"/>
          <w:sz w:val="18"/>
          <w:szCs w:val="18"/>
        </w:rPr>
        <w:t xml:space="preserve">rt. </w:t>
      </w:r>
      <w:r>
        <w:rPr>
          <w:rFonts w:ascii="Segoe UI Emoji" w:eastAsia="Times New Roman" w:hAnsi="Segoe UI Emoji" w:cs="Segoe UI Emoji"/>
          <w:color w:val="000000"/>
          <w:sz w:val="18"/>
          <w:szCs w:val="18"/>
        </w:rPr>
        <w:t>☑</w:t>
      </w:r>
      <w:r>
        <w:rPr>
          <w:rFonts w:eastAsia="Times New Roman"/>
          <w:color w:val="000000"/>
          <w:sz w:val="18"/>
          <w:szCs w:val="18"/>
        </w:rPr>
        <w:t xml:space="preserve"> </w:t>
      </w:r>
    </w:p>
    <w:p w:rsidR="00000000" w:rsidRDefault="00DF5BC2">
      <w:pPr>
        <w:jc w:val="both"/>
        <w:divId w:val="1427535577"/>
        <w:rPr>
          <w:rFonts w:eastAsia="Times New Roman"/>
        </w:rPr>
      </w:pPr>
      <w:r>
        <w:rPr>
          <w:rFonts w:eastAsia="Times New Roman"/>
          <w:color w:val="000000"/>
          <w:sz w:val="18"/>
          <w:szCs w:val="18"/>
        </w:rPr>
        <w:t xml:space="preserve">Indicate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Emoji" w:eastAsia="Times New Roman" w:hAnsi="Segoe UI Emoji" w:cs="Segoe UI Emoji"/>
          <w:color w:val="000000"/>
          <w:sz w:val="18"/>
          <w:szCs w:val="18"/>
        </w:rPr>
        <w:t>☑</w:t>
      </w:r>
    </w:p>
    <w:p w:rsidR="00000000" w:rsidRDefault="00DF5BC2">
      <w:pPr>
        <w:jc w:val="both"/>
        <w:divId w:val="328674533"/>
        <w:rPr>
          <w:rFonts w:eastAsia="Times New Roman"/>
        </w:rPr>
      </w:pPr>
      <w:r>
        <w:rPr>
          <w:rFonts w:eastAsia="Times New Roman"/>
          <w:color w:val="000000"/>
          <w:sz w:val="18"/>
          <w:szCs w:val="18"/>
        </w:rPr>
        <w:t xml:space="preserve">The aggregate market value of UGI Corporation Common Stock </w:t>
      </w:r>
      <w:r>
        <w:rPr>
          <w:rFonts w:eastAsia="Times New Roman"/>
          <w:color w:val="000000"/>
          <w:sz w:val="18"/>
          <w:szCs w:val="18"/>
        </w:rPr>
        <w:t>held by non-affiliates of the registrant on March 31, 2021 was $8,512,319,963.</w:t>
      </w:r>
    </w:p>
    <w:p w:rsidR="00000000" w:rsidRDefault="00DF5BC2">
      <w:pPr>
        <w:jc w:val="both"/>
        <w:divId w:val="1705789093"/>
        <w:rPr>
          <w:rFonts w:eastAsia="Times New Roman"/>
        </w:rPr>
      </w:pPr>
      <w:r>
        <w:rPr>
          <w:rFonts w:eastAsia="Times New Roman"/>
          <w:color w:val="000000"/>
          <w:sz w:val="18"/>
          <w:szCs w:val="18"/>
        </w:rPr>
        <w:t>At November 12, 2021, there were 209,221,695 shares of UGI Corporation Common Stock issued and outstanding.</w:t>
      </w:r>
    </w:p>
    <w:p w:rsidR="00000000" w:rsidRDefault="00DF5BC2">
      <w:pPr>
        <w:jc w:val="both"/>
        <w:divId w:val="865412922"/>
        <w:rPr>
          <w:rFonts w:eastAsia="Times New Roman"/>
        </w:rPr>
      </w:pPr>
      <w:r>
        <w:rPr>
          <w:rFonts w:eastAsia="Times New Roman"/>
          <w:color w:val="000000"/>
          <w:sz w:val="18"/>
          <w:szCs w:val="18"/>
        </w:rPr>
        <w:t>Portions of the Proxy Statement for the Annual Meeting of Shareholder</w:t>
      </w:r>
      <w:r>
        <w:rPr>
          <w:rFonts w:eastAsia="Times New Roman"/>
          <w:color w:val="000000"/>
          <w:sz w:val="18"/>
          <w:szCs w:val="18"/>
        </w:rPr>
        <w:t>s to be held on January 28, 2022 are incorporated by reference into Part III of this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DF5BC2">
            <w:pPr>
              <w:jc w:val="both"/>
              <w:rPr>
                <w:rFonts w:eastAsia="Times New Roman"/>
              </w:rPr>
            </w:pPr>
          </w:p>
        </w:tc>
        <w:tc>
          <w:tcPr>
            <w:tcW w:w="494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24" w:space="0" w:color="000000"/>
            </w:tcBorders>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divId w:val="1514027648"/>
        <w:rPr>
          <w:rFonts w:eastAsia="Times New Roman"/>
        </w:rPr>
      </w:pPr>
    </w:p>
    <w:p w:rsidR="00000000" w:rsidRDefault="00DF5BC2">
      <w:pPr>
        <w:rPr>
          <w:rFonts w:eastAsia="Times New Roman"/>
        </w:rPr>
      </w:pPr>
      <w:r>
        <w:rPr>
          <w:rFonts w:eastAsia="Times New Roman"/>
        </w:rPr>
        <w:pict>
          <v:rect id="_x0000_i1025" style="width:0;height:1.5pt" o:hralign="center" o:hrstd="t" o:hr="t" fillcolor="#a0a0a0" stroked="f"/>
        </w:pict>
      </w:r>
    </w:p>
    <w:p w:rsidR="00000000" w:rsidRDefault="00DF5BC2">
      <w:pPr>
        <w:divId w:val="1352336202"/>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b/>
          <w:bCs/>
          <w:color w:val="000000"/>
          <w:sz w:val="20"/>
          <w:szCs w:val="20"/>
        </w:rPr>
        <w:t>TABLE OF CONTENTS</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9542"/>
        <w:gridCol w:w="36"/>
        <w:gridCol w:w="36"/>
        <w:gridCol w:w="559"/>
        <w:gridCol w:w="36"/>
      </w:tblGrid>
      <w:tr w:rsidR="00000000">
        <w:trPr>
          <w:divId w:val="1116220245"/>
          <w:jc w:val="center"/>
        </w:trPr>
        <w:tc>
          <w:tcPr>
            <w:tcW w:w="20" w:type="dxa"/>
            <w:vAlign w:val="center"/>
            <w:hideMark/>
          </w:tcPr>
          <w:p w:rsidR="00000000" w:rsidRDefault="00DF5BC2">
            <w:pPr>
              <w:jc w:val="center"/>
              <w:rPr>
                <w:rFonts w:eastAsia="Times New Roman"/>
              </w:rPr>
            </w:pPr>
          </w:p>
        </w:tc>
        <w:tc>
          <w:tcPr>
            <w:tcW w:w="9605"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56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Page</w:t>
            </w:r>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66726890"/>
              <w:rPr>
                <w:rFonts w:eastAsia="Times New Roman"/>
              </w:rPr>
            </w:pPr>
            <w:hyperlink w:anchor="ica38aa2cb9a04eba8f8cadac27ee7fb9_10" w:history="1">
              <w:r>
                <w:rPr>
                  <w:rStyle w:val="a3"/>
                  <w:rFonts w:eastAsia="Times New Roman"/>
                  <w:sz w:val="20"/>
                  <w:szCs w:val="20"/>
                </w:rPr>
                <w:t>Glossary of Terms and Abbreviations</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0" w:history="1">
              <w:r>
                <w:rPr>
                  <w:rStyle w:val="a3"/>
                  <w:rFonts w:eastAsia="Times New Roman"/>
                  <w:sz w:val="20"/>
                  <w:szCs w:val="20"/>
                </w:rPr>
                <w:t>2</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109275690"/>
              <w:rPr>
                <w:rFonts w:eastAsia="Times New Roman"/>
              </w:rPr>
            </w:pPr>
            <w:hyperlink w:anchor="ica38aa2cb9a04eba8f8cadac27ee7fb9_13" w:history="1">
              <w:r>
                <w:rPr>
                  <w:rStyle w:val="a3"/>
                  <w:rFonts w:eastAsia="Times New Roman"/>
                  <w:sz w:val="20"/>
                  <w:szCs w:val="20"/>
                </w:rPr>
                <w:t>Forward-Looking Information</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3" w:history="1">
              <w:r>
                <w:rPr>
                  <w:rStyle w:val="a3"/>
                  <w:rFonts w:eastAsia="Times New Roman"/>
                  <w:sz w:val="20"/>
                  <w:szCs w:val="20"/>
                </w:rPr>
                <w:t>9</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903494652"/>
              <w:rPr>
                <w:rFonts w:eastAsia="Times New Roman"/>
              </w:rPr>
            </w:pPr>
            <w:hyperlink w:anchor="ica38aa2cb9a04eba8f8cadac27ee7fb9_16"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997878511"/>
              <w:rPr>
                <w:rFonts w:eastAsia="Times New Roman"/>
              </w:rPr>
            </w:pPr>
            <w:hyperlink w:anchor="ica38aa2cb9a04eba8f8cadac27ee7fb9_19" w:history="1">
              <w:r>
                <w:rPr>
                  <w:rStyle w:val="a3"/>
                  <w:rFonts w:eastAsia="Times New Roman"/>
                  <w:sz w:val="20"/>
                  <w:szCs w:val="20"/>
                </w:rPr>
                <w:t>Items 1. and 2. Business and Properties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9" w:history="1">
              <w:r>
                <w:rPr>
                  <w:rStyle w:val="a3"/>
                  <w:rFonts w:eastAsia="Times New Roman"/>
                  <w:sz w:val="20"/>
                  <w:szCs w:val="20"/>
                </w:rPr>
                <w:t>9</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2100788006"/>
              <w:rPr>
                <w:rFonts w:eastAsia="Times New Roman"/>
              </w:rPr>
            </w:pPr>
            <w:hyperlink w:anchor="ica38aa2cb9a04eba8f8cadac27ee7fb9_43"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43" w:history="1">
              <w:r>
                <w:rPr>
                  <w:rStyle w:val="a3"/>
                  <w:rFonts w:eastAsia="Times New Roman"/>
                  <w:sz w:val="20"/>
                  <w:szCs w:val="20"/>
                </w:rPr>
                <w:t>34</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451560184"/>
              <w:rPr>
                <w:rFonts w:eastAsia="Times New Roman"/>
              </w:rPr>
            </w:pPr>
            <w:hyperlink w:anchor="ica38aa2cb9a04eba8f8cadac27ee7fb9_46" w:history="1">
              <w:r>
                <w:rPr>
                  <w:rStyle w:val="a3"/>
                  <w:rFonts w:eastAsia="Times New Roman"/>
                  <w:sz w:val="20"/>
                  <w:szCs w:val="20"/>
                </w:rPr>
                <w:t>Item 1B. Unresolved Staff Comments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46" w:history="1">
              <w:r>
                <w:rPr>
                  <w:rStyle w:val="a3"/>
                  <w:rFonts w:eastAsia="Times New Roman"/>
                  <w:sz w:val="20"/>
                  <w:szCs w:val="20"/>
                </w:rPr>
                <w:t>47</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261260233"/>
              <w:rPr>
                <w:rFonts w:eastAsia="Times New Roman"/>
              </w:rPr>
            </w:pPr>
            <w:hyperlink w:anchor="ica38aa2cb9a04eba8f8cadac27ee7fb9_49" w:history="1">
              <w:r>
                <w:rPr>
                  <w:rStyle w:val="a3"/>
                  <w:rFonts w:eastAsia="Times New Roman"/>
                  <w:sz w:val="20"/>
                  <w:szCs w:val="20"/>
                </w:rPr>
                <w:t>Item 3. Legal Proceedings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49" w:history="1">
              <w:r>
                <w:rPr>
                  <w:rStyle w:val="a3"/>
                  <w:rFonts w:eastAsia="Times New Roman"/>
                  <w:sz w:val="20"/>
                  <w:szCs w:val="20"/>
                </w:rPr>
                <w:t>47</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869883028"/>
              <w:rPr>
                <w:rFonts w:eastAsia="Times New Roman"/>
              </w:rPr>
            </w:pPr>
            <w:hyperlink w:anchor="ica38aa2cb9a04eba8f8cadac27ee7fb9_52"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52" w:history="1">
              <w:r>
                <w:rPr>
                  <w:rStyle w:val="a3"/>
                  <w:rFonts w:eastAsia="Times New Roman"/>
                  <w:sz w:val="20"/>
                  <w:szCs w:val="20"/>
                </w:rPr>
                <w:t>48</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110665401"/>
              <w:rPr>
                <w:rFonts w:eastAsia="Times New Roman"/>
              </w:rPr>
            </w:pPr>
            <w:hyperlink w:anchor="ica38aa2cb9a04eba8f8cadac27ee7fb9_55"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r>
      <w:tr w:rsidR="00000000">
        <w:trPr>
          <w:divId w:val="1116220245"/>
          <w:trHeight w:val="480"/>
          <w:jc w:val="center"/>
        </w:trPr>
        <w:tc>
          <w:tcPr>
            <w:tcW w:w="0" w:type="auto"/>
            <w:gridSpan w:val="3"/>
            <w:tcMar>
              <w:top w:w="30" w:type="dxa"/>
              <w:left w:w="20" w:type="dxa"/>
              <w:bottom w:w="30" w:type="dxa"/>
              <w:right w:w="20" w:type="dxa"/>
            </w:tcMar>
            <w:vAlign w:val="bottom"/>
            <w:hideMark/>
          </w:tcPr>
          <w:p w:rsidR="00000000" w:rsidRDefault="00DF5BC2">
            <w:pPr>
              <w:spacing w:after="100"/>
              <w:divId w:val="864561895"/>
              <w:rPr>
                <w:rFonts w:eastAsia="Times New Roman"/>
              </w:rPr>
            </w:pPr>
            <w:hyperlink w:anchor="ica38aa2cb9a04eba8f8cadac27ee7fb9_58" w:history="1">
              <w:r>
                <w:rPr>
                  <w:rStyle w:val="a3"/>
                  <w:rFonts w:eastAsia="Times New Roman"/>
                  <w:sz w:val="20"/>
                  <w:szCs w:val="20"/>
                </w:rPr>
                <w:t>Item 5. Market for Registrant’</w:t>
              </w:r>
              <w:r>
                <w:rPr>
                  <w:rStyle w:val="a3"/>
                  <w:rFonts w:eastAsia="Times New Roman"/>
                  <w:sz w:val="20"/>
                  <w:szCs w:val="20"/>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58" w:history="1">
              <w:r>
                <w:rPr>
                  <w:rStyle w:val="a3"/>
                  <w:rFonts w:eastAsia="Times New Roman"/>
                  <w:sz w:val="20"/>
                  <w:szCs w:val="20"/>
                </w:rPr>
                <w:t>49</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730348090"/>
              <w:rPr>
                <w:rFonts w:eastAsia="Times New Roman"/>
              </w:rPr>
            </w:pPr>
            <w:hyperlink w:anchor="ica38aa2cb9a04eba8f8cadac27ee7fb9_61" w:history="1">
              <w:r>
                <w:rPr>
                  <w:rStyle w:val="a3"/>
                  <w:rFonts w:eastAsia="Times New Roman"/>
                  <w:sz w:val="20"/>
                  <w:szCs w:val="20"/>
                </w:rPr>
                <w:t>Item 6. Selected Financial Data</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61" w:history="1">
              <w:r>
                <w:rPr>
                  <w:rStyle w:val="a3"/>
                  <w:rFonts w:eastAsia="Times New Roman"/>
                  <w:sz w:val="20"/>
                  <w:szCs w:val="20"/>
                </w:rPr>
                <w:t>50</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761028970"/>
              <w:rPr>
                <w:rFonts w:eastAsia="Times New Roman"/>
              </w:rPr>
            </w:pPr>
            <w:hyperlink w:anchor="ica38aa2cb9a04eba8f8cadac27ee7fb9_64" w:history="1">
              <w:r>
                <w:rPr>
                  <w:rStyle w:val="a3"/>
                  <w:rFonts w:eastAsia="Times New Roman"/>
                  <w:sz w:val="20"/>
                  <w:szCs w:val="20"/>
                </w:rPr>
                <w:t>Item 7. Management’s Discussion and Ana</w:t>
              </w:r>
              <w:r>
                <w:rPr>
                  <w:rStyle w:val="a3"/>
                  <w:rFonts w:eastAsia="Times New Roman"/>
                  <w:sz w:val="20"/>
                  <w:szCs w:val="20"/>
                </w:rPr>
                <w:t>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64" w:history="1">
              <w:r>
                <w:rPr>
                  <w:rStyle w:val="a3"/>
                  <w:rFonts w:eastAsia="Times New Roman"/>
                  <w:sz w:val="20"/>
                  <w:szCs w:val="20"/>
                </w:rPr>
                <w:t>50</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353267054"/>
              <w:rPr>
                <w:rFonts w:eastAsia="Times New Roman"/>
              </w:rPr>
            </w:pPr>
            <w:hyperlink w:anchor="ica38aa2cb9a04eba8f8cadac27ee7fb9_94" w:history="1">
              <w:r>
                <w:rPr>
                  <w:rStyle w:val="a3"/>
                  <w:rFonts w:eastAsia="Times New Roman"/>
                  <w:sz w:val="20"/>
                  <w:szCs w:val="20"/>
                </w:rPr>
                <w:t>Item 7A.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94" w:history="1">
              <w:r>
                <w:rPr>
                  <w:rStyle w:val="a3"/>
                  <w:rFonts w:eastAsia="Times New Roman"/>
                  <w:sz w:val="20"/>
                  <w:szCs w:val="20"/>
                </w:rPr>
                <w:t>69</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36535566"/>
              <w:rPr>
                <w:rFonts w:eastAsia="Times New Roman"/>
              </w:rPr>
            </w:pPr>
            <w:hyperlink w:anchor="ica38aa2cb9a04eba8f8cadac27ee7fb9_97" w:history="1">
              <w:r>
                <w:rPr>
                  <w:rStyle w:val="a3"/>
                  <w:rFonts w:eastAsia="Times New Roman"/>
                  <w:sz w:val="20"/>
                  <w:szCs w:val="20"/>
                </w:rPr>
                <w:t>Item 8. Financial Statements and Supplementary Data</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97" w:history="1">
              <w:r>
                <w:rPr>
                  <w:rStyle w:val="a3"/>
                  <w:rFonts w:eastAsia="Times New Roman"/>
                  <w:sz w:val="20"/>
                  <w:szCs w:val="20"/>
                </w:rPr>
                <w:t>69</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371422150"/>
              <w:rPr>
                <w:rFonts w:eastAsia="Times New Roman"/>
              </w:rPr>
            </w:pPr>
            <w:hyperlink w:anchor="ica38aa2cb9a04eba8f8cadac27ee7fb9_100" w:history="1">
              <w:r>
                <w:rPr>
                  <w:rStyle w:val="a3"/>
                  <w:rFonts w:eastAsia="Times New Roman"/>
                  <w:sz w:val="20"/>
                  <w:szCs w:val="20"/>
                </w:rPr>
                <w:t>Item 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00" w:history="1">
              <w:r>
                <w:rPr>
                  <w:rStyle w:val="a3"/>
                  <w:rFonts w:eastAsia="Times New Roman"/>
                  <w:sz w:val="20"/>
                  <w:szCs w:val="20"/>
                </w:rPr>
                <w:t>69</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827745398"/>
              <w:rPr>
                <w:rFonts w:eastAsia="Times New Roman"/>
              </w:rPr>
            </w:pPr>
            <w:hyperlink w:anchor="ica38aa2cb9a04eba8f8cadac27ee7fb9_103" w:history="1">
              <w:r>
                <w:rPr>
                  <w:rStyle w:val="a3"/>
                  <w:rFonts w:eastAsia="Times New Roman"/>
                  <w:sz w:val="20"/>
                  <w:szCs w:val="20"/>
                </w:rPr>
                <w:t>Item 9A. Controls and Procedures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03" w:history="1">
              <w:r>
                <w:rPr>
                  <w:rStyle w:val="a3"/>
                  <w:rFonts w:eastAsia="Times New Roman"/>
                  <w:sz w:val="20"/>
                  <w:szCs w:val="20"/>
                </w:rPr>
                <w:t>69</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797983343"/>
              <w:rPr>
                <w:rFonts w:eastAsia="Times New Roman"/>
              </w:rPr>
            </w:pPr>
            <w:hyperlink w:anchor="ica38aa2cb9a04eba8f8cadac27ee7fb9_106" w:history="1">
              <w:r>
                <w:rPr>
                  <w:rStyle w:val="a3"/>
                  <w:rFonts w:eastAsia="Times New Roman"/>
                  <w:sz w:val="20"/>
                  <w:szCs w:val="20"/>
                </w:rPr>
                <w:t>Item </w:t>
              </w:r>
              <w:r>
                <w:rPr>
                  <w:rStyle w:val="a3"/>
                  <w:rFonts w:eastAsia="Times New Roman"/>
                  <w:sz w:val="20"/>
                  <w:szCs w:val="20"/>
                </w:rPr>
                <w:t>9B. Other Information</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06" w:history="1">
              <w:r>
                <w:rPr>
                  <w:rStyle w:val="a3"/>
                  <w:rFonts w:eastAsia="Times New Roman"/>
                  <w:sz w:val="20"/>
                  <w:szCs w:val="20"/>
                </w:rPr>
                <w:t>71</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345909847"/>
              <w:rPr>
                <w:rFonts w:eastAsia="Times New Roman"/>
              </w:rPr>
            </w:pPr>
            <w:hyperlink w:anchor="ica38aa2cb9a04eba8f8cadac27ee7fb9_109"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420054199"/>
              <w:rPr>
                <w:rFonts w:eastAsia="Times New Roman"/>
              </w:rPr>
            </w:pPr>
            <w:hyperlink w:anchor="ica38aa2cb9a04eba8f8cadac27ee7fb9_112" w:history="1">
              <w:r>
                <w:rPr>
                  <w:rStyle w:val="a3"/>
                  <w:rFonts w:eastAsia="Times New Roman"/>
                  <w:sz w:val="20"/>
                  <w:szCs w:val="20"/>
                </w:rPr>
                <w:t>Item 10. 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12" w:history="1">
              <w:r>
                <w:rPr>
                  <w:rStyle w:val="a3"/>
                  <w:rFonts w:eastAsia="Times New Roman"/>
                  <w:sz w:val="20"/>
                  <w:szCs w:val="20"/>
                </w:rPr>
                <w:t>72</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819881233"/>
              <w:rPr>
                <w:rFonts w:eastAsia="Times New Roman"/>
              </w:rPr>
            </w:pPr>
            <w:hyperlink w:anchor="ica38aa2cb9a04eba8f8cadac27ee7fb9_112" w:history="1">
              <w:r>
                <w:rPr>
                  <w:rStyle w:val="a3"/>
                  <w:rFonts w:eastAsia="Times New Roman"/>
                  <w:sz w:val="20"/>
                  <w:szCs w:val="20"/>
                </w:rPr>
                <w:t>Item</w:t>
              </w:r>
              <w:r>
                <w:rPr>
                  <w:rStyle w:val="a3"/>
                  <w:rFonts w:eastAsia="Times New Roman"/>
                  <w:sz w:val="20"/>
                  <w:szCs w:val="20"/>
                </w:rPr>
                <w:t> 11. Executive Compensation</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12" w:history="1">
              <w:r>
                <w:rPr>
                  <w:rStyle w:val="a3"/>
                  <w:rFonts w:eastAsia="Times New Roman"/>
                  <w:sz w:val="20"/>
                  <w:szCs w:val="20"/>
                </w:rPr>
                <w:t>72</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815073860"/>
              <w:rPr>
                <w:rFonts w:eastAsia="Times New Roman"/>
              </w:rPr>
            </w:pPr>
            <w:hyperlink w:anchor="ica38aa2cb9a04eba8f8cadac27ee7fb9_112" w:history="1">
              <w:r>
                <w:rPr>
                  <w:rStyle w:val="a3"/>
                  <w:rFonts w:eastAsia="Times New Roman"/>
                  <w:sz w:val="20"/>
                  <w:szCs w:val="20"/>
                </w:rPr>
                <w:t>Item 12. Security Ownership of Certain Beneficial Owners and Management and Related Stockholder Matt</w:t>
              </w:r>
              <w:r>
                <w:rPr>
                  <w:rStyle w:val="a3"/>
                  <w:rFonts w:eastAsia="Times New Roman"/>
                  <w:sz w:val="20"/>
                  <w:szCs w:val="20"/>
                </w:rPr>
                <w:t>ers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12" w:history="1">
              <w:r>
                <w:rPr>
                  <w:rStyle w:val="a3"/>
                  <w:rFonts w:eastAsia="Times New Roman"/>
                  <w:sz w:val="20"/>
                  <w:szCs w:val="20"/>
                </w:rPr>
                <w:t>72</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298756915"/>
              <w:rPr>
                <w:rFonts w:eastAsia="Times New Roman"/>
              </w:rPr>
            </w:pPr>
            <w:hyperlink w:anchor="ica38aa2cb9a04eba8f8cadac27ee7fb9_112" w:history="1">
              <w:r>
                <w:rPr>
                  <w:rStyle w:val="a3"/>
                  <w:rFonts w:eastAsia="Times New Roman"/>
                  <w:sz w:val="20"/>
                  <w:szCs w:val="20"/>
                </w:rPr>
                <w:t>Item </w:t>
              </w:r>
              <w:r>
                <w:rPr>
                  <w:rStyle w:val="a3"/>
                  <w:rFonts w:eastAsia="Times New Roman"/>
                  <w:sz w:val="20"/>
                  <w:szCs w:val="20"/>
                </w:rPr>
                <w:t>13. 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12" w:history="1">
              <w:r>
                <w:rPr>
                  <w:rStyle w:val="a3"/>
                  <w:rFonts w:eastAsia="Times New Roman"/>
                  <w:sz w:val="20"/>
                  <w:szCs w:val="20"/>
                </w:rPr>
                <w:t>72</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044328010"/>
              <w:rPr>
                <w:rFonts w:eastAsia="Times New Roman"/>
              </w:rPr>
            </w:pPr>
            <w:hyperlink w:anchor="ica38aa2cb9a04eba8f8cadac27ee7fb9_112" w:history="1">
              <w:r>
                <w:rPr>
                  <w:rStyle w:val="a3"/>
                  <w:rFonts w:eastAsia="Times New Roman"/>
                  <w:sz w:val="20"/>
                  <w:szCs w:val="20"/>
                </w:rPr>
                <w:t>Item 14. Principal Accounting Fees and Services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12" w:history="1">
              <w:r>
                <w:rPr>
                  <w:rStyle w:val="a3"/>
                  <w:rFonts w:eastAsia="Times New Roman"/>
                  <w:sz w:val="20"/>
                  <w:szCs w:val="20"/>
                </w:rPr>
                <w:t>72</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908949777"/>
              <w:rPr>
                <w:rFonts w:eastAsia="Times New Roman"/>
              </w:rPr>
            </w:pPr>
            <w:hyperlink w:anchor="ica38aa2cb9a04eba8f8cadac27ee7fb9_115" w:history="1">
              <w:r>
                <w:rPr>
                  <w:rStyle w:val="a3"/>
                  <w:rFonts w:eastAsia="Times New Roman"/>
                  <w:b/>
                  <w:bCs/>
                  <w:sz w:val="20"/>
                  <w:szCs w:val="20"/>
                </w:rPr>
                <w:t>PART IV:</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264849568"/>
              <w:rPr>
                <w:rFonts w:eastAsia="Times New Roman"/>
              </w:rPr>
            </w:pPr>
            <w:hyperlink w:anchor="ica38aa2cb9a04eba8f8cadac27ee7fb9_118" w:history="1">
              <w:r>
                <w:rPr>
                  <w:rStyle w:val="a3"/>
                  <w:rFonts w:eastAsia="Times New Roman"/>
                  <w:sz w:val="20"/>
                  <w:szCs w:val="20"/>
                </w:rPr>
                <w:t>Item </w:t>
              </w:r>
              <w:r>
                <w:rPr>
                  <w:rStyle w:val="a3"/>
                  <w:rFonts w:eastAsia="Times New Roman"/>
                  <w:sz w:val="20"/>
                  <w:szCs w:val="20"/>
                </w:rPr>
                <w:t>15. Exhibits and Financial Statement Schedules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18" w:history="1">
              <w:r>
                <w:rPr>
                  <w:rStyle w:val="a3"/>
                  <w:rFonts w:eastAsia="Times New Roman"/>
                  <w:sz w:val="20"/>
                  <w:szCs w:val="20"/>
                </w:rPr>
                <w:t>75</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202785464"/>
              <w:rPr>
                <w:rFonts w:eastAsia="Times New Roman"/>
              </w:rPr>
            </w:pPr>
            <w:hyperlink w:anchor="ica38aa2cb9a04eba8f8cadac27ee7fb9_121" w:history="1">
              <w:r>
                <w:rPr>
                  <w:rStyle w:val="a3"/>
                  <w:rFonts w:eastAsia="Times New Roman"/>
                  <w:sz w:val="20"/>
                  <w:szCs w:val="20"/>
                </w:rPr>
                <w:t>Item 16. Form 10-K Summary</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21" w:history="1">
              <w:r>
                <w:rPr>
                  <w:rStyle w:val="a3"/>
                  <w:rFonts w:eastAsia="Times New Roman"/>
                  <w:sz w:val="20"/>
                  <w:szCs w:val="20"/>
                </w:rPr>
                <w:t>86</w:t>
              </w:r>
            </w:hyperlink>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22705589"/>
              <w:rPr>
                <w:rFonts w:eastAsia="Times New Roman"/>
              </w:rPr>
            </w:pPr>
            <w:hyperlink w:anchor="ica38aa2cb9a04eba8f8cadac27ee7fb9_127"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hyperlink w:anchor="ica38aa2cb9a04eba8f8cadac27ee7fb9_127" w:history="1">
              <w:r>
                <w:rPr>
                  <w:rStyle w:val="a3"/>
                  <w:rFonts w:eastAsia="Times New Roman"/>
                  <w:sz w:val="20"/>
                  <w:szCs w:val="20"/>
                </w:rPr>
                <w:t>87</w:t>
              </w:r>
            </w:hyperlink>
          </w:p>
        </w:tc>
      </w:tr>
      <w:tr w:rsidR="00000000">
        <w:trPr>
          <w:divId w:val="1116220245"/>
          <w:trHeight w:val="22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r>
      <w:tr w:rsidR="00000000">
        <w:trPr>
          <w:divId w:val="1116220245"/>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049264101"/>
              <w:rPr>
                <w:rFonts w:eastAsia="Times New Roman"/>
              </w:rPr>
            </w:pPr>
            <w:hyperlink w:anchor="ica38aa2cb9a04eba8f8cadac27ee7fb9_133" w:history="1">
              <w:r>
                <w:rPr>
                  <w:rStyle w:val="a3"/>
                  <w:rFonts w:eastAsia="Times New Roman"/>
                  <w:sz w:val="20"/>
                  <w:szCs w:val="20"/>
                </w:rPr>
                <w:t>Index to Financial Statements and Financial Statement Schedules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FF"/>
                <w:sz w:val="20"/>
                <w:szCs w:val="20"/>
                <w:u w:val="single"/>
              </w:rPr>
              <w:t>F-</w:t>
            </w:r>
            <w:hyperlink w:anchor="ica38aa2cb9a04eba8f8cadac27ee7fb9_133" w:history="1">
              <w:r>
                <w:rPr>
                  <w:rStyle w:val="a3"/>
                  <w:rFonts w:eastAsia="Times New Roman"/>
                  <w:sz w:val="20"/>
                  <w:szCs w:val="20"/>
                </w:rPr>
                <w:t>2</w:t>
              </w:r>
            </w:hyperlink>
          </w:p>
        </w:tc>
      </w:tr>
      <w:tr w:rsidR="00000000">
        <w:trPr>
          <w:divId w:val="1116220245"/>
          <w:trHeight w:val="22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12"/>
                <w:szCs w:val="12"/>
              </w:rPr>
              <w:t> </w:t>
            </w:r>
          </w:p>
        </w:tc>
      </w:tr>
    </w:tbl>
    <w:p w:rsidR="00000000" w:rsidRDefault="00DF5BC2">
      <w:pPr>
        <w:divId w:val="2045595354"/>
        <w:rPr>
          <w:rFonts w:eastAsia="Times New Roman"/>
        </w:rPr>
      </w:pPr>
    </w:p>
    <w:p w:rsidR="00000000" w:rsidRDefault="00DF5BC2">
      <w:pPr>
        <w:jc w:val="center"/>
        <w:divId w:val="720592165"/>
        <w:rPr>
          <w:rFonts w:eastAsia="Times New Roman"/>
        </w:rPr>
      </w:pPr>
      <w:r>
        <w:rPr>
          <w:rFonts w:eastAsia="Times New Roman"/>
          <w:color w:val="000000"/>
          <w:sz w:val="20"/>
          <w:szCs w:val="20"/>
        </w:rPr>
        <w:t>1</w:t>
      </w:r>
    </w:p>
    <w:p w:rsidR="00000000" w:rsidRDefault="00DF5BC2">
      <w:pPr>
        <w:rPr>
          <w:rFonts w:eastAsia="Times New Roman"/>
        </w:rPr>
      </w:pPr>
      <w:r>
        <w:rPr>
          <w:rFonts w:eastAsia="Times New Roman"/>
        </w:rPr>
        <w:pict>
          <v:rect id="_x0000_i1026" style="width:0;height:1.5pt" o:hralign="center" o:hrstd="t" o:hr="t" fillcolor="#a0a0a0" stroked="f"/>
        </w:pict>
      </w:r>
    </w:p>
    <w:p w:rsidR="00000000" w:rsidRDefault="00DF5BC2">
      <w:pPr>
        <w:divId w:val="1114444506"/>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b/>
          <w:bCs/>
          <w:color w:val="000000"/>
          <w:sz w:val="20"/>
          <w:szCs w:val="20"/>
        </w:rPr>
        <w:t>GLOSSARY OF TERMS AND ABBREVIATIONS</w:t>
      </w:r>
    </w:p>
    <w:p w:rsidR="00000000" w:rsidRDefault="00DF5BC2">
      <w:pPr>
        <w:jc w:val="both"/>
        <w:rPr>
          <w:rFonts w:eastAsia="Times New Roman"/>
        </w:rPr>
      </w:pPr>
      <w:r>
        <w:rPr>
          <w:rFonts w:eastAsia="Times New Roman"/>
          <w:b/>
          <w:bCs/>
          <w:i/>
          <w:iCs/>
          <w:color w:val="000000"/>
          <w:sz w:val="20"/>
          <w:szCs w:val="20"/>
        </w:rPr>
        <w:t> </w:t>
      </w:r>
    </w:p>
    <w:p w:rsidR="00000000" w:rsidRDefault="00DF5BC2">
      <w:pPr>
        <w:jc w:val="both"/>
        <w:rPr>
          <w:rFonts w:eastAsia="Times New Roman"/>
        </w:rPr>
      </w:pPr>
      <w:r>
        <w:rPr>
          <w:rFonts w:eastAsia="Times New Roman"/>
          <w:color w:val="000000"/>
          <w:sz w:val="20"/>
          <w:szCs w:val="20"/>
        </w:rPr>
        <w:t>Terms and abbreviations used in this Form 10-K are defined below:</w:t>
      </w:r>
    </w:p>
    <w:p w:rsidR="00000000" w:rsidRDefault="00DF5BC2">
      <w:pPr>
        <w:jc w:val="both"/>
        <w:rPr>
          <w:rFonts w:eastAsia="Times New Roman"/>
        </w:rPr>
      </w:pPr>
    </w:p>
    <w:p w:rsidR="00000000" w:rsidRDefault="00DF5BC2">
      <w:pPr>
        <w:jc w:val="center"/>
        <w:rPr>
          <w:rFonts w:eastAsia="Times New Roman"/>
        </w:rPr>
      </w:pPr>
      <w:r>
        <w:rPr>
          <w:rFonts w:eastAsia="Times New Roman"/>
          <w:b/>
          <w:bCs/>
          <w:i/>
          <w:iCs/>
          <w:color w:val="000000"/>
          <w:sz w:val="20"/>
          <w:szCs w:val="20"/>
          <w:u w:val="single"/>
        </w:rPr>
        <w:t>UGI Corporation and Related Entities</w:t>
      </w:r>
    </w:p>
    <w:p w:rsidR="00000000" w:rsidRDefault="00DF5BC2">
      <w:pPr>
        <w:jc w:val="both"/>
        <w:rPr>
          <w:rFonts w:eastAsia="Times New Roman"/>
        </w:rPr>
      </w:pPr>
      <w:r>
        <w:rPr>
          <w:rFonts w:eastAsia="Times New Roman"/>
          <w:b/>
          <w:bCs/>
          <w:i/>
          <w:iCs/>
          <w:color w:val="000000"/>
          <w:sz w:val="20"/>
          <w:szCs w:val="20"/>
        </w:rPr>
        <w:t> </w:t>
      </w:r>
    </w:p>
    <w:p w:rsidR="00000000" w:rsidRDefault="00DF5BC2">
      <w:pPr>
        <w:jc w:val="both"/>
        <w:rPr>
          <w:rFonts w:eastAsia="Times New Roman"/>
        </w:rPr>
      </w:pPr>
      <w:r>
        <w:rPr>
          <w:rFonts w:eastAsia="Times New Roman"/>
          <w:b/>
          <w:bCs/>
          <w:i/>
          <w:iCs/>
          <w:color w:val="000000"/>
          <w:sz w:val="20"/>
          <w:szCs w:val="20"/>
        </w:rPr>
        <w:t xml:space="preserve">AmeriGas OLP - </w:t>
      </w:r>
      <w:r>
        <w:rPr>
          <w:rFonts w:eastAsia="Times New Roman"/>
          <w:color w:val="000000"/>
          <w:sz w:val="20"/>
          <w:szCs w:val="20"/>
        </w:rPr>
        <w:t>AmeriGas Propane, L.P., the principal operating subsidiary of AmeriGas Partners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AmeriGas Partners -</w:t>
      </w:r>
      <w:r>
        <w:rPr>
          <w:rFonts w:eastAsia="Times New Roman"/>
          <w:color w:val="000000"/>
          <w:sz w:val="20"/>
          <w:szCs w:val="20"/>
        </w:rPr>
        <w:t xml:space="preserve"> AmeriGas Partners, L.P., a Delaware limited partnership and an indirect wholly owned subsidiary of UGI; also referred to, together with its consolidated s</w:t>
      </w:r>
      <w:r>
        <w:rPr>
          <w:rFonts w:eastAsia="Times New Roman"/>
          <w:color w:val="000000"/>
          <w:sz w:val="20"/>
          <w:szCs w:val="20"/>
        </w:rPr>
        <w:t>ubsidiaries, as the “Partnership”</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AmeriGas Propane -</w:t>
      </w:r>
      <w:r>
        <w:rPr>
          <w:rFonts w:eastAsia="Times New Roman"/>
          <w:color w:val="000000"/>
          <w:sz w:val="20"/>
          <w:szCs w:val="20"/>
        </w:rPr>
        <w:t xml:space="preserve"> Reportable segment comprising AmeriGas Propane, Inc. and its subsidiaries, including AmeriGas Partners and AmeriGas OLP</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AmeriGas Propane Holdings, Inc.</w:t>
      </w:r>
      <w:r>
        <w:rPr>
          <w:rFonts w:eastAsia="Times New Roman"/>
          <w:color w:val="000000"/>
          <w:sz w:val="20"/>
          <w:szCs w:val="20"/>
        </w:rPr>
        <w:t xml:space="preserve"> - A Delaware corporation and an indirect wholly</w:t>
      </w:r>
      <w:r>
        <w:rPr>
          <w:rFonts w:eastAsia="Times New Roman"/>
          <w:color w:val="000000"/>
          <w:sz w:val="20"/>
          <w:szCs w:val="20"/>
        </w:rPr>
        <w:t xml:space="preserve"> owned subsidiary of UGI</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AmeriGas Propane Holdings, LLC</w:t>
      </w:r>
      <w:r>
        <w:rPr>
          <w:rFonts w:eastAsia="Times New Roman"/>
          <w:color w:val="000000"/>
          <w:sz w:val="20"/>
          <w:szCs w:val="20"/>
        </w:rPr>
        <w:t xml:space="preserve"> - A Delaware limited liability company and an indirect wholly-owned subsidiary of UGI; also referred to as the “Merger Sub”</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AmeriGas Propane, Inc. -</w:t>
      </w:r>
      <w:r>
        <w:rPr>
          <w:rFonts w:eastAsia="Times New Roman"/>
          <w:color w:val="000000"/>
          <w:sz w:val="20"/>
          <w:szCs w:val="20"/>
        </w:rPr>
        <w:t xml:space="preserve"> A wholly owned second-tier subsidiary of UGI an</w:t>
      </w:r>
      <w:r>
        <w:rPr>
          <w:rFonts w:eastAsia="Times New Roman"/>
          <w:color w:val="000000"/>
          <w:sz w:val="20"/>
          <w:szCs w:val="20"/>
        </w:rPr>
        <w:t>d the general partner of AmeriGas Partners; also referred to as the “General Partner”</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AvantiGas - </w:t>
      </w:r>
      <w:r>
        <w:rPr>
          <w:rFonts w:eastAsia="Times New Roman"/>
          <w:color w:val="000000"/>
          <w:sz w:val="20"/>
          <w:szCs w:val="20"/>
        </w:rPr>
        <w:t>AvantiGas Limited, an indirect wholly owned subsidiary of UGI International,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Company -</w:t>
      </w:r>
      <w:r>
        <w:rPr>
          <w:rFonts w:eastAsia="Times New Roman"/>
          <w:color w:val="000000"/>
          <w:sz w:val="20"/>
          <w:szCs w:val="20"/>
        </w:rPr>
        <w:t xml:space="preserve"> UGI and its consolidated subsidiaries collectively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DVEP -</w:t>
      </w:r>
      <w:r>
        <w:rPr>
          <w:rFonts w:eastAsia="Times New Roman"/>
          <w:color w:val="000000"/>
          <w:sz w:val="20"/>
          <w:szCs w:val="20"/>
        </w:rPr>
        <w:t xml:space="preserve"> DVE</w:t>
      </w:r>
      <w:r>
        <w:rPr>
          <w:rFonts w:eastAsia="Times New Roman"/>
          <w:color w:val="000000"/>
          <w:sz w:val="20"/>
          <w:szCs w:val="20"/>
        </w:rPr>
        <w:t>P Investeringen B.V., an indirect wholly owned subsidiary of UGI International,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Electric Utility -</w:t>
      </w:r>
      <w:r>
        <w:rPr>
          <w:rFonts w:eastAsia="Times New Roman"/>
          <w:color w:val="000000"/>
          <w:sz w:val="20"/>
          <w:szCs w:val="20"/>
        </w:rPr>
        <w:t xml:space="preserve"> UGI Utilities, Inc.’s regulated electric distribution utility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Energy Services -</w:t>
      </w:r>
      <w:r>
        <w:rPr>
          <w:rFonts w:eastAsia="Times New Roman"/>
          <w:color w:val="000000"/>
          <w:sz w:val="20"/>
          <w:szCs w:val="20"/>
        </w:rPr>
        <w:t xml:space="preserve"> UGI Energy Services, LLC, a wholly owned subsidiary of Enterprises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Enterprises -</w:t>
      </w:r>
      <w:r>
        <w:rPr>
          <w:rFonts w:eastAsia="Times New Roman"/>
          <w:color w:val="000000"/>
          <w:sz w:val="20"/>
          <w:szCs w:val="20"/>
        </w:rPr>
        <w:t xml:space="preserve"> UGI Enterprises, LLC, a wholly owned subsidiary of UGI</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ESFC -</w:t>
      </w:r>
      <w:r>
        <w:rPr>
          <w:rFonts w:eastAsia="Times New Roman"/>
          <w:color w:val="000000"/>
          <w:sz w:val="20"/>
          <w:szCs w:val="20"/>
        </w:rPr>
        <w:t xml:space="preserve"> Energy Services Funding Corporation, a wholly owned subsidiary of Energy Services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Flaga - </w:t>
      </w:r>
      <w:r>
        <w:rPr>
          <w:rFonts w:eastAsia="Times New Roman"/>
          <w:color w:val="000000"/>
          <w:sz w:val="20"/>
          <w:szCs w:val="20"/>
        </w:rPr>
        <w:t>Flaga GmbH, an indirect wholly owned subsidiary of UGI International,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Gas Utili</w:t>
      </w:r>
      <w:r>
        <w:rPr>
          <w:rFonts w:eastAsia="Times New Roman"/>
          <w:b/>
          <w:bCs/>
          <w:i/>
          <w:iCs/>
          <w:color w:val="000000"/>
          <w:sz w:val="20"/>
          <w:szCs w:val="20"/>
        </w:rPr>
        <w:t>ty -</w:t>
      </w:r>
      <w:r>
        <w:rPr>
          <w:rFonts w:eastAsia="Times New Roman"/>
          <w:color w:val="000000"/>
          <w:sz w:val="20"/>
          <w:szCs w:val="20"/>
        </w:rPr>
        <w:t xml:space="preserve"> UGI Utilities, Inc.’s regulated natural gas distribution business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General Partner </w:t>
      </w:r>
      <w:r>
        <w:rPr>
          <w:rFonts w:eastAsia="Times New Roman"/>
          <w:b/>
          <w:bCs/>
          <w:color w:val="000000"/>
          <w:sz w:val="20"/>
          <w:szCs w:val="20"/>
        </w:rPr>
        <w:t xml:space="preserve">- </w:t>
      </w:r>
      <w:r>
        <w:rPr>
          <w:rFonts w:eastAsia="Times New Roman"/>
          <w:color w:val="000000"/>
          <w:sz w:val="20"/>
          <w:szCs w:val="20"/>
        </w:rPr>
        <w:t>AmeriGas Propane, Inc., the general partner of AmeriGas Partners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GHI</w:t>
      </w:r>
      <w:r>
        <w:rPr>
          <w:rFonts w:eastAsia="Times New Roman"/>
          <w:color w:val="000000"/>
          <w:sz w:val="20"/>
          <w:szCs w:val="20"/>
        </w:rPr>
        <w:t xml:space="preserve"> - GHI Energy, LLC, a Houston-based renewable natural gas company and indirect wholly owned sub</w:t>
      </w:r>
      <w:r>
        <w:rPr>
          <w:rFonts w:eastAsia="Times New Roman"/>
          <w:color w:val="000000"/>
          <w:sz w:val="20"/>
          <w:szCs w:val="20"/>
        </w:rPr>
        <w:t>sidiary of Energy Services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HVAC -</w:t>
      </w:r>
      <w:r>
        <w:rPr>
          <w:rFonts w:eastAsia="Times New Roman"/>
          <w:color w:val="000000"/>
          <w:sz w:val="20"/>
          <w:szCs w:val="20"/>
        </w:rPr>
        <w:t xml:space="preserve"> UGI HVAC Enterprises, Inc., a wholly owned subsidiary of Enterprises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Merger Sub</w:t>
      </w:r>
      <w:r>
        <w:rPr>
          <w:rFonts w:eastAsia="Times New Roman"/>
          <w:color w:val="000000"/>
          <w:sz w:val="20"/>
          <w:szCs w:val="20"/>
        </w:rPr>
        <w:t xml:space="preserve"> - AmeriGas Propane Holdings, LLC, an indirect wholly owned subsidiary of UGI</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Midstream &amp; Marketing -</w:t>
      </w:r>
      <w:r>
        <w:rPr>
          <w:rFonts w:eastAsia="Times New Roman"/>
          <w:color w:val="000000"/>
          <w:sz w:val="20"/>
          <w:szCs w:val="20"/>
        </w:rPr>
        <w:t xml:space="preserve"> Reportable segment comprising Energ</w:t>
      </w:r>
      <w:r>
        <w:rPr>
          <w:rFonts w:eastAsia="Times New Roman"/>
          <w:color w:val="000000"/>
          <w:sz w:val="20"/>
          <w:szCs w:val="20"/>
        </w:rPr>
        <w:t>y Services, UGID and, prior to its sale in September 2020, HVAC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 Mountaineer Gas Company, a natural gas distribution company in West Virginia and an indirect wholly owned subsidiary of Mountaintop Energy Holdings LLC</w:t>
      </w:r>
    </w:p>
    <w:p w:rsidR="00000000" w:rsidRDefault="00DF5BC2">
      <w:pPr>
        <w:divId w:val="1973906419"/>
        <w:rPr>
          <w:rFonts w:eastAsia="Times New Roman"/>
        </w:rPr>
      </w:pPr>
    </w:p>
    <w:p w:rsidR="00000000" w:rsidRDefault="00DF5BC2">
      <w:pPr>
        <w:jc w:val="both"/>
        <w:rPr>
          <w:rFonts w:eastAsia="Times New Roman"/>
        </w:rPr>
      </w:pPr>
      <w:r>
        <w:rPr>
          <w:rFonts w:eastAsia="Times New Roman"/>
          <w:b/>
          <w:bCs/>
          <w:i/>
          <w:iCs/>
          <w:color w:val="000000"/>
          <w:sz w:val="20"/>
          <w:szCs w:val="20"/>
        </w:rPr>
        <w:t>Mountaintop Energy Hol</w:t>
      </w:r>
      <w:r>
        <w:rPr>
          <w:rFonts w:eastAsia="Times New Roman"/>
          <w:b/>
          <w:bCs/>
          <w:i/>
          <w:iCs/>
          <w:color w:val="000000"/>
          <w:sz w:val="20"/>
          <w:szCs w:val="20"/>
        </w:rPr>
        <w:t xml:space="preserve">dings, LLC </w:t>
      </w:r>
      <w:r>
        <w:rPr>
          <w:rFonts w:eastAsia="Times New Roman"/>
          <w:color w:val="000000"/>
          <w:sz w:val="20"/>
          <w:szCs w:val="20"/>
        </w:rPr>
        <w:t>- Indirect parent company of Mountaineer and wholly owned subsidiary of UGI, acquired on September 1, 2021</w:t>
      </w:r>
    </w:p>
    <w:p w:rsidR="00000000" w:rsidRDefault="00DF5BC2">
      <w:pPr>
        <w:jc w:val="both"/>
        <w:rPr>
          <w:rFonts w:eastAsia="Times New Roman"/>
        </w:rPr>
      </w:pPr>
    </w:p>
    <w:p w:rsidR="00000000" w:rsidRDefault="00DF5BC2">
      <w:pPr>
        <w:jc w:val="center"/>
        <w:divId w:val="1931619771"/>
        <w:rPr>
          <w:rFonts w:eastAsia="Times New Roman"/>
        </w:rPr>
      </w:pPr>
      <w:r>
        <w:rPr>
          <w:rFonts w:eastAsia="Times New Roman"/>
          <w:color w:val="000000"/>
          <w:sz w:val="20"/>
          <w:szCs w:val="20"/>
        </w:rPr>
        <w:t>2</w:t>
      </w:r>
    </w:p>
    <w:p w:rsidR="00000000" w:rsidRDefault="00DF5BC2">
      <w:pPr>
        <w:rPr>
          <w:rFonts w:eastAsia="Times New Roman"/>
        </w:rPr>
      </w:pPr>
      <w:r>
        <w:rPr>
          <w:rFonts w:eastAsia="Times New Roman"/>
        </w:rPr>
        <w:pict>
          <v:rect id="_x0000_i1027" style="width:0;height:1.5pt" o:hralign="center" o:hrstd="t" o:hr="t" fillcolor="#a0a0a0" stroked="f"/>
        </w:pict>
      </w:r>
    </w:p>
    <w:p w:rsidR="00000000" w:rsidRDefault="00DF5BC2">
      <w:pPr>
        <w:divId w:val="255138479"/>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i/>
          <w:iCs/>
          <w:color w:val="000000"/>
          <w:sz w:val="20"/>
          <w:szCs w:val="20"/>
        </w:rPr>
        <w:t>Partnership -</w:t>
      </w:r>
      <w:r>
        <w:rPr>
          <w:rFonts w:eastAsia="Times New Roman"/>
          <w:color w:val="000000"/>
          <w:sz w:val="20"/>
          <w:szCs w:val="20"/>
        </w:rPr>
        <w:t xml:space="preserve"> AmeriGas Partners and its consolidated subsidiaries, including AmeriGas OLP</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Pennant -</w:t>
      </w:r>
      <w:r>
        <w:rPr>
          <w:rFonts w:eastAsia="Times New Roman"/>
          <w:color w:val="000000"/>
          <w:sz w:val="20"/>
          <w:szCs w:val="20"/>
        </w:rPr>
        <w:t xml:space="preserve"> Pennant Midstream, LLC, a Delaware limited liability company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PennEast -</w:t>
      </w:r>
      <w:r>
        <w:rPr>
          <w:rFonts w:eastAsia="Times New Roman"/>
          <w:color w:val="000000"/>
          <w:sz w:val="20"/>
          <w:szCs w:val="20"/>
        </w:rPr>
        <w:t xml:space="preserve"> PennEast Pipeline Company,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Pine Run</w:t>
      </w:r>
      <w:r>
        <w:rPr>
          <w:rFonts w:eastAsia="Times New Roman"/>
          <w:color w:val="000000"/>
          <w:sz w:val="20"/>
          <w:szCs w:val="20"/>
        </w:rPr>
        <w:t xml:space="preserve"> </w:t>
      </w:r>
      <w:r>
        <w:rPr>
          <w:rFonts w:eastAsia="Times New Roman"/>
          <w:color w:val="000000"/>
          <w:sz w:val="20"/>
          <w:szCs w:val="20"/>
        </w:rPr>
        <w:t>- Pine Run Gathering,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w:t>
      </w:r>
      <w:r>
        <w:rPr>
          <w:rFonts w:eastAsia="Times New Roman"/>
          <w:color w:val="000000"/>
          <w:sz w:val="20"/>
          <w:szCs w:val="20"/>
        </w:rPr>
        <w:t xml:space="preserve"> - UGI Corporation or, collectively, UGI Corporation and its consolidated subsidiaries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Appalachia</w:t>
      </w:r>
      <w:r>
        <w:rPr>
          <w:rFonts w:eastAsia="Times New Roman"/>
          <w:color w:val="000000"/>
          <w:sz w:val="20"/>
          <w:szCs w:val="20"/>
        </w:rPr>
        <w:t xml:space="preserve"> - UGI Appalachia, LLC, a wholly owned subsidiary of Energy Services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UGI France - </w:t>
      </w:r>
      <w:r>
        <w:rPr>
          <w:rFonts w:eastAsia="Times New Roman"/>
          <w:color w:val="000000"/>
          <w:sz w:val="20"/>
          <w:szCs w:val="20"/>
        </w:rPr>
        <w:t>UGI France SAS (</w:t>
      </w:r>
      <w:r>
        <w:rPr>
          <w:rFonts w:eastAsia="Times New Roman"/>
          <w:i/>
          <w:iCs/>
          <w:color w:val="000000"/>
          <w:sz w:val="20"/>
          <w:szCs w:val="20"/>
        </w:rPr>
        <w:t xml:space="preserve">a Société par actions </w:t>
      </w:r>
      <w:r>
        <w:rPr>
          <w:rFonts w:eastAsia="Times New Roman"/>
          <w:i/>
          <w:iCs/>
          <w:color w:val="000000"/>
          <w:sz w:val="20"/>
          <w:szCs w:val="20"/>
        </w:rPr>
        <w:t>simplifiée</w:t>
      </w:r>
      <w:r>
        <w:rPr>
          <w:rFonts w:eastAsia="Times New Roman"/>
          <w:color w:val="000000"/>
          <w:sz w:val="20"/>
          <w:szCs w:val="20"/>
        </w:rPr>
        <w:t>), an indirect wholly owned subsidiary of UGI International,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International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Reportable segment principally comprising UGI’s foreign operations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International, LLC</w:t>
      </w:r>
      <w:r>
        <w:rPr>
          <w:rFonts w:eastAsia="Times New Roman"/>
          <w:color w:val="000000"/>
          <w:sz w:val="20"/>
          <w:szCs w:val="20"/>
        </w:rPr>
        <w:t xml:space="preserve"> - UGI International, LLC, a wholly owned subsidiary of Enterprises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PennEast, LLC -</w:t>
      </w:r>
      <w:r>
        <w:rPr>
          <w:rFonts w:eastAsia="Times New Roman"/>
          <w:color w:val="000000"/>
          <w:sz w:val="20"/>
          <w:szCs w:val="20"/>
        </w:rPr>
        <w:t xml:space="preserve"> A wholly owned subsidiary of Energy Services that holds a 20% membership interest in PennEast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Pine Run, LLC</w:t>
      </w:r>
      <w:r>
        <w:rPr>
          <w:rFonts w:eastAsia="Times New Roman"/>
          <w:color w:val="000000"/>
          <w:sz w:val="20"/>
          <w:szCs w:val="20"/>
        </w:rPr>
        <w:t xml:space="preserve"> - A wholly owned subsidiary of Energy Services that holds a 49% membership interest in Pine Run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Utilities -</w:t>
      </w:r>
      <w:r>
        <w:rPr>
          <w:rFonts w:eastAsia="Times New Roman"/>
          <w:color w:val="000000"/>
          <w:sz w:val="20"/>
          <w:szCs w:val="20"/>
        </w:rPr>
        <w:t xml:space="preserve"> Report</w:t>
      </w:r>
      <w:r>
        <w:rPr>
          <w:rFonts w:eastAsia="Times New Roman"/>
          <w:color w:val="000000"/>
          <w:sz w:val="20"/>
          <w:szCs w:val="20"/>
        </w:rPr>
        <w:t>able segment comprising UGI Utilities, Inc. and Mountaintop Energy Holdings,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Utilities, Inc. -</w:t>
      </w:r>
      <w:r>
        <w:rPr>
          <w:rFonts w:eastAsia="Times New Roman"/>
          <w:color w:val="000000"/>
          <w:sz w:val="20"/>
          <w:szCs w:val="20"/>
        </w:rPr>
        <w:t xml:space="preserve"> A wholly owned subsidiary of UGI comprising Gas Utility and Electric Utility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UGID -</w:t>
      </w:r>
      <w:r>
        <w:rPr>
          <w:rFonts w:eastAsia="Times New Roman"/>
          <w:color w:val="000000"/>
          <w:sz w:val="20"/>
          <w:szCs w:val="20"/>
        </w:rPr>
        <w:t xml:space="preserve"> UGI Development Company, a wholly owned subsidiary of Energy Serv</w:t>
      </w:r>
      <w:r>
        <w:rPr>
          <w:rFonts w:eastAsia="Times New Roman"/>
          <w:color w:val="000000"/>
          <w:sz w:val="20"/>
          <w:szCs w:val="20"/>
        </w:rPr>
        <w:t>ices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UniverGas -</w:t>
      </w:r>
      <w:r>
        <w:rPr>
          <w:rFonts w:eastAsia="Times New Roman"/>
          <w:color w:val="000000"/>
          <w:sz w:val="20"/>
          <w:szCs w:val="20"/>
        </w:rPr>
        <w:t xml:space="preserve"> UniverGas Italia S.r.l, an indirect wholly owned subsidiary of UGI International, LLC</w:t>
      </w:r>
    </w:p>
    <w:p w:rsidR="00000000" w:rsidRDefault="00DF5BC2">
      <w:pPr>
        <w:jc w:val="both"/>
        <w:rPr>
          <w:rFonts w:eastAsia="Times New Roman"/>
        </w:rPr>
      </w:pPr>
    </w:p>
    <w:p w:rsidR="00000000" w:rsidRDefault="00DF5BC2">
      <w:pPr>
        <w:jc w:val="center"/>
        <w:rPr>
          <w:rFonts w:eastAsia="Times New Roman"/>
        </w:rPr>
      </w:pPr>
      <w:r>
        <w:rPr>
          <w:rFonts w:eastAsia="Times New Roman"/>
          <w:b/>
          <w:bCs/>
          <w:i/>
          <w:iCs/>
          <w:color w:val="000000"/>
          <w:sz w:val="20"/>
          <w:szCs w:val="20"/>
          <w:u w:val="single"/>
        </w:rPr>
        <w:t>Other Terms and Abbreviations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2013 OICP - </w:t>
      </w:r>
      <w:r>
        <w:rPr>
          <w:rFonts w:eastAsia="Times New Roman"/>
          <w:color w:val="000000"/>
          <w:sz w:val="20"/>
          <w:szCs w:val="20"/>
        </w:rPr>
        <w:t xml:space="preserve">UGI Corporation 2013 Omnibus Incentive Compensation Plan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1.59% Senior Note</w:t>
      </w:r>
      <w:r>
        <w:rPr>
          <w:rFonts w:eastAsia="Times New Roman"/>
          <w:color w:val="000000"/>
          <w:sz w:val="20"/>
          <w:szCs w:val="20"/>
        </w:rPr>
        <w:t xml:space="preserve"> - A private placement of $100 million principal amount of senior notes due June 2026, issued by UGI Utilities, Inc.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1.64% Senior Note</w:t>
      </w:r>
      <w:r>
        <w:rPr>
          <w:rFonts w:eastAsia="Times New Roman"/>
          <w:color w:val="000000"/>
          <w:sz w:val="20"/>
          <w:szCs w:val="20"/>
        </w:rPr>
        <w:t xml:space="preserve"> - A private placement of $75 million princ</w:t>
      </w:r>
      <w:r>
        <w:rPr>
          <w:rFonts w:eastAsia="Times New Roman"/>
          <w:color w:val="000000"/>
          <w:sz w:val="20"/>
          <w:szCs w:val="20"/>
        </w:rPr>
        <w:t>ipal amount of senior notes due September 2026, issued by UGI Utilities, Inc.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2021 IAP - </w:t>
      </w:r>
      <w:r>
        <w:rPr>
          <w:rFonts w:eastAsia="Times New Roman"/>
          <w:color w:val="000000"/>
          <w:sz w:val="20"/>
          <w:szCs w:val="20"/>
        </w:rPr>
        <w:t>UGI Corporation 2021 Incentive Award Plan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2021 UGI Corporation Senior Credit Facility</w:t>
      </w:r>
      <w:r>
        <w:rPr>
          <w:rFonts w:eastAsia="Times New Roman"/>
          <w:color w:val="000000"/>
          <w:sz w:val="20"/>
          <w:szCs w:val="20"/>
        </w:rPr>
        <w:t xml:space="preserve"> - An amended unsecured senior facilities agreement entered into on May 4, 202</w:t>
      </w:r>
      <w:r>
        <w:rPr>
          <w:rFonts w:eastAsia="Times New Roman"/>
          <w:color w:val="000000"/>
          <w:sz w:val="20"/>
          <w:szCs w:val="20"/>
        </w:rPr>
        <w:t>1, by UGI which extended the maturity date of the previous three-year $300 million loan term facility included in the UGI Corporation Senior Credit Facility, now due in May 2025 and includes a new four-year $215 million term loan commitment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2024 Purchase</w:t>
      </w:r>
      <w:r>
        <w:rPr>
          <w:rFonts w:eastAsia="Times New Roman"/>
          <w:b/>
          <w:bCs/>
          <w:i/>
          <w:iCs/>
          <w:color w:val="000000"/>
          <w:sz w:val="20"/>
          <w:szCs w:val="20"/>
        </w:rPr>
        <w:t xml:space="preserve"> Contract</w:t>
      </w:r>
      <w:r>
        <w:rPr>
          <w:rFonts w:eastAsia="Times New Roman"/>
          <w:color w:val="000000"/>
          <w:sz w:val="20"/>
          <w:szCs w:val="20"/>
        </w:rPr>
        <w:t xml:space="preserve"> - A forward stock purchase contract issued by UGI Corporation as a part of the issuance of Equity Units which obligates holders to purchase a number of shares of UGI common stock from the Company on June 1, 2024</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ABO -</w:t>
      </w:r>
      <w:r>
        <w:rPr>
          <w:rFonts w:eastAsia="Times New Roman"/>
          <w:color w:val="000000"/>
          <w:sz w:val="20"/>
          <w:szCs w:val="20"/>
        </w:rPr>
        <w:t xml:space="preserve"> Accumulated Benefit Obliga</w:t>
      </w:r>
      <w:r>
        <w:rPr>
          <w:rFonts w:eastAsia="Times New Roman"/>
          <w:color w:val="000000"/>
          <w:sz w:val="20"/>
          <w:szCs w:val="20"/>
        </w:rPr>
        <w:t>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ACE -</w:t>
      </w:r>
      <w:r>
        <w:rPr>
          <w:rFonts w:eastAsia="Times New Roman"/>
          <w:color w:val="000000"/>
          <w:sz w:val="20"/>
          <w:szCs w:val="20"/>
        </w:rPr>
        <w:t xml:space="preserve"> AmeriGas Cylinder Exchange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Act 11 -</w:t>
      </w:r>
      <w:r>
        <w:rPr>
          <w:rFonts w:eastAsia="Times New Roman"/>
          <w:color w:val="000000"/>
          <w:sz w:val="20"/>
          <w:szCs w:val="20"/>
        </w:rPr>
        <w:t xml:space="preserve"> Act 11 of 2012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Adjusted LIBOR</w:t>
      </w:r>
      <w:r>
        <w:rPr>
          <w:rFonts w:eastAsia="Times New Roman"/>
          <w:color w:val="000000"/>
          <w:sz w:val="20"/>
          <w:szCs w:val="20"/>
        </w:rPr>
        <w:t xml:space="preserve"> - A rate derived from LIBOR</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AEPS Act -</w:t>
      </w:r>
      <w:r>
        <w:rPr>
          <w:rFonts w:eastAsia="Times New Roman"/>
          <w:color w:val="000000"/>
          <w:sz w:val="20"/>
          <w:szCs w:val="20"/>
        </w:rPr>
        <w:t xml:space="preserve"> Alternative Energy Portfolio Standards Act</w:t>
      </w:r>
    </w:p>
    <w:p w:rsidR="00000000" w:rsidRDefault="00DF5BC2">
      <w:pPr>
        <w:jc w:val="center"/>
        <w:divId w:val="1310983209"/>
        <w:rPr>
          <w:rFonts w:eastAsia="Times New Roman"/>
        </w:rPr>
      </w:pPr>
      <w:r>
        <w:rPr>
          <w:rFonts w:eastAsia="Times New Roman"/>
          <w:color w:val="000000"/>
          <w:sz w:val="20"/>
          <w:szCs w:val="20"/>
        </w:rPr>
        <w:t>3</w:t>
      </w:r>
    </w:p>
    <w:p w:rsidR="00000000" w:rsidRDefault="00DF5BC2">
      <w:pPr>
        <w:rPr>
          <w:rFonts w:eastAsia="Times New Roman"/>
        </w:rPr>
      </w:pPr>
      <w:r>
        <w:rPr>
          <w:rFonts w:eastAsia="Times New Roman"/>
        </w:rPr>
        <w:pict>
          <v:rect id="_x0000_i1028" style="width:0;height:1.5pt" o:hralign="center" o:hrstd="t" o:hr="t" fillcolor="#a0a0a0" stroked="f"/>
        </w:pict>
      </w:r>
    </w:p>
    <w:p w:rsidR="00000000" w:rsidRDefault="00DF5BC2">
      <w:pPr>
        <w:divId w:val="169838493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AFUDC -</w:t>
      </w:r>
      <w:r>
        <w:rPr>
          <w:rFonts w:eastAsia="Times New Roman"/>
          <w:color w:val="000000"/>
          <w:sz w:val="20"/>
          <w:szCs w:val="20"/>
        </w:rPr>
        <w:t xml:space="preserve"> Allowance for Funds Used During Construction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AmeriGas Merger</w:t>
      </w:r>
      <w:r>
        <w:rPr>
          <w:rFonts w:eastAsia="Times New Roman"/>
          <w:color w:val="000000"/>
          <w:sz w:val="20"/>
          <w:szCs w:val="20"/>
        </w:rPr>
        <w:t xml:space="preserve"> </w:t>
      </w:r>
      <w:r>
        <w:rPr>
          <w:rFonts w:eastAsia="Times New Roman"/>
          <w:color w:val="000000"/>
          <w:sz w:val="20"/>
          <w:szCs w:val="20"/>
        </w:rPr>
        <w:t>- The transaction contemplated by the Merger Agreement pursuant to which AmeriGas Propane Holdings, LLC merged with and into the Partnership, on August 21, 2019, with the Partnership surviving as an indirect wholly owned subsidiary of UGI</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AmeriGas OLP Cr</w:t>
      </w:r>
      <w:r>
        <w:rPr>
          <w:rFonts w:eastAsia="Times New Roman"/>
          <w:b/>
          <w:bCs/>
          <w:i/>
          <w:iCs/>
          <w:color w:val="000000"/>
          <w:sz w:val="20"/>
          <w:szCs w:val="20"/>
        </w:rPr>
        <w:t>edit Agreement</w:t>
      </w:r>
      <w:r>
        <w:rPr>
          <w:rFonts w:eastAsia="Times New Roman"/>
          <w:color w:val="000000"/>
          <w:sz w:val="20"/>
          <w:szCs w:val="20"/>
        </w:rPr>
        <w:t xml:space="preserve"> - The second amended and restated credit agreement entered into by AmeriGas OLP providing for borrowings of up to $600 million, including a letter of credit subfacility of up to $150 million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AOCI - </w:t>
      </w:r>
      <w:r>
        <w:rPr>
          <w:rFonts w:eastAsia="Times New Roman"/>
          <w:color w:val="000000"/>
          <w:sz w:val="20"/>
          <w:szCs w:val="20"/>
        </w:rPr>
        <w:t>Accumulated Other Comprehensive Income (L</w:t>
      </w:r>
      <w:r>
        <w:rPr>
          <w:rFonts w:eastAsia="Times New Roman"/>
          <w:color w:val="000000"/>
          <w:sz w:val="20"/>
          <w:szCs w:val="20"/>
        </w:rPr>
        <w:t>oss)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ASC -</w:t>
      </w:r>
      <w:r>
        <w:rPr>
          <w:rFonts w:eastAsia="Times New Roman"/>
          <w:color w:val="000000"/>
          <w:sz w:val="20"/>
          <w:szCs w:val="20"/>
        </w:rPr>
        <w:t xml:space="preserve"> Accounting Standards Codification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ASC 606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ASC 606, “Revenue from Contracts with Customers”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ASC 740</w:t>
      </w:r>
      <w:r>
        <w:rPr>
          <w:rFonts w:eastAsia="Times New Roman"/>
          <w:b/>
          <w:bCs/>
          <w:color w:val="000000"/>
          <w:sz w:val="20"/>
          <w:szCs w:val="20"/>
        </w:rPr>
        <w:t xml:space="preserve"> -</w:t>
      </w:r>
      <w:r>
        <w:rPr>
          <w:rFonts w:eastAsia="Times New Roman"/>
          <w:color w:val="000000"/>
          <w:sz w:val="20"/>
          <w:szCs w:val="20"/>
        </w:rPr>
        <w:t xml:space="preserve"> ASC 740, “Income Taxes”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ASC 805</w:t>
      </w:r>
      <w:r>
        <w:rPr>
          <w:rFonts w:eastAsia="Times New Roman"/>
          <w:i/>
          <w:iCs/>
          <w:color w:val="000000"/>
          <w:sz w:val="20"/>
          <w:szCs w:val="20"/>
        </w:rPr>
        <w:t xml:space="preserve"> </w:t>
      </w:r>
      <w:r>
        <w:rPr>
          <w:rFonts w:eastAsia="Times New Roman"/>
          <w:color w:val="000000"/>
          <w:sz w:val="20"/>
          <w:szCs w:val="20"/>
        </w:rPr>
        <w:t>- ASC 805, “Business Combinations”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ASC 820 </w:t>
      </w:r>
      <w:r>
        <w:rPr>
          <w:rFonts w:eastAsia="Times New Roman"/>
          <w:color w:val="000000"/>
          <w:sz w:val="20"/>
          <w:szCs w:val="20"/>
        </w:rPr>
        <w:t xml:space="preserve">- ASC 820, “Fair Value Measurement”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ASC 842</w:t>
      </w:r>
      <w:r>
        <w:rPr>
          <w:rFonts w:eastAsia="Times New Roman"/>
          <w:color w:val="000000"/>
          <w:sz w:val="20"/>
          <w:szCs w:val="20"/>
        </w:rPr>
        <w:t xml:space="preserve"> </w:t>
      </w:r>
      <w:r>
        <w:rPr>
          <w:rFonts w:eastAsia="Times New Roman"/>
          <w:color w:val="000000"/>
          <w:sz w:val="20"/>
          <w:szCs w:val="20"/>
        </w:rPr>
        <w:t>- ASC 842, “Leases” (effective October 1, 2019)</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ASC 980</w:t>
      </w:r>
      <w:r>
        <w:rPr>
          <w:rFonts w:eastAsia="Times New Roman"/>
          <w:color w:val="000000"/>
          <w:sz w:val="20"/>
          <w:szCs w:val="20"/>
        </w:rPr>
        <w:t xml:space="preserve"> - ASC 980, “Regulated Operations”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ASU -</w:t>
      </w:r>
      <w:r>
        <w:rPr>
          <w:rFonts w:eastAsia="Times New Roman"/>
          <w:color w:val="000000"/>
          <w:sz w:val="20"/>
          <w:szCs w:val="20"/>
        </w:rPr>
        <w:t xml:space="preserve"> Accounting Standards Update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Bcf -</w:t>
      </w:r>
      <w:r>
        <w:rPr>
          <w:rFonts w:eastAsia="Times New Roman"/>
          <w:color w:val="000000"/>
          <w:sz w:val="20"/>
          <w:szCs w:val="20"/>
        </w:rPr>
        <w:t xml:space="preserve"> Billions of cubic feet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BIE -</w:t>
      </w:r>
      <w:r>
        <w:rPr>
          <w:rFonts w:eastAsia="Times New Roman"/>
          <w:color w:val="000000"/>
          <w:sz w:val="20"/>
          <w:szCs w:val="20"/>
        </w:rPr>
        <w:t xml:space="preserve"> Pennsylvania Public Utility Commission Bureau of Investigation and Enforcement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Board of</w:t>
      </w:r>
      <w:r>
        <w:rPr>
          <w:rFonts w:eastAsia="Times New Roman"/>
          <w:b/>
          <w:bCs/>
          <w:i/>
          <w:iCs/>
          <w:color w:val="000000"/>
          <w:sz w:val="20"/>
          <w:szCs w:val="20"/>
        </w:rPr>
        <w:t xml:space="preserve"> Directors -</w:t>
      </w:r>
      <w:r>
        <w:rPr>
          <w:rFonts w:eastAsia="Times New Roman"/>
          <w:i/>
          <w:iCs/>
          <w:color w:val="000000"/>
          <w:sz w:val="20"/>
          <w:szCs w:val="20"/>
        </w:rPr>
        <w:t xml:space="preserve"> </w:t>
      </w:r>
      <w:r>
        <w:rPr>
          <w:rFonts w:eastAsia="Times New Roman"/>
          <w:color w:val="000000"/>
          <w:sz w:val="20"/>
          <w:szCs w:val="20"/>
        </w:rPr>
        <w:t>The board of directors of UGI</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Btu -</w:t>
      </w:r>
      <w:r>
        <w:rPr>
          <w:rFonts w:eastAsia="Times New Roman"/>
          <w:color w:val="000000"/>
          <w:sz w:val="20"/>
          <w:szCs w:val="20"/>
        </w:rPr>
        <w:t xml:space="preserve"> British thermal unit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CARES Act</w:t>
      </w:r>
      <w:r>
        <w:rPr>
          <w:rFonts w:eastAsia="Times New Roman"/>
          <w:color w:val="000000"/>
          <w:sz w:val="20"/>
          <w:szCs w:val="20"/>
        </w:rPr>
        <w:t xml:space="preserve"> - Coronavirus Aid, Relief, and Economic Security Act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CDC</w:t>
      </w:r>
      <w:r>
        <w:rPr>
          <w:rFonts w:eastAsia="Times New Roman"/>
          <w:color w:val="000000"/>
          <w:sz w:val="20"/>
          <w:szCs w:val="20"/>
        </w:rPr>
        <w:t xml:space="preserve"> - Centers for Disease Control and Prevention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CERCLA -</w:t>
      </w:r>
      <w:r>
        <w:rPr>
          <w:rFonts w:eastAsia="Times New Roman"/>
          <w:color w:val="000000"/>
          <w:sz w:val="20"/>
          <w:szCs w:val="20"/>
        </w:rPr>
        <w:t xml:space="preserve"> </w:t>
      </w:r>
      <w:r>
        <w:rPr>
          <w:rFonts w:eastAsia="Times New Roman"/>
          <w:color w:val="000000"/>
          <w:sz w:val="20"/>
          <w:szCs w:val="20"/>
        </w:rPr>
        <w:t>Comprehensive Environmental Response, Compensation and Liability Act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CFTC -</w:t>
      </w:r>
      <w:r>
        <w:rPr>
          <w:rFonts w:eastAsia="Times New Roman"/>
          <w:color w:val="000000"/>
          <w:sz w:val="20"/>
          <w:szCs w:val="20"/>
        </w:rPr>
        <w:t xml:space="preserve"> Commodity Futures Trading Commission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CMG Acquisition</w:t>
      </w:r>
      <w:r>
        <w:rPr>
          <w:rFonts w:eastAsia="Times New Roman"/>
          <w:b/>
          <w:bCs/>
          <w:color w:val="000000"/>
          <w:sz w:val="20"/>
          <w:szCs w:val="20"/>
        </w:rPr>
        <w:t xml:space="preserve"> -</w:t>
      </w:r>
      <w:r>
        <w:rPr>
          <w:rFonts w:eastAsia="Times New Roman"/>
          <w:color w:val="000000"/>
          <w:sz w:val="20"/>
          <w:szCs w:val="20"/>
        </w:rPr>
        <w:t xml:space="preserve"> Acquisition of Columbia Midstream Group, LLC and Columbia Pennant, LLC on August 1, 2019 pursuant to the CMG Acquisition </w:t>
      </w:r>
      <w:r>
        <w:rPr>
          <w:rFonts w:eastAsia="Times New Roman"/>
          <w:color w:val="000000"/>
          <w:sz w:val="20"/>
          <w:szCs w:val="20"/>
        </w:rPr>
        <w:t>Agreements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CMG Acquisition Agreements</w:t>
      </w:r>
      <w:r>
        <w:rPr>
          <w:rFonts w:eastAsia="Times New Roman"/>
          <w:color w:val="000000"/>
          <w:sz w:val="20"/>
          <w:szCs w:val="20"/>
        </w:rPr>
        <w:t xml:space="preserve"> - Agreements related to the CMG Acquisition comprising (1) a purchase and sale agreement related to the CMG acquisition, dated July 2, 2019, by and among Columbia Midstream &amp; Minerals Group, LLC, Energy Services, UGI</w:t>
      </w:r>
      <w:r>
        <w:rPr>
          <w:rFonts w:eastAsia="Times New Roman"/>
          <w:color w:val="000000"/>
          <w:sz w:val="20"/>
          <w:szCs w:val="20"/>
        </w:rPr>
        <w:t xml:space="preserve"> and TransCanada PipeLine USA Ltd., and (2) a purchase and sale agreement related to the Columbia Pennant, LLC acquisition, dated July 2, 2019, by and among Columbia Midstream &amp; Minerals Group, LLC, Energy Services, and TransCanada PipeLine USA Ltd.</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COA </w:t>
      </w:r>
      <w:r>
        <w:rPr>
          <w:rFonts w:eastAsia="Times New Roman"/>
          <w:b/>
          <w:bCs/>
          <w:i/>
          <w:iCs/>
          <w:color w:val="000000"/>
          <w:sz w:val="20"/>
          <w:szCs w:val="20"/>
        </w:rPr>
        <w:t>-</w:t>
      </w:r>
      <w:r>
        <w:rPr>
          <w:rFonts w:eastAsia="Times New Roman"/>
          <w:color w:val="000000"/>
          <w:sz w:val="20"/>
          <w:szCs w:val="20"/>
        </w:rPr>
        <w:t xml:space="preserve"> Consent Order and Agreement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CODM -</w:t>
      </w:r>
      <w:r>
        <w:rPr>
          <w:rFonts w:eastAsia="Times New Roman"/>
          <w:color w:val="000000"/>
          <w:sz w:val="20"/>
          <w:szCs w:val="20"/>
        </w:rPr>
        <w:t xml:space="preserve"> Chief Operating Decision Maker as defined in ASC 280, “Segment Reporting”</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Common Stock - </w:t>
      </w:r>
      <w:r>
        <w:rPr>
          <w:rFonts w:eastAsia="Times New Roman"/>
          <w:color w:val="000000"/>
          <w:sz w:val="20"/>
          <w:szCs w:val="20"/>
        </w:rPr>
        <w:t>Shares of UGI common stock</w:t>
      </w:r>
    </w:p>
    <w:p w:rsidR="00000000" w:rsidRDefault="00DF5BC2">
      <w:pPr>
        <w:jc w:val="both"/>
        <w:rPr>
          <w:rFonts w:eastAsia="Times New Roman"/>
        </w:rPr>
      </w:pPr>
    </w:p>
    <w:p w:rsidR="00000000" w:rsidRDefault="00DF5BC2">
      <w:pPr>
        <w:jc w:val="center"/>
        <w:divId w:val="508297230"/>
        <w:rPr>
          <w:rFonts w:eastAsia="Times New Roman"/>
        </w:rPr>
      </w:pPr>
      <w:r>
        <w:rPr>
          <w:rFonts w:eastAsia="Times New Roman"/>
          <w:color w:val="000000"/>
          <w:sz w:val="20"/>
          <w:szCs w:val="20"/>
        </w:rPr>
        <w:t>4</w:t>
      </w:r>
    </w:p>
    <w:p w:rsidR="00000000" w:rsidRDefault="00DF5BC2">
      <w:pPr>
        <w:rPr>
          <w:rFonts w:eastAsia="Times New Roman"/>
        </w:rPr>
      </w:pPr>
      <w:r>
        <w:rPr>
          <w:rFonts w:eastAsia="Times New Roman"/>
        </w:rPr>
        <w:pict>
          <v:rect id="_x0000_i1029" style="width:0;height:1.5pt" o:hralign="center" o:hrstd="t" o:hr="t" fillcolor="#a0a0a0" stroked="f"/>
        </w:pict>
      </w:r>
    </w:p>
    <w:p w:rsidR="00000000" w:rsidRDefault="00DF5BC2">
      <w:pPr>
        <w:divId w:val="397098348"/>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i/>
          <w:iCs/>
          <w:color w:val="000000"/>
          <w:sz w:val="20"/>
          <w:szCs w:val="20"/>
        </w:rPr>
        <w:t xml:space="preserve">Common Units - </w:t>
      </w:r>
      <w:r>
        <w:rPr>
          <w:rFonts w:eastAsia="Times New Roman"/>
          <w:color w:val="000000"/>
          <w:sz w:val="20"/>
          <w:szCs w:val="20"/>
        </w:rPr>
        <w:t>Limited partnership ownership interests in AmeriGas Partners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Conemaugh -</w:t>
      </w:r>
      <w:r>
        <w:rPr>
          <w:rFonts w:eastAsia="Times New Roman"/>
          <w:color w:val="000000"/>
          <w:sz w:val="20"/>
          <w:szCs w:val="20"/>
        </w:rPr>
        <w:t xml:space="preserve"> Conemaugh generation station, a 1,711-megawatt, coal-fired electricity generation station located near Johnstown, Pennsylvania</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Convertible Prefer</w:t>
      </w:r>
      <w:r>
        <w:rPr>
          <w:rFonts w:eastAsia="Times New Roman"/>
          <w:b/>
          <w:bCs/>
          <w:i/>
          <w:iCs/>
          <w:color w:val="000000"/>
          <w:sz w:val="20"/>
          <w:szCs w:val="20"/>
        </w:rPr>
        <w:t>red Stock</w:t>
      </w:r>
      <w:r>
        <w:rPr>
          <w:rFonts w:eastAsia="Times New Roman"/>
          <w:color w:val="000000"/>
          <w:sz w:val="20"/>
          <w:szCs w:val="20"/>
        </w:rPr>
        <w:t xml:space="preserve"> - Preferred stock of UGI titled 0.125% series A cumulative perpetual convertible preferred stock without par value and having a liquidation preference of $1,000 per share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Core market - </w:t>
      </w:r>
      <w:r>
        <w:rPr>
          <w:rFonts w:eastAsia="Times New Roman"/>
          <w:color w:val="000000"/>
          <w:sz w:val="20"/>
          <w:szCs w:val="20"/>
        </w:rPr>
        <w:t>Comprises (1) firm residential, commercial and industrial customers to whom UGI Utilities has a statutory obligation to provide service who purchase their natural gas or electricity from UGI Utilities; and (2) residential, commercial and industrial custome</w:t>
      </w:r>
      <w:r>
        <w:rPr>
          <w:rFonts w:eastAsia="Times New Roman"/>
          <w:color w:val="000000"/>
          <w:sz w:val="20"/>
          <w:szCs w:val="20"/>
        </w:rPr>
        <w:t>rs to whom UGI Utilities has a statutory obligation to provide service who purchase their natural gas or electricity from others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COVID-19</w:t>
      </w:r>
      <w:r>
        <w:rPr>
          <w:rFonts w:eastAsia="Times New Roman"/>
          <w:color w:val="000000"/>
          <w:sz w:val="20"/>
          <w:szCs w:val="20"/>
        </w:rPr>
        <w:t xml:space="preserve"> - A novel strain of coronavirus disease discovered in 2019</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DOT -</w:t>
      </w:r>
      <w:r>
        <w:rPr>
          <w:rFonts w:eastAsia="Times New Roman"/>
          <w:color w:val="000000"/>
          <w:sz w:val="20"/>
          <w:szCs w:val="20"/>
        </w:rPr>
        <w:t xml:space="preserve"> U.S. Department of Transportation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DS -</w:t>
      </w:r>
      <w:r>
        <w:rPr>
          <w:rFonts w:eastAsia="Times New Roman"/>
          <w:color w:val="000000"/>
          <w:sz w:val="20"/>
          <w:szCs w:val="20"/>
        </w:rPr>
        <w:t xml:space="preserve"> Default </w:t>
      </w:r>
      <w:r>
        <w:rPr>
          <w:rFonts w:eastAsia="Times New Roman"/>
          <w:color w:val="000000"/>
          <w:sz w:val="20"/>
          <w:szCs w:val="20"/>
        </w:rPr>
        <w:t>service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DSIC -</w:t>
      </w:r>
      <w:r>
        <w:rPr>
          <w:rFonts w:eastAsia="Times New Roman"/>
          <w:color w:val="000000"/>
          <w:sz w:val="20"/>
          <w:szCs w:val="20"/>
        </w:rPr>
        <w:t xml:space="preserve"> Distribution System Improvement Charge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EBITDA - </w:t>
      </w:r>
      <w:r>
        <w:rPr>
          <w:rFonts w:eastAsia="Times New Roman"/>
          <w:color w:val="000000"/>
          <w:sz w:val="20"/>
          <w:szCs w:val="20"/>
        </w:rPr>
        <w:t>Earnings before interest expense, income taxes, depreciation, and amortization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Eighth Circuit</w:t>
      </w:r>
      <w:r>
        <w:rPr>
          <w:rFonts w:eastAsia="Times New Roman"/>
          <w:color w:val="000000"/>
          <w:sz w:val="20"/>
          <w:szCs w:val="20"/>
        </w:rPr>
        <w:t xml:space="preserve"> - United States Court of Appeals for the Eighth Circuit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Energy Services Credit Agre</w:t>
      </w:r>
      <w:r>
        <w:rPr>
          <w:rFonts w:eastAsia="Times New Roman"/>
          <w:b/>
          <w:bCs/>
          <w:i/>
          <w:iCs/>
          <w:color w:val="000000"/>
          <w:sz w:val="20"/>
          <w:szCs w:val="20"/>
        </w:rPr>
        <w:t xml:space="preserve">ement - </w:t>
      </w:r>
      <w:r>
        <w:rPr>
          <w:rFonts w:eastAsia="Times New Roman"/>
          <w:color w:val="000000"/>
          <w:sz w:val="20"/>
          <w:szCs w:val="20"/>
        </w:rPr>
        <w:t>Third amended and restated credit agreement entered into by Energy Services, as borrower, providing for borrowings up to $260 million, including a letter or credit subfacility of up to $50 million, scheduled to expire in March 2025</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Energy Service</w:t>
      </w:r>
      <w:r>
        <w:rPr>
          <w:rFonts w:eastAsia="Times New Roman"/>
          <w:b/>
          <w:bCs/>
          <w:i/>
          <w:iCs/>
          <w:color w:val="000000"/>
          <w:sz w:val="20"/>
          <w:szCs w:val="20"/>
        </w:rPr>
        <w:t xml:space="preserve">s Term Loan - </w:t>
      </w:r>
      <w:r>
        <w:rPr>
          <w:rFonts w:eastAsia="Times New Roman"/>
          <w:color w:val="000000"/>
          <w:sz w:val="20"/>
          <w:szCs w:val="20"/>
        </w:rPr>
        <w:t>A seven-year $700 million senior secured term loan agreement entered into on August 13, 2019, with a group of lenders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EPA - </w:t>
      </w:r>
      <w:r>
        <w:rPr>
          <w:rFonts w:eastAsia="Times New Roman"/>
          <w:color w:val="000000"/>
          <w:sz w:val="20"/>
          <w:szCs w:val="20"/>
        </w:rPr>
        <w:t>Environmental Protection Agency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EPACT 2005 -</w:t>
      </w:r>
      <w:r>
        <w:rPr>
          <w:rFonts w:eastAsia="Times New Roman"/>
          <w:color w:val="000000"/>
          <w:sz w:val="20"/>
          <w:szCs w:val="20"/>
        </w:rPr>
        <w:t xml:space="preserve"> Energy Policy Act of 2005</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ERISA - </w:t>
      </w:r>
      <w:r>
        <w:rPr>
          <w:rFonts w:eastAsia="Times New Roman"/>
          <w:color w:val="000000"/>
          <w:sz w:val="20"/>
          <w:szCs w:val="20"/>
        </w:rPr>
        <w:t>Employee Retirement Income Securi</w:t>
      </w:r>
      <w:r>
        <w:rPr>
          <w:rFonts w:eastAsia="Times New Roman"/>
          <w:color w:val="000000"/>
          <w:sz w:val="20"/>
          <w:szCs w:val="20"/>
        </w:rPr>
        <w:t>ty Act of 1974</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ERO -</w:t>
      </w:r>
      <w:r>
        <w:rPr>
          <w:rFonts w:eastAsia="Times New Roman"/>
          <w:color w:val="000000"/>
          <w:sz w:val="20"/>
          <w:szCs w:val="20"/>
        </w:rPr>
        <w:t xml:space="preserve"> Electric Reliability Organization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EU -</w:t>
      </w:r>
      <w:r>
        <w:rPr>
          <w:rFonts w:eastAsia="Times New Roman"/>
          <w:color w:val="000000"/>
          <w:sz w:val="20"/>
          <w:szCs w:val="20"/>
        </w:rPr>
        <w:t xml:space="preserve"> European Union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Equity Unit Agreements</w:t>
      </w:r>
      <w:r>
        <w:rPr>
          <w:rFonts w:eastAsia="Times New Roman"/>
          <w:color w:val="000000"/>
          <w:sz w:val="20"/>
          <w:szCs w:val="20"/>
        </w:rPr>
        <w:t xml:space="preserve"> - Collection of agreements governing the rights, privileges and obligations of the holders of the Equity Units and UGI as issuer of the Equity Units, wh</w:t>
      </w:r>
      <w:r>
        <w:rPr>
          <w:rFonts w:eastAsia="Times New Roman"/>
          <w:color w:val="000000"/>
          <w:sz w:val="20"/>
          <w:szCs w:val="20"/>
        </w:rPr>
        <w:t>ich were filed with the SEC on Form 8-K on May 25, 2021</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Equity Unit</w:t>
      </w:r>
      <w:r>
        <w:rPr>
          <w:rFonts w:eastAsia="Times New Roman"/>
          <w:color w:val="000000"/>
          <w:sz w:val="20"/>
          <w:szCs w:val="20"/>
        </w:rPr>
        <w:t xml:space="preserve"> </w:t>
      </w:r>
      <w:r>
        <w:rPr>
          <w:rFonts w:eastAsia="Times New Roman"/>
          <w:color w:val="000000"/>
          <w:sz w:val="20"/>
          <w:szCs w:val="20"/>
        </w:rPr>
        <w:t>- A corporate unit consisting of a 2024 Purchase Contract and 1/10th or 10% undivided interest in one share of Convertible Preferred Stock</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Exchange Act -</w:t>
      </w:r>
      <w:r>
        <w:rPr>
          <w:rFonts w:eastAsia="Times New Roman"/>
          <w:color w:val="000000"/>
          <w:sz w:val="20"/>
          <w:szCs w:val="20"/>
        </w:rPr>
        <w:t xml:space="preserve"> Securities Exchange Act of 1934, as amended</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FASB -</w:t>
      </w:r>
      <w:r>
        <w:rPr>
          <w:rFonts w:eastAsia="Times New Roman"/>
          <w:color w:val="000000"/>
          <w:sz w:val="20"/>
          <w:szCs w:val="20"/>
        </w:rPr>
        <w:t xml:space="preserve"> Financial Accounting Standards Board</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FDIC -</w:t>
      </w:r>
      <w:r>
        <w:rPr>
          <w:rFonts w:eastAsia="Times New Roman"/>
          <w:color w:val="000000"/>
          <w:sz w:val="20"/>
          <w:szCs w:val="20"/>
        </w:rPr>
        <w:t xml:space="preserve"> F</w:t>
      </w:r>
      <w:r>
        <w:rPr>
          <w:rFonts w:eastAsia="Times New Roman"/>
          <w:color w:val="000000"/>
          <w:sz w:val="20"/>
          <w:szCs w:val="20"/>
        </w:rPr>
        <w:t>ederal Deposit Insurance Corporation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FERC -</w:t>
      </w:r>
      <w:r>
        <w:rPr>
          <w:rFonts w:eastAsia="Times New Roman"/>
          <w:color w:val="000000"/>
          <w:sz w:val="20"/>
          <w:szCs w:val="20"/>
        </w:rPr>
        <w:t xml:space="preserve"> Federal Energy Regulatory Commission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FIFO</w:t>
      </w:r>
      <w:r>
        <w:rPr>
          <w:rFonts w:eastAsia="Times New Roman"/>
          <w:color w:val="000000"/>
          <w:sz w:val="20"/>
          <w:szCs w:val="20"/>
        </w:rPr>
        <w:t xml:space="preserve"> - First-in, first-out inventory valuation method</w:t>
      </w:r>
    </w:p>
    <w:p w:rsidR="00000000" w:rsidRDefault="00DF5BC2">
      <w:pPr>
        <w:jc w:val="both"/>
        <w:rPr>
          <w:rFonts w:eastAsia="Times New Roman"/>
        </w:rPr>
      </w:pPr>
    </w:p>
    <w:p w:rsidR="00000000" w:rsidRDefault="00DF5BC2">
      <w:pPr>
        <w:divId w:val="240914322"/>
        <w:rPr>
          <w:rFonts w:eastAsia="Times New Roman"/>
        </w:rPr>
      </w:pPr>
      <w:r>
        <w:rPr>
          <w:rFonts w:eastAsia="Times New Roman"/>
          <w:b/>
          <w:bCs/>
          <w:i/>
          <w:iCs/>
          <w:color w:val="000000"/>
          <w:sz w:val="20"/>
          <w:szCs w:val="20"/>
        </w:rPr>
        <w:t>Fiscal 2018</w:t>
      </w:r>
      <w:r>
        <w:rPr>
          <w:rFonts w:eastAsia="Times New Roman"/>
          <w:color w:val="000000"/>
          <w:sz w:val="20"/>
          <w:szCs w:val="20"/>
        </w:rPr>
        <w:t xml:space="preserve"> - The fiscal year ended September 30, 2018</w:t>
      </w:r>
    </w:p>
    <w:p w:rsidR="00000000" w:rsidRDefault="00DF5BC2">
      <w:pPr>
        <w:jc w:val="center"/>
        <w:divId w:val="1929145727"/>
        <w:rPr>
          <w:rFonts w:eastAsia="Times New Roman"/>
        </w:rPr>
      </w:pPr>
      <w:r>
        <w:rPr>
          <w:rFonts w:eastAsia="Times New Roman"/>
          <w:color w:val="000000"/>
          <w:sz w:val="20"/>
          <w:szCs w:val="20"/>
        </w:rPr>
        <w:t>5</w:t>
      </w:r>
    </w:p>
    <w:p w:rsidR="00000000" w:rsidRDefault="00DF5BC2">
      <w:pPr>
        <w:rPr>
          <w:rFonts w:eastAsia="Times New Roman"/>
        </w:rPr>
      </w:pPr>
      <w:r>
        <w:rPr>
          <w:rFonts w:eastAsia="Times New Roman"/>
        </w:rPr>
        <w:pict>
          <v:rect id="_x0000_i1030" style="width:0;height:1.5pt" o:hralign="center" o:hrstd="t" o:hr="t" fillcolor="#a0a0a0" stroked="f"/>
        </w:pict>
      </w:r>
    </w:p>
    <w:p w:rsidR="00000000" w:rsidRDefault="00DF5BC2">
      <w:pPr>
        <w:divId w:val="1911309927"/>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divId w:val="626010020"/>
        <w:rPr>
          <w:rFonts w:eastAsia="Times New Roman"/>
        </w:rPr>
      </w:pPr>
    </w:p>
    <w:p w:rsidR="00000000" w:rsidRDefault="00DF5BC2">
      <w:pPr>
        <w:divId w:val="1116750139"/>
        <w:rPr>
          <w:rFonts w:eastAsia="Times New Roman"/>
        </w:rPr>
      </w:pPr>
      <w:r>
        <w:rPr>
          <w:rFonts w:eastAsia="Times New Roman"/>
          <w:b/>
          <w:bCs/>
          <w:i/>
          <w:iCs/>
          <w:color w:val="000000"/>
          <w:sz w:val="20"/>
          <w:szCs w:val="20"/>
        </w:rPr>
        <w:t>Fiscal 2019</w:t>
      </w:r>
      <w:r>
        <w:rPr>
          <w:rFonts w:eastAsia="Times New Roman"/>
          <w:color w:val="000000"/>
          <w:sz w:val="20"/>
          <w:szCs w:val="20"/>
        </w:rPr>
        <w:t xml:space="preserve"> - The fiscal year ended September 30, 2019</w:t>
      </w:r>
    </w:p>
    <w:p w:rsidR="00000000" w:rsidRDefault="00DF5BC2">
      <w:pPr>
        <w:divId w:val="447314308"/>
        <w:rPr>
          <w:rFonts w:eastAsia="Times New Roman"/>
        </w:rPr>
      </w:pPr>
    </w:p>
    <w:p w:rsidR="00000000" w:rsidRDefault="00DF5BC2">
      <w:pPr>
        <w:divId w:val="2063482757"/>
        <w:rPr>
          <w:rFonts w:eastAsia="Times New Roman"/>
        </w:rPr>
      </w:pPr>
      <w:r>
        <w:rPr>
          <w:rFonts w:eastAsia="Times New Roman"/>
          <w:b/>
          <w:bCs/>
          <w:i/>
          <w:iCs/>
          <w:color w:val="000000"/>
          <w:sz w:val="20"/>
          <w:szCs w:val="20"/>
        </w:rPr>
        <w:t>Fiscal 2020</w:t>
      </w:r>
      <w:r>
        <w:rPr>
          <w:rFonts w:eastAsia="Times New Roman"/>
          <w:color w:val="000000"/>
          <w:sz w:val="20"/>
          <w:szCs w:val="20"/>
        </w:rPr>
        <w:t xml:space="preserve"> - The fiscal year ended September 30, 2020</w:t>
      </w:r>
    </w:p>
    <w:p w:rsidR="00000000" w:rsidRDefault="00DF5BC2">
      <w:pPr>
        <w:divId w:val="1911307099"/>
        <w:rPr>
          <w:rFonts w:eastAsia="Times New Roman"/>
        </w:rPr>
      </w:pPr>
    </w:p>
    <w:p w:rsidR="00000000" w:rsidRDefault="00DF5BC2">
      <w:pPr>
        <w:divId w:val="812989274"/>
        <w:rPr>
          <w:rFonts w:eastAsia="Times New Roman"/>
        </w:rPr>
      </w:pPr>
      <w:r>
        <w:rPr>
          <w:rFonts w:eastAsia="Times New Roman"/>
          <w:b/>
          <w:bCs/>
          <w:i/>
          <w:iCs/>
          <w:color w:val="000000"/>
          <w:sz w:val="20"/>
          <w:szCs w:val="20"/>
        </w:rPr>
        <w:t>Fiscal 2021</w:t>
      </w:r>
      <w:r>
        <w:rPr>
          <w:rFonts w:eastAsia="Times New Roman"/>
          <w:color w:val="000000"/>
          <w:sz w:val="20"/>
          <w:szCs w:val="20"/>
        </w:rPr>
        <w:t xml:space="preserve"> - The fiscal yea</w:t>
      </w:r>
      <w:r>
        <w:rPr>
          <w:rFonts w:eastAsia="Times New Roman"/>
          <w:color w:val="000000"/>
          <w:sz w:val="20"/>
          <w:szCs w:val="20"/>
        </w:rPr>
        <w:t>r ended September 30, 2021</w:t>
      </w:r>
    </w:p>
    <w:p w:rsidR="00000000" w:rsidRDefault="00DF5BC2">
      <w:pPr>
        <w:divId w:val="2031758243"/>
        <w:rPr>
          <w:rFonts w:eastAsia="Times New Roman"/>
        </w:rPr>
      </w:pPr>
    </w:p>
    <w:p w:rsidR="00000000" w:rsidRDefault="00DF5BC2">
      <w:pPr>
        <w:divId w:val="548497221"/>
        <w:rPr>
          <w:rFonts w:eastAsia="Times New Roman"/>
        </w:rPr>
      </w:pPr>
      <w:r>
        <w:rPr>
          <w:rFonts w:eastAsia="Times New Roman"/>
          <w:b/>
          <w:bCs/>
          <w:i/>
          <w:iCs/>
          <w:color w:val="000000"/>
          <w:sz w:val="20"/>
          <w:szCs w:val="20"/>
        </w:rPr>
        <w:t>Fiscal 2022</w:t>
      </w:r>
      <w:r>
        <w:rPr>
          <w:rFonts w:eastAsia="Times New Roman"/>
          <w:color w:val="000000"/>
          <w:sz w:val="20"/>
          <w:szCs w:val="20"/>
        </w:rPr>
        <w:t xml:space="preserve"> - The fiscal year ending September 30, 2022</w:t>
      </w:r>
    </w:p>
    <w:p w:rsidR="00000000" w:rsidRDefault="00DF5BC2">
      <w:pPr>
        <w:divId w:val="1727603223"/>
        <w:rPr>
          <w:rFonts w:eastAsia="Times New Roman"/>
        </w:rPr>
      </w:pPr>
    </w:p>
    <w:p w:rsidR="00000000" w:rsidRDefault="00DF5BC2">
      <w:pPr>
        <w:jc w:val="both"/>
        <w:rPr>
          <w:rFonts w:eastAsia="Times New Roman"/>
        </w:rPr>
      </w:pPr>
      <w:r>
        <w:rPr>
          <w:rFonts w:eastAsia="Times New Roman"/>
          <w:b/>
          <w:bCs/>
          <w:i/>
          <w:iCs/>
          <w:color w:val="000000"/>
          <w:sz w:val="20"/>
          <w:szCs w:val="20"/>
        </w:rPr>
        <w:t>Fiscal 2023</w:t>
      </w:r>
      <w:r>
        <w:rPr>
          <w:rFonts w:eastAsia="Times New Roman"/>
          <w:color w:val="000000"/>
          <w:sz w:val="20"/>
          <w:szCs w:val="20"/>
        </w:rPr>
        <w:t xml:space="preserve"> - The fiscal year ending September 30, 2023</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Fiscal 2024</w:t>
      </w:r>
      <w:r>
        <w:rPr>
          <w:rFonts w:eastAsia="Times New Roman"/>
          <w:color w:val="000000"/>
          <w:sz w:val="20"/>
          <w:szCs w:val="20"/>
        </w:rPr>
        <w:t xml:space="preserve"> - The fiscal year ending September 30, 2024</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Fiscal 2025</w:t>
      </w:r>
      <w:r>
        <w:rPr>
          <w:rFonts w:eastAsia="Times New Roman"/>
          <w:color w:val="000000"/>
          <w:sz w:val="20"/>
          <w:szCs w:val="20"/>
        </w:rPr>
        <w:t xml:space="preserve"> </w:t>
      </w:r>
      <w:r>
        <w:rPr>
          <w:rFonts w:eastAsia="Times New Roman"/>
          <w:color w:val="000000"/>
          <w:sz w:val="20"/>
          <w:szCs w:val="20"/>
        </w:rPr>
        <w:t>- The fiscal year ending September 30, 2025</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Fiscal 2026</w:t>
      </w:r>
      <w:r>
        <w:rPr>
          <w:rFonts w:eastAsia="Times New Roman"/>
          <w:color w:val="000000"/>
          <w:sz w:val="20"/>
          <w:szCs w:val="20"/>
        </w:rPr>
        <w:t xml:space="preserve"> - The fiscal year ending September 30, 2026</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GAAP -</w:t>
      </w:r>
      <w:r>
        <w:rPr>
          <w:rFonts w:eastAsia="Times New Roman"/>
          <w:color w:val="000000"/>
          <w:sz w:val="20"/>
          <w:szCs w:val="20"/>
        </w:rPr>
        <w:t xml:space="preserve"> U.S. generally accepted accounting principles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GDPR -</w:t>
      </w:r>
      <w:r>
        <w:rPr>
          <w:rFonts w:eastAsia="Times New Roman"/>
          <w:color w:val="000000"/>
          <w:sz w:val="20"/>
          <w:szCs w:val="20"/>
        </w:rPr>
        <w:t xml:space="preserve"> General Data Protection Regulation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GHG -</w:t>
      </w:r>
      <w:r>
        <w:rPr>
          <w:rFonts w:eastAsia="Times New Roman"/>
          <w:color w:val="000000"/>
          <w:sz w:val="20"/>
          <w:szCs w:val="20"/>
        </w:rPr>
        <w:t xml:space="preserve"> Greenhouse gas</w:t>
      </w:r>
    </w:p>
    <w:p w:rsidR="00000000" w:rsidRDefault="00DF5BC2">
      <w:pPr>
        <w:jc w:val="both"/>
        <w:rPr>
          <w:rFonts w:eastAsia="Times New Roman"/>
        </w:rPr>
      </w:pPr>
    </w:p>
    <w:p w:rsidR="00000000" w:rsidRDefault="00DF5BC2">
      <w:pPr>
        <w:divId w:val="1317107094"/>
        <w:rPr>
          <w:rFonts w:eastAsia="Times New Roman"/>
        </w:rPr>
      </w:pPr>
      <w:r>
        <w:rPr>
          <w:rFonts w:eastAsia="Times New Roman"/>
          <w:b/>
          <w:bCs/>
          <w:i/>
          <w:iCs/>
          <w:color w:val="000000"/>
          <w:sz w:val="20"/>
          <w:szCs w:val="20"/>
        </w:rPr>
        <w:t>GILTI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Global Intangible Low </w:t>
      </w:r>
      <w:r>
        <w:rPr>
          <w:rFonts w:eastAsia="Times New Roman"/>
          <w:color w:val="000000"/>
          <w:sz w:val="20"/>
          <w:szCs w:val="20"/>
        </w:rPr>
        <w:t>Taxed Income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Gwh -</w:t>
      </w:r>
      <w:r>
        <w:rPr>
          <w:rFonts w:eastAsia="Times New Roman"/>
          <w:color w:val="000000"/>
          <w:sz w:val="20"/>
          <w:szCs w:val="20"/>
        </w:rPr>
        <w:t xml:space="preserve"> Millions of kilowatt hours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Hunlock</w:t>
      </w:r>
      <w:r>
        <w:rPr>
          <w:rFonts w:eastAsia="Times New Roman"/>
          <w:color w:val="000000"/>
          <w:sz w:val="20"/>
          <w:szCs w:val="20"/>
        </w:rPr>
        <w:t xml:space="preserve"> - Hunlock Station, a 130-megawatt natural gas-fueled electricity generating station located near Wilkes-Barre, Pennsylvania</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ICE -</w:t>
      </w:r>
      <w:r>
        <w:rPr>
          <w:rFonts w:eastAsia="Times New Roman"/>
          <w:color w:val="000000"/>
          <w:sz w:val="20"/>
          <w:szCs w:val="20"/>
        </w:rPr>
        <w:t xml:space="preserve"> Intercontinental Exchange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IRC</w:t>
      </w:r>
      <w:r>
        <w:rPr>
          <w:rFonts w:eastAsia="Times New Roman"/>
          <w:color w:val="000000"/>
          <w:sz w:val="20"/>
          <w:szCs w:val="20"/>
        </w:rPr>
        <w:t xml:space="preserve"> </w:t>
      </w:r>
      <w:r>
        <w:rPr>
          <w:rFonts w:eastAsia="Times New Roman"/>
          <w:color w:val="000000"/>
          <w:sz w:val="20"/>
          <w:szCs w:val="20"/>
        </w:rPr>
        <w:t>- Internal Revenue Code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IRPA -</w:t>
      </w:r>
      <w:r>
        <w:rPr>
          <w:rFonts w:eastAsia="Times New Roman"/>
          <w:color w:val="000000"/>
          <w:sz w:val="20"/>
          <w:szCs w:val="20"/>
        </w:rPr>
        <w:t xml:space="preserve"> Interest rate protection agreement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IRS</w:t>
      </w:r>
      <w:r>
        <w:rPr>
          <w:rFonts w:eastAsia="Times New Roman"/>
          <w:color w:val="000000"/>
          <w:sz w:val="20"/>
          <w:szCs w:val="20"/>
        </w:rPr>
        <w:t xml:space="preserve"> - Internal Revenue Service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IT -</w:t>
      </w:r>
      <w:r>
        <w:rPr>
          <w:rFonts w:eastAsia="Times New Roman"/>
          <w:color w:val="000000"/>
          <w:sz w:val="20"/>
          <w:szCs w:val="20"/>
        </w:rPr>
        <w:t xml:space="preserve"> Information technology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LIBOR -</w:t>
      </w:r>
      <w:r>
        <w:rPr>
          <w:rFonts w:eastAsia="Times New Roman"/>
          <w:color w:val="000000"/>
          <w:sz w:val="20"/>
          <w:szCs w:val="20"/>
        </w:rPr>
        <w:t xml:space="preserve"> London Inter-bank Offered Rate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LNG -</w:t>
      </w:r>
      <w:r>
        <w:rPr>
          <w:rFonts w:eastAsia="Times New Roman"/>
          <w:color w:val="000000"/>
          <w:sz w:val="20"/>
          <w:szCs w:val="20"/>
        </w:rPr>
        <w:t xml:space="preserve"> Liquefied natural gas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LPG -</w:t>
      </w:r>
      <w:r>
        <w:rPr>
          <w:rFonts w:eastAsia="Times New Roman"/>
          <w:color w:val="000000"/>
          <w:sz w:val="20"/>
          <w:szCs w:val="20"/>
        </w:rPr>
        <w:t xml:space="preserve"> Liquefied petroleum gas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LTIIP -</w:t>
      </w:r>
      <w:r>
        <w:rPr>
          <w:rFonts w:eastAsia="Times New Roman"/>
          <w:color w:val="000000"/>
          <w:sz w:val="20"/>
          <w:szCs w:val="20"/>
        </w:rPr>
        <w:t xml:space="preserve"> </w:t>
      </w:r>
      <w:r>
        <w:rPr>
          <w:rFonts w:eastAsia="Times New Roman"/>
          <w:color w:val="000000"/>
          <w:sz w:val="20"/>
          <w:szCs w:val="20"/>
        </w:rPr>
        <w:t>Long-term infrastructure improvement plans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MD&amp;A - </w:t>
      </w:r>
      <w:r>
        <w:rPr>
          <w:rFonts w:eastAsia="Times New Roman"/>
          <w:color w:val="000000"/>
          <w:sz w:val="20"/>
          <w:szCs w:val="20"/>
        </w:rPr>
        <w:t>Management’s Discussion and Analysis of Financial Condition and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MDPSC - </w:t>
      </w:r>
      <w:r>
        <w:rPr>
          <w:rFonts w:eastAsia="Times New Roman"/>
          <w:color w:val="000000"/>
          <w:sz w:val="20"/>
          <w:szCs w:val="20"/>
        </w:rPr>
        <w:t>Maryland Public Service Commission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Merger Agreement</w:t>
      </w:r>
      <w:r>
        <w:rPr>
          <w:rFonts w:eastAsia="Times New Roman"/>
          <w:color w:val="000000"/>
          <w:sz w:val="20"/>
          <w:szCs w:val="20"/>
        </w:rPr>
        <w:t xml:space="preserve"> - Agreement and Plan of Merger, dated as of April 1, 2</w:t>
      </w:r>
      <w:r>
        <w:rPr>
          <w:rFonts w:eastAsia="Times New Roman"/>
          <w:color w:val="000000"/>
          <w:sz w:val="20"/>
          <w:szCs w:val="20"/>
        </w:rPr>
        <w:t>019, among UGI, AmeriGas Propane Holdings, Inc., AmeriGas Propane Holdings, LLC, AmeriGas Partners and AmeriGas Propane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MGP - </w:t>
      </w:r>
      <w:r>
        <w:rPr>
          <w:rFonts w:eastAsia="Times New Roman"/>
          <w:color w:val="000000"/>
          <w:sz w:val="20"/>
          <w:szCs w:val="20"/>
        </w:rPr>
        <w:t>Manufactured gas plant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Mountaineer Acquisition</w:t>
      </w:r>
      <w:r>
        <w:rPr>
          <w:rFonts w:eastAsia="Times New Roman"/>
          <w:color w:val="000000"/>
          <w:sz w:val="20"/>
          <w:szCs w:val="20"/>
        </w:rPr>
        <w:t xml:space="preserve"> - Acquisition of Mountaintop Energy Holdings LLC, which closed on September 1, </w:t>
      </w:r>
      <w:r>
        <w:rPr>
          <w:rFonts w:eastAsia="Times New Roman"/>
          <w:color w:val="000000"/>
          <w:sz w:val="20"/>
          <w:szCs w:val="20"/>
        </w:rPr>
        <w:t>2021</w:t>
      </w:r>
    </w:p>
    <w:p w:rsidR="00000000" w:rsidRDefault="00DF5BC2">
      <w:pPr>
        <w:jc w:val="both"/>
        <w:rPr>
          <w:rFonts w:eastAsia="Times New Roman"/>
        </w:rPr>
      </w:pPr>
    </w:p>
    <w:p w:rsidR="00000000" w:rsidRDefault="00DF5BC2">
      <w:pPr>
        <w:jc w:val="center"/>
        <w:divId w:val="821045435"/>
        <w:rPr>
          <w:rFonts w:eastAsia="Times New Roman"/>
        </w:rPr>
      </w:pPr>
      <w:r>
        <w:rPr>
          <w:rFonts w:eastAsia="Times New Roman"/>
          <w:color w:val="000000"/>
          <w:sz w:val="20"/>
          <w:szCs w:val="20"/>
        </w:rPr>
        <w:t>6</w:t>
      </w:r>
    </w:p>
    <w:p w:rsidR="00000000" w:rsidRDefault="00DF5BC2">
      <w:pPr>
        <w:rPr>
          <w:rFonts w:eastAsia="Times New Roman"/>
        </w:rPr>
      </w:pPr>
      <w:r>
        <w:rPr>
          <w:rFonts w:eastAsia="Times New Roman"/>
        </w:rPr>
        <w:pict>
          <v:rect id="_x0000_i1031" style="width:0;height:1.5pt" o:hralign="center" o:hrstd="t" o:hr="t" fillcolor="#a0a0a0" stroked="f"/>
        </w:pict>
      </w:r>
    </w:p>
    <w:p w:rsidR="00000000" w:rsidRDefault="00DF5BC2">
      <w:pPr>
        <w:divId w:val="569119439"/>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i/>
          <w:iCs/>
          <w:color w:val="000000"/>
          <w:sz w:val="20"/>
          <w:szCs w:val="20"/>
        </w:rPr>
        <w:t xml:space="preserve">Mountaineer Credit Agreement - </w:t>
      </w:r>
      <w:r>
        <w:rPr>
          <w:rFonts w:eastAsia="Times New Roman"/>
          <w:color w:val="000000"/>
          <w:sz w:val="20"/>
          <w:szCs w:val="20"/>
        </w:rPr>
        <w:t>Third amended and restated credit agreement entered into by Mountaineer, as borrower, providing for bor</w:t>
      </w:r>
      <w:r>
        <w:rPr>
          <w:rFonts w:eastAsia="Times New Roman"/>
          <w:color w:val="000000"/>
          <w:sz w:val="20"/>
          <w:szCs w:val="20"/>
        </w:rPr>
        <w:t>rowings up to $100 million, with the option to increase to a maximum principal amount of $200 million assuming certain conditions are met, including a letter or credit subfacility of up to $20 million, scheduled to expire in November 2024</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NAV - </w:t>
      </w:r>
      <w:r>
        <w:rPr>
          <w:rFonts w:eastAsia="Times New Roman"/>
          <w:color w:val="000000"/>
          <w:sz w:val="20"/>
          <w:szCs w:val="20"/>
        </w:rPr>
        <w:t>Net asset</w:t>
      </w:r>
      <w:r>
        <w:rPr>
          <w:rFonts w:eastAsia="Times New Roman"/>
          <w:color w:val="000000"/>
          <w:sz w:val="20"/>
          <w:szCs w:val="20"/>
        </w:rPr>
        <w:t xml:space="preserve"> value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NOAA -</w:t>
      </w:r>
      <w:r>
        <w:rPr>
          <w:rFonts w:eastAsia="Times New Roman"/>
          <w:color w:val="000000"/>
          <w:sz w:val="20"/>
          <w:szCs w:val="20"/>
        </w:rPr>
        <w:t xml:space="preserve"> National Oceanic and Atmospheric Administration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NOL</w:t>
      </w:r>
      <w:r>
        <w:rPr>
          <w:rFonts w:eastAsia="Times New Roman"/>
          <w:color w:val="000000"/>
          <w:sz w:val="20"/>
          <w:szCs w:val="20"/>
        </w:rPr>
        <w:t xml:space="preserve"> - Net operating loss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NPNS -</w:t>
      </w:r>
      <w:r>
        <w:rPr>
          <w:rFonts w:eastAsia="Times New Roman"/>
          <w:color w:val="000000"/>
          <w:sz w:val="20"/>
          <w:szCs w:val="20"/>
        </w:rPr>
        <w:t xml:space="preserve"> Normal purchase and normal sale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NYDEC - </w:t>
      </w:r>
      <w:r>
        <w:rPr>
          <w:rFonts w:eastAsia="Times New Roman"/>
          <w:color w:val="000000"/>
          <w:sz w:val="20"/>
          <w:szCs w:val="20"/>
        </w:rPr>
        <w:t>New York State Department of Environmental Conservation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NYMEX -</w:t>
      </w:r>
      <w:r>
        <w:rPr>
          <w:rFonts w:eastAsia="Times New Roman"/>
          <w:color w:val="000000"/>
          <w:sz w:val="20"/>
          <w:szCs w:val="20"/>
        </w:rPr>
        <w:t xml:space="preserve"> </w:t>
      </w:r>
      <w:r>
        <w:rPr>
          <w:rFonts w:eastAsia="Times New Roman"/>
          <w:color w:val="000000"/>
          <w:sz w:val="20"/>
          <w:szCs w:val="20"/>
        </w:rPr>
        <w:t>New York Mercantile Exchange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OSHA -</w:t>
      </w:r>
      <w:r>
        <w:rPr>
          <w:rFonts w:eastAsia="Times New Roman"/>
          <w:color w:val="000000"/>
          <w:sz w:val="20"/>
          <w:szCs w:val="20"/>
        </w:rPr>
        <w:t xml:space="preserve"> Occupational Safety and Health Act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PADEP -</w:t>
      </w:r>
      <w:r>
        <w:rPr>
          <w:rFonts w:eastAsia="Times New Roman"/>
          <w:color w:val="000000"/>
          <w:sz w:val="20"/>
          <w:szCs w:val="20"/>
        </w:rPr>
        <w:t xml:space="preserve"> Pennsylvania Department of Environmental Protection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PAPUC -</w:t>
      </w:r>
      <w:r>
        <w:rPr>
          <w:rFonts w:eastAsia="Times New Roman"/>
          <w:color w:val="000000"/>
          <w:sz w:val="20"/>
          <w:szCs w:val="20"/>
        </w:rPr>
        <w:t xml:space="preserve"> Pennsylvania Public Utility Commission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Partnership Agreement - </w:t>
      </w:r>
      <w:r>
        <w:rPr>
          <w:rFonts w:eastAsia="Times New Roman"/>
          <w:color w:val="000000"/>
          <w:sz w:val="20"/>
          <w:szCs w:val="20"/>
        </w:rPr>
        <w:t>Fourth amended and restated agreement of Limit</w:t>
      </w:r>
      <w:r>
        <w:rPr>
          <w:rFonts w:eastAsia="Times New Roman"/>
          <w:color w:val="000000"/>
          <w:sz w:val="20"/>
          <w:szCs w:val="20"/>
        </w:rPr>
        <w:t>ed Partnership of AmeriGas Partners, L.P. dated as of July 27, 2009, as amended</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PBO - </w:t>
      </w:r>
      <w:r>
        <w:rPr>
          <w:rFonts w:eastAsia="Times New Roman"/>
          <w:color w:val="000000"/>
          <w:sz w:val="20"/>
          <w:szCs w:val="20"/>
        </w:rPr>
        <w:t>Projected benefit obligation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PennEnergy</w:t>
      </w:r>
      <w:r>
        <w:rPr>
          <w:rFonts w:eastAsia="Times New Roman"/>
          <w:color w:val="000000"/>
          <w:sz w:val="20"/>
          <w:szCs w:val="20"/>
        </w:rPr>
        <w:t xml:space="preserve"> - PennEnergy Resources,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PGA -</w:t>
      </w:r>
      <w:r>
        <w:rPr>
          <w:rFonts w:eastAsia="Times New Roman"/>
          <w:color w:val="000000"/>
          <w:sz w:val="20"/>
          <w:szCs w:val="20"/>
        </w:rPr>
        <w:t xml:space="preserve"> Purchased gas adjustment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PGC -</w:t>
      </w:r>
      <w:r>
        <w:rPr>
          <w:rFonts w:eastAsia="Times New Roman"/>
          <w:color w:val="000000"/>
          <w:sz w:val="20"/>
          <w:szCs w:val="20"/>
        </w:rPr>
        <w:t xml:space="preserve"> Purchased gas costs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PJM -</w:t>
      </w:r>
      <w:r>
        <w:rPr>
          <w:rFonts w:eastAsia="Times New Roman"/>
          <w:color w:val="000000"/>
          <w:sz w:val="20"/>
          <w:szCs w:val="20"/>
        </w:rPr>
        <w:t xml:space="preserve"> PJM Interconnection,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PR</w:t>
      </w:r>
      <w:r>
        <w:rPr>
          <w:rFonts w:eastAsia="Times New Roman"/>
          <w:b/>
          <w:bCs/>
          <w:i/>
          <w:iCs/>
          <w:color w:val="000000"/>
          <w:sz w:val="20"/>
          <w:szCs w:val="20"/>
        </w:rPr>
        <w:t xml:space="preserve">P - </w:t>
      </w:r>
      <w:r>
        <w:rPr>
          <w:rFonts w:eastAsia="Times New Roman"/>
          <w:color w:val="000000"/>
          <w:sz w:val="20"/>
          <w:szCs w:val="20"/>
        </w:rPr>
        <w:t>Potentially Responsible Party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PUHCA 2005 -</w:t>
      </w:r>
      <w:r>
        <w:rPr>
          <w:rFonts w:eastAsia="Times New Roman"/>
          <w:color w:val="000000"/>
          <w:sz w:val="20"/>
          <w:szCs w:val="20"/>
        </w:rPr>
        <w:t xml:space="preserve"> Public Utility Holding Company Act of 2005</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Receivables Facility -</w:t>
      </w:r>
      <w:r>
        <w:rPr>
          <w:rFonts w:eastAsia="Times New Roman"/>
          <w:color w:val="000000"/>
          <w:sz w:val="20"/>
          <w:szCs w:val="20"/>
        </w:rPr>
        <w:t xml:space="preserve"> </w:t>
      </w:r>
      <w:r>
        <w:rPr>
          <w:rFonts w:eastAsia="Times New Roman"/>
          <w:color w:val="000000"/>
          <w:sz w:val="20"/>
          <w:szCs w:val="20"/>
        </w:rPr>
        <w:t>A receivables purchase facility of Energy Services with an issuer of receivables-backed commercial paper</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Retail core-market -</w:t>
      </w:r>
      <w:r>
        <w:rPr>
          <w:rFonts w:eastAsia="Times New Roman"/>
          <w:color w:val="000000"/>
          <w:sz w:val="20"/>
          <w:szCs w:val="20"/>
        </w:rPr>
        <w:t xml:space="preserve"> Comprises firm residential, commercial and industrial customers to whom UGI Utilities has a statutory obligation to provide serv</w:t>
      </w:r>
      <w:r>
        <w:rPr>
          <w:rFonts w:eastAsia="Times New Roman"/>
          <w:color w:val="000000"/>
          <w:sz w:val="20"/>
          <w:szCs w:val="20"/>
        </w:rPr>
        <w:t>ice that purchase their natural gas from UGI Utilities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RNG -</w:t>
      </w:r>
      <w:r>
        <w:rPr>
          <w:rFonts w:eastAsia="Times New Roman"/>
          <w:color w:val="000000"/>
          <w:sz w:val="20"/>
          <w:szCs w:val="20"/>
        </w:rPr>
        <w:t xml:space="preserve"> Renewable natural gas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ROU</w:t>
      </w:r>
      <w:r>
        <w:rPr>
          <w:rFonts w:eastAsia="Times New Roman"/>
          <w:color w:val="000000"/>
          <w:sz w:val="20"/>
          <w:szCs w:val="20"/>
        </w:rPr>
        <w:t xml:space="preserve"> - Right-of-use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ROD - </w:t>
      </w:r>
      <w:r>
        <w:rPr>
          <w:rFonts w:eastAsia="Times New Roman"/>
          <w:color w:val="000000"/>
          <w:sz w:val="20"/>
          <w:szCs w:val="20"/>
        </w:rPr>
        <w:t>Record of Decision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SCAA -</w:t>
      </w:r>
      <w:r>
        <w:rPr>
          <w:rFonts w:eastAsia="Times New Roman"/>
          <w:color w:val="000000"/>
          <w:sz w:val="20"/>
          <w:szCs w:val="20"/>
        </w:rPr>
        <w:t xml:space="preserve"> Storage Contract Administrative Agreements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SEC -</w:t>
      </w:r>
      <w:r>
        <w:rPr>
          <w:rFonts w:eastAsia="Times New Roman"/>
          <w:color w:val="000000"/>
          <w:sz w:val="20"/>
          <w:szCs w:val="20"/>
        </w:rPr>
        <w:t xml:space="preserve"> U.S. Securities and Exchange Commission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Series B preferred st</w:t>
      </w:r>
      <w:r>
        <w:rPr>
          <w:rFonts w:eastAsia="Times New Roman"/>
          <w:b/>
          <w:bCs/>
          <w:i/>
          <w:iCs/>
          <w:color w:val="000000"/>
          <w:sz w:val="20"/>
          <w:szCs w:val="20"/>
        </w:rPr>
        <w:t>ock</w:t>
      </w:r>
      <w:r>
        <w:rPr>
          <w:rFonts w:eastAsia="Times New Roman"/>
          <w:color w:val="000000"/>
          <w:sz w:val="20"/>
          <w:szCs w:val="20"/>
        </w:rPr>
        <w:t xml:space="preserve"> - Preferred stock of UGI titled 0.125% series B cumulative perpetual preferred stock with terms substantially identical to the Convertible Preferred Stock, except that it will not be convertible</w:t>
      </w:r>
    </w:p>
    <w:p w:rsidR="00000000" w:rsidRDefault="00DF5BC2">
      <w:pPr>
        <w:jc w:val="both"/>
        <w:rPr>
          <w:rFonts w:eastAsia="Times New Roman"/>
        </w:rPr>
      </w:pPr>
    </w:p>
    <w:p w:rsidR="00000000" w:rsidRDefault="00DF5BC2">
      <w:pPr>
        <w:jc w:val="center"/>
        <w:divId w:val="356272827"/>
        <w:rPr>
          <w:rFonts w:eastAsia="Times New Roman"/>
        </w:rPr>
      </w:pPr>
      <w:r>
        <w:rPr>
          <w:rFonts w:eastAsia="Times New Roman"/>
          <w:color w:val="000000"/>
          <w:sz w:val="20"/>
          <w:szCs w:val="20"/>
        </w:rPr>
        <w:t>7</w:t>
      </w:r>
    </w:p>
    <w:p w:rsidR="00000000" w:rsidRDefault="00DF5BC2">
      <w:pPr>
        <w:rPr>
          <w:rFonts w:eastAsia="Times New Roman"/>
        </w:rPr>
      </w:pPr>
      <w:r>
        <w:rPr>
          <w:rFonts w:eastAsia="Times New Roman"/>
        </w:rPr>
        <w:pict>
          <v:rect id="_x0000_i1032" style="width:0;height:1.5pt" o:hralign="center" o:hrstd="t" o:hr="t" fillcolor="#a0a0a0" stroked="f"/>
        </w:pict>
      </w:r>
    </w:p>
    <w:p w:rsidR="00000000" w:rsidRDefault="00DF5BC2">
      <w:pPr>
        <w:divId w:val="1816599936"/>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i/>
          <w:iCs/>
          <w:color w:val="000000"/>
          <w:sz w:val="20"/>
          <w:szCs w:val="20"/>
        </w:rPr>
        <w:t>Stonehenge</w:t>
      </w:r>
      <w:r>
        <w:rPr>
          <w:rFonts w:eastAsia="Times New Roman"/>
          <w:color w:val="000000"/>
          <w:sz w:val="20"/>
          <w:szCs w:val="20"/>
        </w:rPr>
        <w:t xml:space="preserve"> </w:t>
      </w:r>
      <w:r>
        <w:rPr>
          <w:rFonts w:eastAsia="Times New Roman"/>
          <w:color w:val="000000"/>
          <w:sz w:val="20"/>
          <w:szCs w:val="20"/>
        </w:rPr>
        <w:t>- Stonehenge Energy Resources III, LLC, a portfolio company of Energy Spectrum Partners VIII, L.P.</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Stock Unit - </w:t>
      </w:r>
      <w:r>
        <w:rPr>
          <w:rFonts w:eastAsia="Times New Roman"/>
          <w:color w:val="000000"/>
          <w:sz w:val="20"/>
          <w:szCs w:val="20"/>
        </w:rPr>
        <w:t>Unit awards that entitle the grantee to shares of UGI Common Stock or cash subject to service conditions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TCJA -</w:t>
      </w:r>
      <w:r>
        <w:rPr>
          <w:rFonts w:eastAsia="Times New Roman"/>
          <w:color w:val="000000"/>
          <w:sz w:val="20"/>
          <w:szCs w:val="20"/>
        </w:rPr>
        <w:t xml:space="preserve"> Tax Cuts and Jobs Act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Temp</w:t>
      </w:r>
      <w:r>
        <w:rPr>
          <w:rFonts w:eastAsia="Times New Roman"/>
          <w:b/>
          <w:bCs/>
          <w:i/>
          <w:iCs/>
          <w:color w:val="000000"/>
          <w:sz w:val="20"/>
          <w:szCs w:val="20"/>
        </w:rPr>
        <w:t>orary Rates Order -</w:t>
      </w:r>
      <w:r>
        <w:rPr>
          <w:rFonts w:eastAsia="Times New Roman"/>
          <w:color w:val="000000"/>
          <w:sz w:val="20"/>
          <w:szCs w:val="20"/>
        </w:rPr>
        <w:t xml:space="preserve"> Order issued by the PAPUC on March 15, 2018, that converted PAPUC approved rates of a defined group of large Pennsylvania public utilities into temporary rates for a period of not more than 12 months while the PAPUC reviewed effects of </w:t>
      </w:r>
      <w:r>
        <w:rPr>
          <w:rFonts w:eastAsia="Times New Roman"/>
          <w:color w:val="000000"/>
          <w:sz w:val="20"/>
          <w:szCs w:val="20"/>
        </w:rPr>
        <w:t>the TCJA</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TSR</w:t>
      </w:r>
      <w:r>
        <w:rPr>
          <w:rFonts w:eastAsia="Times New Roman"/>
          <w:b/>
          <w:bCs/>
          <w:color w:val="000000"/>
          <w:sz w:val="20"/>
          <w:szCs w:val="20"/>
        </w:rPr>
        <w:t xml:space="preserve"> </w:t>
      </w:r>
      <w:r>
        <w:rPr>
          <w:rFonts w:eastAsia="Times New Roman"/>
          <w:color w:val="000000"/>
          <w:sz w:val="20"/>
          <w:szCs w:val="20"/>
        </w:rPr>
        <w:t>- Total Shareholder Return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comparator group</w:t>
      </w:r>
      <w:r>
        <w:rPr>
          <w:rFonts w:eastAsia="Times New Roman"/>
          <w:color w:val="000000"/>
          <w:sz w:val="20"/>
          <w:szCs w:val="20"/>
        </w:rPr>
        <w:t xml:space="preserve"> - The Russell Midcap Utility Index, excluding telecommunications companies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Corporation Senior Credit Facility</w:t>
      </w:r>
      <w:r>
        <w:rPr>
          <w:rFonts w:eastAsia="Times New Roman"/>
          <w:color w:val="000000"/>
          <w:sz w:val="20"/>
          <w:szCs w:val="20"/>
        </w:rPr>
        <w:t xml:space="preserve"> </w:t>
      </w:r>
      <w:r>
        <w:rPr>
          <w:rFonts w:eastAsia="Times New Roman"/>
          <w:color w:val="000000"/>
          <w:sz w:val="20"/>
          <w:szCs w:val="20"/>
        </w:rPr>
        <w:t>- An unsecured senior facilities agreement entered into on August 1, 2019, by UGI comprising (1) a five-year $250 million term loan facility; (2) a three-year $300 million term loan facility; and (3) a five-year $300 million revolving credit facility (incl</w:t>
      </w:r>
      <w:r>
        <w:rPr>
          <w:rFonts w:eastAsia="Times New Roman"/>
          <w:color w:val="000000"/>
          <w:sz w:val="20"/>
          <w:szCs w:val="20"/>
        </w:rPr>
        <w:t>uding a $10 million sublimit for letters of credit)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International 3.25% Senior Notes -</w:t>
      </w:r>
      <w:r>
        <w:rPr>
          <w:rFonts w:eastAsia="Times New Roman"/>
          <w:color w:val="000000"/>
          <w:sz w:val="20"/>
          <w:szCs w:val="20"/>
        </w:rPr>
        <w:t xml:space="preserve"> An underwritten private placement of €350 million principal amount of senior unsecured notes due November 1, 2025, issued by UGI International, LLC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Internati</w:t>
      </w:r>
      <w:r>
        <w:rPr>
          <w:rFonts w:eastAsia="Times New Roman"/>
          <w:b/>
          <w:bCs/>
          <w:i/>
          <w:iCs/>
          <w:color w:val="000000"/>
          <w:sz w:val="20"/>
          <w:szCs w:val="20"/>
        </w:rPr>
        <w:t xml:space="preserve">onal Credit Facilities Agreement - </w:t>
      </w:r>
      <w:r>
        <w:rPr>
          <w:rFonts w:eastAsia="Times New Roman"/>
          <w:color w:val="000000"/>
          <w:sz w:val="20"/>
          <w:szCs w:val="20"/>
        </w:rPr>
        <w:t>A five-year unsecured senior facilities agreement entered into in October 2018, by UGI International, LLC comprising a €300 million term loan facility and a €300 million revolving credit facility, scheduled to expire in O</w:t>
      </w:r>
      <w:r>
        <w:rPr>
          <w:rFonts w:eastAsia="Times New Roman"/>
          <w:color w:val="000000"/>
          <w:sz w:val="20"/>
          <w:szCs w:val="20"/>
        </w:rPr>
        <w:t>ctober 2023</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UGI Performance Units - </w:t>
      </w:r>
      <w:r>
        <w:rPr>
          <w:rFonts w:eastAsia="Times New Roman"/>
          <w:color w:val="000000"/>
          <w:sz w:val="20"/>
          <w:szCs w:val="20"/>
        </w:rPr>
        <w:t>Unit awards that entitle the grantee to shares of UGI Common Stock or cash subject to service and market performance conditions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Utilities, Inc. Credit Agreement</w:t>
      </w:r>
      <w:r>
        <w:rPr>
          <w:rFonts w:eastAsia="Times New Roman"/>
          <w:color w:val="000000"/>
          <w:sz w:val="20"/>
          <w:szCs w:val="20"/>
        </w:rPr>
        <w:t xml:space="preserve"> - A five-year unsecured revolving credit agreement </w:t>
      </w:r>
      <w:r>
        <w:rPr>
          <w:rFonts w:eastAsia="Times New Roman"/>
          <w:color w:val="000000"/>
          <w:sz w:val="20"/>
          <w:szCs w:val="20"/>
        </w:rPr>
        <w:t>entered into by UGI Utilities, Inc. on June 27, 2019, providing for borrowings up to $350 million, including a letter of credit subfacility of up to $100 million, scheduled to expire in June 2024</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Units </w:t>
      </w:r>
      <w:r>
        <w:rPr>
          <w:rFonts w:eastAsia="Times New Roman"/>
          <w:color w:val="000000"/>
          <w:sz w:val="20"/>
          <w:szCs w:val="20"/>
        </w:rPr>
        <w:t xml:space="preserve">or </w:t>
      </w:r>
      <w:r>
        <w:rPr>
          <w:rFonts w:eastAsia="Times New Roman"/>
          <w:b/>
          <w:bCs/>
          <w:i/>
          <w:iCs/>
          <w:color w:val="000000"/>
          <w:sz w:val="20"/>
          <w:szCs w:val="20"/>
        </w:rPr>
        <w:t xml:space="preserve">Unit Awards - </w:t>
      </w:r>
      <w:r>
        <w:rPr>
          <w:rFonts w:eastAsia="Times New Roman"/>
          <w:color w:val="000000"/>
          <w:sz w:val="20"/>
          <w:szCs w:val="20"/>
        </w:rPr>
        <w:t>UGI Corporation stock options, gran</w:t>
      </w:r>
      <w:r>
        <w:rPr>
          <w:rFonts w:eastAsia="Times New Roman"/>
          <w:color w:val="000000"/>
          <w:sz w:val="20"/>
          <w:szCs w:val="20"/>
        </w:rPr>
        <w:t>ts of UGI Corporation stock-based equity instruments and, prior to the AmeriGas Merger, grants of AmeriGas Partners, L.P. equity instruments (together with UGI Corporation stock-based equity instruments)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USD </w:t>
      </w:r>
      <w:r>
        <w:rPr>
          <w:rFonts w:eastAsia="Times New Roman"/>
          <w:color w:val="000000"/>
          <w:sz w:val="20"/>
          <w:szCs w:val="20"/>
        </w:rPr>
        <w:t>- U.S. dollar</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U.S. Pension Plans –</w:t>
      </w:r>
      <w:r>
        <w:rPr>
          <w:rFonts w:eastAsia="Times New Roman"/>
          <w:color w:val="000000"/>
          <w:sz w:val="20"/>
          <w:szCs w:val="20"/>
        </w:rPr>
        <w:t xml:space="preserve"> Consists </w:t>
      </w:r>
      <w:r>
        <w:rPr>
          <w:rFonts w:eastAsia="Times New Roman"/>
          <w:color w:val="000000"/>
          <w:sz w:val="20"/>
          <w:szCs w:val="20"/>
        </w:rPr>
        <w:t>of (1) a defined benefit pension plan for employees hired prior to January 1, 2009 of UGI, UGI Utilities, Inc. and certain of UGI’s other domestic wholly owned subsidiaries; and (2) a defined benefit pension plan for substantially all Mountaineer employees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Utilities Term Loan</w:t>
      </w:r>
      <w:r>
        <w:rPr>
          <w:rFonts w:eastAsia="Times New Roman"/>
          <w:color w:val="000000"/>
          <w:sz w:val="20"/>
          <w:szCs w:val="20"/>
        </w:rPr>
        <w:t xml:space="preserve"> - A $125 million unsecured variable-rate term loan agreement entered into in September 2018 by UGI Utilities, Inc. with a group of banks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VEBA -</w:t>
      </w:r>
      <w:r>
        <w:rPr>
          <w:rFonts w:eastAsia="Times New Roman"/>
          <w:color w:val="000000"/>
          <w:sz w:val="20"/>
          <w:szCs w:val="20"/>
        </w:rPr>
        <w:t xml:space="preserve"> Voluntary Employees’ Beneficiary Association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Western Missouri District Court - </w:t>
      </w:r>
      <w:r>
        <w:rPr>
          <w:rFonts w:eastAsia="Times New Roman"/>
          <w:color w:val="000000"/>
          <w:sz w:val="20"/>
          <w:szCs w:val="20"/>
        </w:rPr>
        <w:t>The Un</w:t>
      </w:r>
      <w:r>
        <w:rPr>
          <w:rFonts w:eastAsia="Times New Roman"/>
          <w:color w:val="000000"/>
          <w:sz w:val="20"/>
          <w:szCs w:val="20"/>
        </w:rPr>
        <w:t>ited States District Court for the Western District of Missouri</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WHO</w:t>
      </w:r>
      <w:r>
        <w:rPr>
          <w:rFonts w:eastAsia="Times New Roman"/>
          <w:color w:val="000000"/>
          <w:sz w:val="20"/>
          <w:szCs w:val="20"/>
        </w:rPr>
        <w:t xml:space="preserve"> - World Health Organization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WVPSC</w:t>
      </w:r>
      <w:r>
        <w:rPr>
          <w:rFonts w:eastAsia="Times New Roman"/>
          <w:color w:val="000000"/>
          <w:sz w:val="20"/>
          <w:szCs w:val="20"/>
        </w:rPr>
        <w:t xml:space="preserve"> - Public Service Commission of West Virginia</w:t>
      </w:r>
    </w:p>
    <w:p w:rsidR="00000000" w:rsidRDefault="00DF5BC2">
      <w:pPr>
        <w:jc w:val="center"/>
        <w:divId w:val="1706716535"/>
        <w:rPr>
          <w:rFonts w:eastAsia="Times New Roman"/>
        </w:rPr>
      </w:pPr>
      <w:r>
        <w:rPr>
          <w:rFonts w:eastAsia="Times New Roman"/>
          <w:color w:val="000000"/>
          <w:sz w:val="20"/>
          <w:szCs w:val="20"/>
        </w:rPr>
        <w:t>8</w:t>
      </w:r>
    </w:p>
    <w:p w:rsidR="00000000" w:rsidRDefault="00DF5BC2">
      <w:pPr>
        <w:rPr>
          <w:rFonts w:eastAsia="Times New Roman"/>
        </w:rPr>
      </w:pPr>
      <w:r>
        <w:rPr>
          <w:rFonts w:eastAsia="Times New Roman"/>
        </w:rPr>
        <w:pict>
          <v:rect id="_x0000_i1033" style="width:0;height:1.5pt" o:hralign="center" o:hrstd="t" o:hr="t" fillcolor="#a0a0a0" stroked="f"/>
        </w:pict>
      </w:r>
    </w:p>
    <w:p w:rsidR="00000000" w:rsidRDefault="00DF5BC2">
      <w:pPr>
        <w:divId w:val="96287985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color w:val="000000"/>
          <w:sz w:val="20"/>
          <w:szCs w:val="20"/>
        </w:rPr>
        <w:t>FORWARD-LOOKING INFORMATION</w:t>
      </w:r>
    </w:p>
    <w:p w:rsidR="00000000" w:rsidRDefault="00DF5BC2">
      <w:pPr>
        <w:divId w:val="99106197"/>
        <w:rPr>
          <w:rFonts w:eastAsia="Times New Roman"/>
        </w:rPr>
      </w:pPr>
    </w:p>
    <w:p w:rsidR="00000000" w:rsidRDefault="00DF5BC2">
      <w:pPr>
        <w:jc w:val="both"/>
        <w:rPr>
          <w:rFonts w:eastAsia="Times New Roman"/>
        </w:rPr>
      </w:pPr>
      <w:r>
        <w:rPr>
          <w:rFonts w:eastAsia="Times New Roman"/>
          <w:color w:val="000000"/>
          <w:sz w:val="20"/>
          <w:szCs w:val="20"/>
        </w:rPr>
        <w:t>Information contained in this Annual Report on Form 10-K may contain forward-looking statements within the meaning of Section 27A of the Securities Act of 1933, as amended, and Section 21E of the Securities Exchange Act of 1934, as amended. Such statements</w:t>
      </w:r>
      <w:r>
        <w:rPr>
          <w:rFonts w:eastAsia="Times New Roman"/>
          <w:color w:val="000000"/>
          <w:sz w:val="20"/>
          <w:szCs w:val="20"/>
        </w:rPr>
        <w:t xml:space="preserve"> use forward-looking words such as “believe,” “plan,” “anticipate,” “continue,” “estimate,” “expect,” “may,” or other similar words. These statements discuss plans, strategies, events or developments that we expect or anticipate will or may occur in the fu</w:t>
      </w:r>
      <w:r>
        <w:rPr>
          <w:rFonts w:eastAsia="Times New Roman"/>
          <w:color w:val="000000"/>
          <w:sz w:val="20"/>
          <w:szCs w:val="20"/>
        </w:rPr>
        <w:t>ture.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A forward-looking statement may include a statement of the assumptions or bases underlying the forward-looking statement. We believe that we have chosen these assumptions or bases in good faith and that they are reasonable. However, we caution you </w:t>
      </w:r>
      <w:r>
        <w:rPr>
          <w:rFonts w:eastAsia="Times New Roman"/>
          <w:color w:val="000000"/>
          <w:sz w:val="20"/>
          <w:szCs w:val="20"/>
        </w:rPr>
        <w:t xml:space="preserve">that actual results almost always vary from assumed facts or bases, and the differences between actual results and assumed facts or bases can be material, depending on the circumstances. When considering forward-looking statements, you should keep in mind </w:t>
      </w:r>
      <w:r>
        <w:rPr>
          <w:rFonts w:eastAsia="Times New Roman"/>
          <w:color w:val="000000"/>
          <w:sz w:val="20"/>
          <w:szCs w:val="20"/>
        </w:rPr>
        <w:t>our Risk Factors included in Item 1A herein and the following important factors that could affect our future results and could cause those results to differ materially from those expressed in our forward-looking statements: (1) weather conditions, includin</w:t>
      </w:r>
      <w:r>
        <w:rPr>
          <w:rFonts w:eastAsia="Times New Roman"/>
          <w:color w:val="000000"/>
          <w:sz w:val="20"/>
          <w:szCs w:val="20"/>
        </w:rPr>
        <w:t xml:space="preserve">g increasingly uncertain weather patterns due to climate change, resulting in reduced demand, and the seasonal nature of our business; (2) cost volatility and availability of propane and other LPG, electricity, and natural gas, as well as the availability </w:t>
      </w:r>
      <w:r>
        <w:rPr>
          <w:rFonts w:eastAsia="Times New Roman"/>
          <w:color w:val="000000"/>
          <w:sz w:val="20"/>
          <w:szCs w:val="20"/>
        </w:rPr>
        <w:t>of LPG cylinders, and the capacity to transport product to our customers; (3) changes in domestic and foreign laws and regulations, including safety, tax, consumer protection, data privacy, accounting, and environmental matters, such as regulatory response</w:t>
      </w:r>
      <w:r>
        <w:rPr>
          <w:rFonts w:eastAsia="Times New Roman"/>
          <w:color w:val="000000"/>
          <w:sz w:val="20"/>
          <w:szCs w:val="20"/>
        </w:rPr>
        <w:t>s to climate change; (4) inability to timely recover costs through utility rate proceedings; (5) the impact of pending and future legal or regulatory proceedings, inquiries or investigations; (6) competitive pressures from the same and alternative energy s</w:t>
      </w:r>
      <w:r>
        <w:rPr>
          <w:rFonts w:eastAsia="Times New Roman"/>
          <w:color w:val="000000"/>
          <w:sz w:val="20"/>
          <w:szCs w:val="20"/>
        </w:rPr>
        <w:t xml:space="preserve">ources; (7) failure to acquire new customers or retain current customers thereby reducing or limiting any increase in revenues; (8) liability for environmental claims; (9) increased customer conservation measures due to high energy prices and improvements </w:t>
      </w:r>
      <w:r>
        <w:rPr>
          <w:rFonts w:eastAsia="Times New Roman"/>
          <w:color w:val="000000"/>
          <w:sz w:val="20"/>
          <w:szCs w:val="20"/>
        </w:rPr>
        <w:t>in energy efficiency and technology resulting in reduced demand; (10) adverse labor relations and our ability to address existing or potential workforce shortages; (11) customer, counterparty, supplier, or vendor defaults; (12) liability for uninsured clai</w:t>
      </w:r>
      <w:r>
        <w:rPr>
          <w:rFonts w:eastAsia="Times New Roman"/>
          <w:color w:val="000000"/>
          <w:sz w:val="20"/>
          <w:szCs w:val="20"/>
        </w:rPr>
        <w:t>ms and for claims in excess of insurance coverage, including those for personal injury and property damage arising from explosions, terrorism, natural disasters, pandemics and other catastrophic events that may result from operating hazards and risks incid</w:t>
      </w:r>
      <w:r>
        <w:rPr>
          <w:rFonts w:eastAsia="Times New Roman"/>
          <w:color w:val="000000"/>
          <w:sz w:val="20"/>
          <w:szCs w:val="20"/>
        </w:rPr>
        <w:t>ental to generating and distributing electricity and transporting, storing and distributing natural gas in all forms; (13) transmission or distribution system service interruptions; (14) political, regulatory and economic conditions in the United States, E</w:t>
      </w:r>
      <w:r>
        <w:rPr>
          <w:rFonts w:eastAsia="Times New Roman"/>
          <w:color w:val="000000"/>
          <w:sz w:val="20"/>
          <w:szCs w:val="20"/>
        </w:rPr>
        <w:t>urope and other foreign countries, and foreign currency exchange rate fluctuations, particularly the euro; (15) capital market conditions, including reduced access to capital markets and interest rate fluctuations; (16) changes in commodity market prices r</w:t>
      </w:r>
      <w:r>
        <w:rPr>
          <w:rFonts w:eastAsia="Times New Roman"/>
          <w:color w:val="000000"/>
          <w:sz w:val="20"/>
          <w:szCs w:val="20"/>
        </w:rPr>
        <w:t>esulting in significantly higher cash collateral requirements; (17) reduced distributions from subsidiaries impacting the ability to pay dividends; (18) changes in Marcellus and Utica Shale gas production; (19) the availability, timing and success of our a</w:t>
      </w:r>
      <w:r>
        <w:rPr>
          <w:rFonts w:eastAsia="Times New Roman"/>
          <w:color w:val="000000"/>
          <w:sz w:val="20"/>
          <w:szCs w:val="20"/>
        </w:rPr>
        <w:t>cquisitions, commercial initiatives and investments to grow our businesses; (20) our ability to successfully integrate acquired businesses and achieve anticipated synergies; (21) the interruption, disruption, failure or malfunction of our information techn</w:t>
      </w:r>
      <w:r>
        <w:rPr>
          <w:rFonts w:eastAsia="Times New Roman"/>
          <w:color w:val="000000"/>
          <w:sz w:val="20"/>
          <w:szCs w:val="20"/>
        </w:rPr>
        <w:t>ology systems, and those of our third-party vendors or service providers, including due to cyber attack; (22) the inability to complete pending or future energy infrastructure projects; (23) our ability to achieve the operational benefits and cost efficien</w:t>
      </w:r>
      <w:r>
        <w:rPr>
          <w:rFonts w:eastAsia="Times New Roman"/>
          <w:color w:val="000000"/>
          <w:sz w:val="20"/>
          <w:szCs w:val="20"/>
        </w:rPr>
        <w:t>cies expected from the completion of pending and future business transformation initiatives, including the impact of customer service disruptions resulting in potential customer loss due to the transformation activities; (24) uncertainties related to a glo</w:t>
      </w:r>
      <w:r>
        <w:rPr>
          <w:rFonts w:eastAsia="Times New Roman"/>
          <w:color w:val="000000"/>
          <w:sz w:val="20"/>
          <w:szCs w:val="20"/>
        </w:rPr>
        <w:t>bal pandemic, including the duration and/or impact of the COVID-19 pandemic; (25) the impact of proposed or future tax legislation, including the potential reversal of existing tax legislation that is beneficial to us; and (26) our ability to overcome supp</w:t>
      </w:r>
      <w:r>
        <w:rPr>
          <w:rFonts w:eastAsia="Times New Roman"/>
          <w:color w:val="000000"/>
          <w:sz w:val="20"/>
          <w:szCs w:val="20"/>
        </w:rPr>
        <w:t>ly chain issues that may result in delays or shortages in, as well as increased costs of, equipment, materials or other resources that are critical to our business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These factors are not necessarily all of the important factors that could caus</w:t>
      </w:r>
      <w:r>
        <w:rPr>
          <w:rFonts w:eastAsia="Times New Roman"/>
          <w:color w:val="000000"/>
          <w:sz w:val="20"/>
          <w:szCs w:val="20"/>
        </w:rPr>
        <w:t>e actual results to differ materially from those expressed in any of our forward-looking statements. Other unknown or unpredictable factors could also have material adverse effects on future results. We undertake no obligation to update publicly any forwar</w:t>
      </w:r>
      <w:r>
        <w:rPr>
          <w:rFonts w:eastAsia="Times New Roman"/>
          <w:color w:val="000000"/>
          <w:sz w:val="20"/>
          <w:szCs w:val="20"/>
        </w:rPr>
        <w:t>d-looking statement whether as a result of new information or future events except as required by the federal securities laws.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PART I:</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ITEMS 1. AND 2. BUSINESS AND PROPERTIES</w:t>
      </w:r>
    </w:p>
    <w:p w:rsidR="00000000" w:rsidRDefault="00DF5BC2">
      <w:pPr>
        <w:jc w:val="both"/>
        <w:divId w:val="288707874"/>
        <w:rPr>
          <w:rFonts w:eastAsia="Times New Roman"/>
        </w:rPr>
      </w:pPr>
      <w:r>
        <w:rPr>
          <w:rFonts w:eastAsia="Times New Roman"/>
          <w:b/>
          <w:bCs/>
          <w:color w:val="000000"/>
          <w:sz w:val="20"/>
          <w:szCs w:val="20"/>
        </w:rPr>
        <w:t>CORPORATE OVERVIEW</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Corporation is a holding company that, through subsi</w:t>
      </w:r>
      <w:r>
        <w:rPr>
          <w:rFonts w:eastAsia="Times New Roman"/>
          <w:color w:val="000000"/>
          <w:sz w:val="20"/>
          <w:szCs w:val="20"/>
        </w:rPr>
        <w:t>diaries and affiliates, distributes, stores, transports and markets energy products and related services. In the United States, we own and operate (1) a retail propane marketing and distribution business, (2) natural gas and electric distribution utilities</w:t>
      </w:r>
      <w:r>
        <w:rPr>
          <w:rFonts w:eastAsia="Times New Roman"/>
          <w:color w:val="000000"/>
          <w:sz w:val="20"/>
          <w:szCs w:val="20"/>
        </w:rPr>
        <w:t xml:space="preserve">, and (3) energy marketing (including RNG), midstream infrastructure, storage, natural gas gathering and processing, natural gas production, electricity generation and energy services businesses. In </w:t>
      </w:r>
    </w:p>
    <w:p w:rsidR="00000000" w:rsidRDefault="00DF5BC2">
      <w:pPr>
        <w:jc w:val="center"/>
        <w:divId w:val="189488466"/>
        <w:rPr>
          <w:rFonts w:eastAsia="Times New Roman"/>
        </w:rPr>
      </w:pPr>
      <w:r>
        <w:rPr>
          <w:rFonts w:eastAsia="Times New Roman"/>
          <w:color w:val="000000"/>
          <w:sz w:val="20"/>
          <w:szCs w:val="20"/>
        </w:rPr>
        <w:t>9</w:t>
      </w:r>
    </w:p>
    <w:p w:rsidR="00000000" w:rsidRDefault="00DF5BC2">
      <w:pPr>
        <w:rPr>
          <w:rFonts w:eastAsia="Times New Roman"/>
        </w:rPr>
      </w:pPr>
      <w:r>
        <w:rPr>
          <w:rFonts w:eastAsia="Times New Roman"/>
        </w:rPr>
        <w:pict>
          <v:rect id="_x0000_i1034" style="width:0;height:1.5pt" o:hralign="center" o:hrstd="t" o:hr="t" fillcolor="#a0a0a0" stroked="f"/>
        </w:pict>
      </w:r>
    </w:p>
    <w:p w:rsidR="00000000" w:rsidRDefault="00DF5BC2">
      <w:pPr>
        <w:divId w:val="1192959958"/>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 xml:space="preserve">Europe, we market and distribute LPG and other energy products and services. Our subsidiaries and affiliates operate principally in the following four business segments: </w:t>
      </w:r>
    </w:p>
    <w:p w:rsidR="00000000" w:rsidRDefault="00DF5BC2">
      <w:pPr>
        <w:jc w:val="both"/>
        <w:rPr>
          <w:rFonts w:eastAsia="Times New Roman"/>
        </w:rPr>
      </w:pPr>
    </w:p>
    <w:p w:rsidR="00000000" w:rsidRDefault="00DF5BC2">
      <w:pPr>
        <w:ind w:hanging="180"/>
        <w:jc w:val="both"/>
        <w:rPr>
          <w:rFonts w:eastAsia="Times New Roman"/>
        </w:rPr>
      </w:pPr>
      <w:r>
        <w:rPr>
          <w:rFonts w:eastAsia="Times New Roman"/>
          <w:color w:val="000000"/>
          <w:sz w:val="20"/>
          <w:szCs w:val="20"/>
        </w:rPr>
        <w:t xml:space="preserve">•AmeriGas Propane </w:t>
      </w:r>
    </w:p>
    <w:p w:rsidR="00000000" w:rsidRDefault="00DF5BC2">
      <w:pPr>
        <w:ind w:hanging="180"/>
        <w:jc w:val="both"/>
        <w:rPr>
          <w:rFonts w:eastAsia="Times New Roman"/>
        </w:rPr>
      </w:pPr>
      <w:r>
        <w:rPr>
          <w:rFonts w:eastAsia="Times New Roman"/>
          <w:color w:val="000000"/>
          <w:sz w:val="20"/>
          <w:szCs w:val="20"/>
        </w:rPr>
        <w:t>•UGI I</w:t>
      </w:r>
      <w:r>
        <w:rPr>
          <w:rFonts w:eastAsia="Times New Roman"/>
          <w:color w:val="000000"/>
          <w:sz w:val="20"/>
          <w:szCs w:val="20"/>
        </w:rPr>
        <w:t xml:space="preserve">nternational </w:t>
      </w:r>
    </w:p>
    <w:p w:rsidR="00000000" w:rsidRDefault="00DF5BC2">
      <w:pPr>
        <w:ind w:hanging="180"/>
        <w:jc w:val="both"/>
        <w:rPr>
          <w:rFonts w:eastAsia="Times New Roman"/>
        </w:rPr>
      </w:pPr>
      <w:r>
        <w:rPr>
          <w:rFonts w:eastAsia="Times New Roman"/>
          <w:color w:val="000000"/>
          <w:sz w:val="20"/>
          <w:szCs w:val="20"/>
        </w:rPr>
        <w:t>•Midstream &amp; Marketing</w:t>
      </w:r>
    </w:p>
    <w:p w:rsidR="00000000" w:rsidRDefault="00DF5BC2">
      <w:pPr>
        <w:ind w:hanging="180"/>
        <w:jc w:val="both"/>
        <w:rPr>
          <w:rFonts w:eastAsia="Times New Roman"/>
        </w:rPr>
      </w:pPr>
      <w:r>
        <w:rPr>
          <w:rFonts w:eastAsia="Times New Roman"/>
          <w:color w:val="000000"/>
          <w:sz w:val="20"/>
          <w:szCs w:val="20"/>
        </w:rPr>
        <w:t xml:space="preserve">•UGI Utilities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AmeriGas Propane segment consists of the propane distribution business of AmeriGas Partners, an indirect wholly owned subsidiary of UGI Corporation. The Partnership conducts its propane distributio</w:t>
      </w:r>
      <w:r>
        <w:rPr>
          <w:rFonts w:eastAsia="Times New Roman"/>
          <w:color w:val="000000"/>
          <w:sz w:val="20"/>
          <w:szCs w:val="20"/>
        </w:rPr>
        <w:t xml:space="preserve">n business through its principal operating subsidiary, AmeriGas Propane, L.P., and is the nation’s largest retail propane distributor based on the volume of propane gallons distributed annually. The general partner of AmeriGas Partners is our wholly owned </w:t>
      </w:r>
      <w:r>
        <w:rPr>
          <w:rFonts w:eastAsia="Times New Roman"/>
          <w:color w:val="000000"/>
          <w:sz w:val="20"/>
          <w:szCs w:val="20"/>
        </w:rPr>
        <w:t>subsidiary, AmeriGas Propane, Inc.</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UGI International segment consists of LPG distribution businesses conducted by our subsidiaries and affiliates in Austria, Belgium, the Czech Republic, Denmark, Finland, France, Hungary, Italy, Luxembourg, the Netherlands, Norway, Poland, Romania, Slov</w:t>
      </w:r>
      <w:r>
        <w:rPr>
          <w:rFonts w:eastAsia="Times New Roman"/>
          <w:color w:val="000000"/>
          <w:sz w:val="20"/>
          <w:szCs w:val="20"/>
        </w:rPr>
        <w:t>akia, Sweden, Switzerland and the United Kingdom. In addition, UGI International conducts an energy marketing business in France, Belgium, the Netherlands and the United Kingdom. Based on market volumes for 2020, which is the most recent information availa</w:t>
      </w:r>
      <w:r>
        <w:rPr>
          <w:rFonts w:eastAsia="Times New Roman"/>
          <w:color w:val="000000"/>
          <w:sz w:val="20"/>
          <w:szCs w:val="20"/>
        </w:rPr>
        <w:t xml:space="preserve">ble, UGI International believes that it is the largest distributor of LPG in France, Austria, Belgium, Denmark, Luxembourg, Norway and Hungary and one of the largest distributors of LPG in Poland, the Czech Republic, Slovakia, the Netherlands and Sweden.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Midstream &amp; Marketing segment consists of energy-related businesses conducted by our indirect, wholly owned subsidiary, UGI Energy Services, LLC. These businesses (i) conduct energy marketing, including RNG, in the Mid-Atlantic region of the United S</w:t>
      </w:r>
      <w:r>
        <w:rPr>
          <w:rFonts w:eastAsia="Times New Roman"/>
          <w:color w:val="000000"/>
          <w:sz w:val="20"/>
          <w:szCs w:val="20"/>
        </w:rPr>
        <w:t>tates and California, (ii) own and operate natural gas liquefaction, storage and vaporization facilities and propane-air mixing assets, (iii) manage natural gas pipeline and storage contracts, (iv) develop, own and operate pipelines, gathering infrastructu</w:t>
      </w:r>
      <w:r>
        <w:rPr>
          <w:rFonts w:eastAsia="Times New Roman"/>
          <w:color w:val="000000"/>
          <w:sz w:val="20"/>
          <w:szCs w:val="20"/>
        </w:rPr>
        <w:t>re and gas storage facilities in the Marcellus and Utica Shale regions of Pennsylvania, eastern Ohio, and the panhandle of West Virginia, (v) own electricity generation facilities, and (vi) own RNG production facilities. Energy Services and its subsidiarie</w:t>
      </w:r>
      <w:r>
        <w:rPr>
          <w:rFonts w:eastAsia="Times New Roman"/>
          <w:color w:val="000000"/>
          <w:sz w:val="20"/>
          <w:szCs w:val="20"/>
        </w:rPr>
        <w:t xml:space="preserve">s’ storage, LNG and portions of its midstream transmission operations are subject to regulation by the FERC.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UGI Utilities segment consists of the regulated natural gas and electric distribution businesses of our wholly owned subsidiary, UGI Utiliti</w:t>
      </w:r>
      <w:r>
        <w:rPr>
          <w:rFonts w:eastAsia="Times New Roman"/>
          <w:color w:val="000000"/>
          <w:sz w:val="20"/>
          <w:szCs w:val="20"/>
        </w:rPr>
        <w:t>es, Inc. (“Gas Utility” and “Electric Utility,” respectively), and the regulated natural gas distribution business of our indirect, wholly owned subsidiary, Mountaineer Gas Company (“Mountaineer”). Gas Utility serves approximately 672,000 customers in east</w:t>
      </w:r>
      <w:r>
        <w:rPr>
          <w:rFonts w:eastAsia="Times New Roman"/>
          <w:color w:val="000000"/>
          <w:sz w:val="20"/>
          <w:szCs w:val="20"/>
        </w:rPr>
        <w:t>ern and central Pennsylvania and more than 500 customers in portions of one Maryland county. Mountaineer serves nearly 214,000 customers across 50 of West Virginia’s 55 counties. Electric Utility serves approximately 62,500 customers in portions of Luzerne</w:t>
      </w:r>
      <w:r>
        <w:rPr>
          <w:rFonts w:eastAsia="Times New Roman"/>
          <w:color w:val="000000"/>
          <w:sz w:val="20"/>
          <w:szCs w:val="20"/>
        </w:rPr>
        <w:t xml:space="preserve"> and Wyoming counties in northeastern Pennsylvania. Gas Utility is subject to regulation by the PAPUC and FERC and, with respect to its customers in Maryland, the MDPSC. Mountaineer is subject to regulation by the WVPSC and FERC. Electric Utility is subjec</w:t>
      </w:r>
      <w:r>
        <w:rPr>
          <w:rFonts w:eastAsia="Times New Roman"/>
          <w:color w:val="000000"/>
          <w:sz w:val="20"/>
          <w:szCs w:val="20"/>
        </w:rPr>
        <w:t xml:space="preserve">t to regulation by the PAPUC and FERC.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Business Strategy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business strategy is to grow the Company by focusing on our core competencies of distributing, storing, transporting and marketing energy products and services. We utilize our core competen</w:t>
      </w:r>
      <w:r>
        <w:rPr>
          <w:rFonts w:eastAsia="Times New Roman"/>
          <w:color w:val="000000"/>
          <w:sz w:val="20"/>
          <w:szCs w:val="20"/>
        </w:rPr>
        <w:t>cies from our existing diversified businesses and our international experience, extensive asset base and access to customers to accelerate both organic growth and growth through acquisitions in our existing businesses, as well as in related and complementa</w:t>
      </w:r>
      <w:r>
        <w:rPr>
          <w:rFonts w:eastAsia="Times New Roman"/>
          <w:color w:val="000000"/>
          <w:sz w:val="20"/>
          <w:szCs w:val="20"/>
        </w:rPr>
        <w:t xml:space="preserve">ry businesses.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Fiscal 2021, we identified and communicated to our investors three key elements that we believe will advance our strategy: (1) providing reliable earnings growth; (2) investing in renewable energy solutions; and (3) rebalancing our por</w:t>
      </w:r>
      <w:r>
        <w:rPr>
          <w:rFonts w:eastAsia="Times New Roman"/>
          <w:color w:val="000000"/>
          <w:sz w:val="20"/>
          <w:szCs w:val="20"/>
        </w:rPr>
        <w:t xml:space="preserve">tfolio, with an emphasis on natural gas and renewable energy solutions. </w:t>
      </w:r>
      <w:r>
        <w:rPr>
          <w:rFonts w:eastAsia="Times New Roman"/>
          <w:color w:val="000000"/>
          <w:sz w:val="20"/>
          <w:szCs w:val="20"/>
          <w:shd w:val="clear" w:color="auto" w:fill="FFFFFF"/>
        </w:rPr>
        <w:t>The following discussion highlights some of our key accomplishments in these areas during Fiscal 2021.</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Reliable Earnings Growth</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are committed to consistently growing our earnings and plan to continue this growth through increased investments in our regulated utilities business, generating significant fee-based income in our Midstream and Marketing operations, and investing in hi</w:t>
      </w:r>
      <w:r>
        <w:rPr>
          <w:rFonts w:eastAsia="Times New Roman"/>
          <w:color w:val="000000"/>
          <w:sz w:val="20"/>
          <w:szCs w:val="20"/>
        </w:rPr>
        <w:t xml:space="preserve">gh-growth and more weather resilient markets at our LPG businesses. </w:t>
      </w:r>
    </w:p>
    <w:p w:rsidR="00000000" w:rsidRDefault="00DF5BC2">
      <w:pPr>
        <w:jc w:val="both"/>
        <w:rPr>
          <w:rFonts w:eastAsia="Times New Roman"/>
        </w:rPr>
      </w:pPr>
    </w:p>
    <w:p w:rsidR="00000000" w:rsidRDefault="00DF5BC2">
      <w:pPr>
        <w:jc w:val="center"/>
        <w:divId w:val="480583094"/>
        <w:rPr>
          <w:rFonts w:eastAsia="Times New Roman"/>
        </w:rPr>
      </w:pPr>
      <w:r>
        <w:rPr>
          <w:rFonts w:eastAsia="Times New Roman"/>
          <w:color w:val="000000"/>
          <w:sz w:val="20"/>
          <w:szCs w:val="20"/>
        </w:rPr>
        <w:t>10</w:t>
      </w:r>
    </w:p>
    <w:p w:rsidR="00000000" w:rsidRDefault="00DF5BC2">
      <w:pPr>
        <w:rPr>
          <w:rFonts w:eastAsia="Times New Roman"/>
        </w:rPr>
      </w:pPr>
      <w:r>
        <w:rPr>
          <w:rFonts w:eastAsia="Times New Roman"/>
        </w:rPr>
        <w:pict>
          <v:rect id="_x0000_i1035" style="width:0;height:1.5pt" o:hralign="center" o:hrstd="t" o:hr="t" fillcolor="#a0a0a0" stroked="f"/>
        </w:pict>
      </w:r>
    </w:p>
    <w:p w:rsidR="00000000" w:rsidRDefault="00DF5BC2">
      <w:pPr>
        <w:divId w:val="445537824"/>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In September 2021, we completed the acquisition of Mountaineer Gas Com</w:t>
      </w:r>
      <w:r>
        <w:rPr>
          <w:rFonts w:eastAsia="Times New Roman"/>
          <w:color w:val="000000"/>
          <w:sz w:val="20"/>
          <w:szCs w:val="20"/>
        </w:rPr>
        <w:t>pany, the largest gas local distribution company in West Virginia. Mountaineer serves nearly 214,000 customers across 50 of West Virginia’s 55 counties and has a customer base that is approximately 90% residential and 10% commercial and industrial. We expe</w:t>
      </w:r>
      <w:r>
        <w:rPr>
          <w:rFonts w:eastAsia="Times New Roman"/>
          <w:color w:val="000000"/>
          <w:sz w:val="20"/>
          <w:szCs w:val="20"/>
        </w:rPr>
        <w:t xml:space="preserve">ct the addition of Mountaineer to significantly increase our rate base initially, with additional rate base growth anticipated over the longer term.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Midstream and Marketing business continues to provide a stable earnings stream, which is underpinned</w:t>
      </w:r>
      <w:r>
        <w:rPr>
          <w:rFonts w:eastAsia="Times New Roman"/>
          <w:color w:val="000000"/>
          <w:sz w:val="20"/>
          <w:szCs w:val="20"/>
        </w:rPr>
        <w:t xml:space="preserve"> by fee-based contracts from customers. This fee-based income is derived from fixed fee peaking, storage and gathering, and fixed rate, variable volume gathering and marketing transactions. In Fiscal 2021, approximately 87% of Midstream and Marketing’s tot</w:t>
      </w:r>
      <w:r>
        <w:rPr>
          <w:rFonts w:eastAsia="Times New Roman"/>
          <w:color w:val="000000"/>
          <w:sz w:val="20"/>
          <w:szCs w:val="20"/>
        </w:rPr>
        <w:t xml:space="preserve">al margin was fee-based.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Fiscal 2021, AmeriGas Propane continued to expand its Cynch propane home delivery service into twenty-two cities as of September 30, 2021 and plans to introduce Cynch into additional U.S. markets in Fiscal 2022 and Fiscal 202</w:t>
      </w:r>
      <w:r>
        <w:rPr>
          <w:rFonts w:eastAsia="Times New Roman"/>
          <w:color w:val="000000"/>
          <w:sz w:val="20"/>
          <w:szCs w:val="20"/>
        </w:rPr>
        <w:t>3. Similarly, UGI International offers propane cylinder vending machines in several European countries and plans to expand into additional markets in the near term. These programs are convenient for customers, and we believe they will position us for growt</w:t>
      </w:r>
      <w:r>
        <w:rPr>
          <w:rFonts w:eastAsia="Times New Roman"/>
          <w:color w:val="000000"/>
          <w:sz w:val="20"/>
          <w:szCs w:val="20"/>
        </w:rPr>
        <w:t>h in the near future.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AmeriGas Propane and UGI International also continued to execute on multi-year business transformation initiatives designed to improve long-term operational performance by, among other things, reducing costs and improving efficiency</w:t>
      </w:r>
      <w:r>
        <w:rPr>
          <w:rFonts w:eastAsia="Times New Roman"/>
          <w:color w:val="000000"/>
          <w:sz w:val="20"/>
          <w:szCs w:val="20"/>
        </w:rPr>
        <w:t xml:space="preserve"> and effectiveness in a number of key areas. These transformation activities are substantially complete and are expected to provide total annual benefits to AmeriGas Propane and UGI International of more than $150 million and €30 million, respectively, by </w:t>
      </w:r>
      <w:r>
        <w:rPr>
          <w:rFonts w:eastAsia="Times New Roman"/>
          <w:color w:val="000000"/>
          <w:sz w:val="20"/>
          <w:szCs w:val="20"/>
        </w:rPr>
        <w:t>the end of Fiscal 2022. For further information on these initiatives, see “Management’s Discussion and Analysis of Financial Condition and Results of Operations - Executive Overview - Strategic Initiatives.”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Finally, our natural gas businesses completed a number of transactions in the renewable energy space, which we believe will further contribute to our earnings growth. For more information on these transactions, see “Investment in Renewable Energy” below.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Investment in Renewable Energy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are pursuing investments in a number of key renewable energy areas, including RNG, bio-LPG and renewable dimethyl ether (“rDME”), among others. Our natural gas businesses are actively exploring RNG opportunities involv</w:t>
      </w:r>
      <w:r>
        <w:rPr>
          <w:rFonts w:eastAsia="Times New Roman"/>
          <w:color w:val="000000"/>
          <w:sz w:val="20"/>
          <w:szCs w:val="20"/>
        </w:rPr>
        <w:t>ing both distribution and RNG feedstock infrastructure, and our LPG businesses are developing bio-LPG sources to augment our existing bio-LPG source in Sweden. We believe that UGI is particularly well-positioned to develop investment opportunities in these</w:t>
      </w:r>
      <w:r>
        <w:rPr>
          <w:rFonts w:eastAsia="Times New Roman"/>
          <w:color w:val="000000"/>
          <w:sz w:val="20"/>
          <w:szCs w:val="20"/>
        </w:rPr>
        <w:t xml:space="preserve"> rapidly emerging markets due to our competencies in project development, project execution, gas transportation and storage, and energy marketing.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expect to utilize our existing natural gas and LPG distribution infrastructure to deliver RNG and bio-L</w:t>
      </w:r>
      <w:r>
        <w:rPr>
          <w:rFonts w:eastAsia="Times New Roman"/>
          <w:color w:val="000000"/>
          <w:sz w:val="20"/>
          <w:szCs w:val="20"/>
        </w:rPr>
        <w:t>PG to the customers we serve. In most cases, these renewable solutions can be delivered to our customers with no additional local infrastructure, incremental investments by our customers, or community disruption related to infrastructure buildout.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w:t>
      </w:r>
      <w:r>
        <w:rPr>
          <w:rFonts w:eastAsia="Times New Roman"/>
          <w:color w:val="000000"/>
          <w:sz w:val="20"/>
          <w:szCs w:val="20"/>
        </w:rPr>
        <w:t>cal 2021, we completed the following transactions, which we believe will provide a foundation for growth within the renewable energy space:</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•Energy Services invested in a joint venture to develop dairy farm digester projects that produce RNG in upstate N</w:t>
      </w:r>
      <w:r>
        <w:rPr>
          <w:rFonts w:eastAsia="Times New Roman"/>
          <w:color w:val="000000"/>
          <w:sz w:val="20"/>
          <w:szCs w:val="20"/>
        </w:rPr>
        <w:t xml:space="preserve">ew York. The first project, announced in May 2021, </w:t>
      </w:r>
      <w:r>
        <w:rPr>
          <w:rFonts w:eastAsia="Times New Roman"/>
          <w:color w:val="000000"/>
          <w:sz w:val="20"/>
          <w:szCs w:val="20"/>
          <w:shd w:val="clear" w:color="auto" w:fill="FFFFFF"/>
        </w:rPr>
        <w:t>incorporates an existing anaerobic digester that generates biogas, which is used to produce renewable electricity, and is expected to be completed in the second half of calendar year 2022. The second proje</w:t>
      </w:r>
      <w:r>
        <w:rPr>
          <w:rFonts w:eastAsia="Times New Roman"/>
          <w:color w:val="000000"/>
          <w:sz w:val="20"/>
          <w:szCs w:val="20"/>
          <w:shd w:val="clear" w:color="auto" w:fill="FFFFFF"/>
        </w:rPr>
        <w:t>ct, announced in September 2021, includes the construction of an anaerobic digester and a combined heat and power project that are expected to produce 85 million cubic feet (“MMcf”) of RNG each year once completed in the second half of calendar year 2022.</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•In September 2021, Energy Services announced that it would partially fund a joint venture designed to</w:t>
      </w:r>
      <w:r>
        <w:rPr>
          <w:rFonts w:eastAsia="Times New Roman"/>
          <w:color w:val="000000"/>
          <w:sz w:val="20"/>
          <w:szCs w:val="20"/>
          <w:shd w:val="clear" w:color="auto" w:fill="FFFFFF"/>
        </w:rPr>
        <w:t xml:space="preserve"> develop several clusters of dairy farm digester projects to produce RNG from multiple farms in </w:t>
      </w:r>
      <w:r>
        <w:rPr>
          <w:rFonts w:eastAsia="Times New Roman"/>
          <w:color w:val="000000"/>
          <w:sz w:val="20"/>
          <w:szCs w:val="20"/>
        </w:rPr>
        <w:t>South Dakota</w:t>
      </w:r>
      <w:r>
        <w:rPr>
          <w:rFonts w:eastAsia="Times New Roman"/>
          <w:color w:val="000000"/>
          <w:sz w:val="20"/>
          <w:szCs w:val="20"/>
          <w:shd w:val="clear" w:color="auto" w:fill="FFFFFF"/>
        </w:rPr>
        <w:t>.</w:t>
      </w:r>
      <w:r>
        <w:rPr>
          <w:rFonts w:eastAsia="Times New Roman"/>
          <w:color w:val="000000"/>
          <w:sz w:val="20"/>
          <w:szCs w:val="20"/>
        </w:rPr>
        <w:t xml:space="preserve"> </w:t>
      </w:r>
      <w:r>
        <w:rPr>
          <w:rFonts w:eastAsia="Times New Roman"/>
          <w:color w:val="000000"/>
          <w:sz w:val="20"/>
          <w:szCs w:val="20"/>
          <w:shd w:val="clear" w:color="auto" w:fill="FFFFFF"/>
        </w:rPr>
        <w:t>The clusters of projects, which Energy Ser</w:t>
      </w:r>
      <w:r>
        <w:rPr>
          <w:rFonts w:eastAsia="Times New Roman"/>
          <w:color w:val="000000"/>
          <w:sz w:val="20"/>
          <w:szCs w:val="20"/>
          <w:shd w:val="clear" w:color="auto" w:fill="FFFFFF"/>
        </w:rPr>
        <w:t>vices will have the option to fund on a project-by-project basis, are expected to produce 650 MMcf of RNG annually when complete and on-line by the end of calendar year 2024. The RNG will be delivered to the local natural gas pipelines serving the regional</w:t>
      </w:r>
      <w:r>
        <w:rPr>
          <w:rFonts w:eastAsia="Times New Roman"/>
          <w:color w:val="000000"/>
          <w:sz w:val="20"/>
          <w:szCs w:val="20"/>
          <w:shd w:val="clear" w:color="auto" w:fill="FFFFFF"/>
        </w:rPr>
        <w:t xml:space="preserve"> distribution system.</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•In August 2021, Energy Services invested in a joint venture to develop innovative food waste digester projects to produce RNG in Ohio and Kentucky. T</w:t>
      </w:r>
      <w:r>
        <w:rPr>
          <w:rFonts w:eastAsia="Times New Roman"/>
          <w:color w:val="000000"/>
          <w:sz w:val="20"/>
          <w:szCs w:val="20"/>
          <w:shd w:val="clear" w:color="auto" w:fill="FFFFFF"/>
        </w:rPr>
        <w:t>he first digester project is expected to be completed in the first half of calenda</w:t>
      </w:r>
      <w:r>
        <w:rPr>
          <w:rFonts w:eastAsia="Times New Roman"/>
          <w:color w:val="000000"/>
          <w:sz w:val="20"/>
          <w:szCs w:val="20"/>
          <w:shd w:val="clear" w:color="auto" w:fill="FFFFFF"/>
        </w:rPr>
        <w:t xml:space="preserve">r 2023 and will process approximately 190,000 tons annually of food waste from nearby food manufacturers in an </w:t>
      </w:r>
    </w:p>
    <w:p w:rsidR="00000000" w:rsidRDefault="00DF5BC2">
      <w:pPr>
        <w:jc w:val="center"/>
        <w:divId w:val="2118405769"/>
        <w:rPr>
          <w:rFonts w:eastAsia="Times New Roman"/>
        </w:rPr>
      </w:pPr>
      <w:r>
        <w:rPr>
          <w:rFonts w:eastAsia="Times New Roman"/>
          <w:color w:val="000000"/>
          <w:sz w:val="20"/>
          <w:szCs w:val="20"/>
        </w:rPr>
        <w:t>11</w:t>
      </w:r>
    </w:p>
    <w:p w:rsidR="00000000" w:rsidRDefault="00DF5BC2">
      <w:pPr>
        <w:rPr>
          <w:rFonts w:eastAsia="Times New Roman"/>
        </w:rPr>
      </w:pPr>
      <w:r>
        <w:rPr>
          <w:rFonts w:eastAsia="Times New Roman"/>
        </w:rPr>
        <w:pict>
          <v:rect id="_x0000_i1036" style="width:0;height:1.5pt" o:hralign="center" o:hrstd="t" o:hr="t" fillcolor="#a0a0a0" stroked="f"/>
        </w:pict>
      </w:r>
    </w:p>
    <w:p w:rsidR="00000000" w:rsidRDefault="00DF5BC2">
      <w:pPr>
        <w:divId w:val="95659550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shd w:val="clear" w:color="auto" w:fill="FFFFFF"/>
        </w:rPr>
        <w:t xml:space="preserve">anaerobic digester. </w:t>
      </w:r>
      <w:r>
        <w:rPr>
          <w:rFonts w:eastAsia="Times New Roman"/>
          <w:color w:val="000000"/>
          <w:sz w:val="20"/>
          <w:szCs w:val="20"/>
          <w:shd w:val="clear" w:color="auto" w:fill="FFFFFF"/>
        </w:rPr>
        <w:t>The project is expected to generate approximately 250,000 MMBTUs of pipeline-quality RNG each year that will be injected into a local natural gas pipeline on the regional distribution system.</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•In May 2021, UGI International announced its intention to lau</w:t>
      </w:r>
      <w:r>
        <w:rPr>
          <w:rFonts w:eastAsia="Times New Roman"/>
          <w:color w:val="000000"/>
          <w:sz w:val="20"/>
          <w:szCs w:val="20"/>
        </w:rPr>
        <w:t xml:space="preserve">nch a joint venture to advance the production and use of rDME, a low-carbon sustainable liquid gas, in the LPG industry. </w:t>
      </w:r>
      <w:r>
        <w:rPr>
          <w:rFonts w:eastAsia="Times New Roman"/>
          <w:color w:val="000000"/>
          <w:sz w:val="20"/>
          <w:szCs w:val="20"/>
          <w:shd w:val="clear" w:color="auto" w:fill="FFFFFF"/>
        </w:rPr>
        <w:t>The parties anticipate the development of up to six production plants within the next five years, targeting a total production capacity</w:t>
      </w:r>
      <w:r>
        <w:rPr>
          <w:rFonts w:eastAsia="Times New Roman"/>
          <w:color w:val="000000"/>
          <w:sz w:val="20"/>
          <w:szCs w:val="20"/>
          <w:shd w:val="clear" w:color="auto" w:fill="FFFFFF"/>
        </w:rPr>
        <w:t xml:space="preserve"> of 300 kilotons of rDME per year by 2027. </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•In February 2021, UGI Utilities, Inc. entered an RNG interconnect agreement with a landfill gas developer in northeast Pennsylvania. When fully operational, the system is designed to take up to 16 MMcf per day</w:t>
      </w:r>
      <w:r>
        <w:rPr>
          <w:rFonts w:eastAsia="Times New Roman"/>
          <w:color w:val="000000"/>
          <w:sz w:val="20"/>
          <w:szCs w:val="20"/>
        </w:rPr>
        <w:t xml:space="preserve"> of RNG supply at a rate of up to 780 thousand cubic feet (“Mcf”) per hour. </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•In February 2021, UGI International entered a supply and development partnership with a Polish technology specialist in catalytic conversion of bioethanol to bio-gasoline and b</w:t>
      </w:r>
      <w:r>
        <w:rPr>
          <w:rFonts w:eastAsia="Times New Roman"/>
          <w:color w:val="000000"/>
          <w:sz w:val="20"/>
          <w:szCs w:val="20"/>
        </w:rPr>
        <w:t xml:space="preserve">ioLPG for the exclusive rights to its supply of bioLPG. We believe this is a </w:t>
      </w:r>
      <w:r>
        <w:rPr>
          <w:rFonts w:eastAsia="Times New Roman"/>
          <w:color w:val="000000"/>
          <w:sz w:val="20"/>
          <w:szCs w:val="20"/>
          <w:shd w:val="clear" w:color="auto" w:fill="FFFFFF"/>
        </w:rPr>
        <w:t>significant step in reducing UGI International’s carbon footprint and achieving its decarbonization targets.</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•In November 2020, Energy Services invested in a utility-scale RNG p</w:t>
      </w:r>
      <w:r>
        <w:rPr>
          <w:rFonts w:eastAsia="Times New Roman"/>
          <w:color w:val="000000"/>
          <w:sz w:val="20"/>
          <w:szCs w:val="20"/>
        </w:rPr>
        <w:t xml:space="preserve">roject in Idaho. </w:t>
      </w:r>
      <w:r>
        <w:rPr>
          <w:rFonts w:eastAsia="Times New Roman"/>
          <w:color w:val="000000"/>
          <w:sz w:val="20"/>
          <w:szCs w:val="20"/>
          <w:shd w:val="clear" w:color="auto" w:fill="FFFFFF"/>
        </w:rPr>
        <w:t xml:space="preserve">The </w:t>
      </w:r>
      <w:r>
        <w:rPr>
          <w:rFonts w:eastAsia="Times New Roman"/>
          <w:color w:val="000000"/>
          <w:sz w:val="20"/>
          <w:szCs w:val="20"/>
        </w:rPr>
        <w:t>project</w:t>
      </w:r>
      <w:r>
        <w:rPr>
          <w:rFonts w:eastAsia="Times New Roman"/>
          <w:color w:val="000000"/>
          <w:sz w:val="20"/>
          <w:szCs w:val="20"/>
          <w:shd w:val="clear" w:color="auto" w:fill="FFFFFF"/>
        </w:rPr>
        <w:t xml:space="preserve"> is expected to produce several hundred MMcf of RNG each year from on-site dairy waste feedstock once it is expanded to reach full production in 2022.</w:t>
      </w:r>
      <w:r>
        <w:rPr>
          <w:rFonts w:eastAsia="Times New Roman"/>
          <w:color w:val="000000"/>
          <w:sz w:val="20"/>
          <w:szCs w:val="20"/>
        </w:rPr>
        <w:t xml:space="preserv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These projects provide a range of benefits, including reducing our carbon footprint while also addressing increased customer demand for low carbon energy sources, and we expect to continue to expand our renewable energy investments over the next five years</w:t>
      </w:r>
      <w:r>
        <w:rPr>
          <w:rFonts w:eastAsia="Times New Roman"/>
          <w:color w:val="000000"/>
          <w:sz w:val="20"/>
          <w:szCs w:val="20"/>
        </w:rPr>
        <w: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Rebalancing Our Portfolio</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Fiscal 2019, we completed the AmeriGas Merger, whereby AmeriGas Partners, L.P. became a wholly owned subsidiary of UGI Corporation. Following this transaction, our LPG businesses have contributed to our earnings per share</w:t>
      </w:r>
      <w:r>
        <w:rPr>
          <w:rFonts w:eastAsia="Times New Roman"/>
          <w:color w:val="000000"/>
          <w:sz w:val="20"/>
          <w:szCs w:val="20"/>
        </w:rPr>
        <w:t xml:space="preserve"> at a greater percentage than our natural gas businesses. We plan to rebalance our portfolio through both organic growth and investment in natural gas and renewable energy solutions.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Fiscal 2021, we executed on our rebalancing strategy through severa</w:t>
      </w:r>
      <w:r>
        <w:rPr>
          <w:rFonts w:eastAsia="Times New Roman"/>
          <w:color w:val="000000"/>
          <w:sz w:val="20"/>
          <w:szCs w:val="20"/>
        </w:rPr>
        <w:t xml:space="preserve">l transactions and investments, including the Mountaineer Acquisition and the aforementioned investments in renewable energy. </w:t>
      </w:r>
      <w:r>
        <w:rPr>
          <w:rFonts w:eastAsia="Times New Roman"/>
          <w:color w:val="000000"/>
          <w:sz w:val="20"/>
          <w:szCs w:val="20"/>
          <w:shd w:val="clear" w:color="auto" w:fill="FFFFFF"/>
        </w:rPr>
        <w:t xml:space="preserve">In addition to these transactions and investments, UGI Utilities, Inc. continued to execute on its infrastructure replacement and </w:t>
      </w:r>
      <w:r>
        <w:rPr>
          <w:rFonts w:eastAsia="Times New Roman"/>
          <w:color w:val="000000"/>
          <w:sz w:val="20"/>
          <w:szCs w:val="20"/>
          <w:shd w:val="clear" w:color="auto" w:fill="FFFFFF"/>
        </w:rPr>
        <w:t>system betterment program, with record capital expenditures in Fiscal 2021 and additional expenditures expected in the coming years. UGI Utilities, Inc. remains on schedule to achieve its goal of replacing the cast iron portions of its gas mains by March 2</w:t>
      </w:r>
      <w:r>
        <w:rPr>
          <w:rFonts w:eastAsia="Times New Roman"/>
          <w:color w:val="000000"/>
          <w:sz w:val="20"/>
          <w:szCs w:val="20"/>
          <w:shd w:val="clear" w:color="auto" w:fill="FFFFFF"/>
        </w:rPr>
        <w:t>027 and the bare steel portion of its gas mains by September 2041.</w:t>
      </w:r>
      <w:r>
        <w:rPr>
          <w:rFonts w:eastAsia="Times New Roman"/>
          <w:color w:val="000000"/>
          <w:sz w:val="20"/>
          <w:szCs w:val="20"/>
        </w:rPr>
        <w:t xml:space="preserve"> </w:t>
      </w:r>
      <w:r>
        <w:rPr>
          <w:rFonts w:eastAsia="Times New Roman"/>
          <w:color w:val="000000"/>
          <w:sz w:val="20"/>
          <w:szCs w:val="20"/>
          <w:shd w:val="clear" w:color="auto" w:fill="FFFFFF"/>
        </w:rPr>
        <w:t xml:space="preserve">We believe that the replacement of aging infrastructure results in increased contributions to rate base growth and also reduces emissions while improving operational efficiency.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Environm</w:t>
      </w:r>
      <w:r>
        <w:rPr>
          <w:rFonts w:eastAsia="Times New Roman"/>
          <w:b/>
          <w:bCs/>
          <w:color w:val="000000"/>
          <w:sz w:val="20"/>
          <w:szCs w:val="20"/>
          <w:u w:val="single"/>
        </w:rPr>
        <w:t>ental Strategy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Fiscal 2021, UGI pledged to reduce its enterprise Scope 1 GHG emissions by 55% over the next five years (using Fiscal 2020 as a baseline), while committing to continue to grow our earnings per share and dividends. We believe we can acco</w:t>
      </w:r>
      <w:r>
        <w:rPr>
          <w:rFonts w:eastAsia="Times New Roman"/>
          <w:color w:val="000000"/>
          <w:sz w:val="20"/>
          <w:szCs w:val="20"/>
        </w:rPr>
        <w:t xml:space="preserve">mplish this objective through a three-pronged strategy that focuses on: </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•reducing our emissions through investment in infrastructure and more efficient operations;</w:t>
      </w:r>
    </w:p>
    <w:p w:rsidR="00000000" w:rsidRDefault="00DF5BC2">
      <w:pPr>
        <w:ind w:hanging="360"/>
        <w:jc w:val="both"/>
        <w:rPr>
          <w:rFonts w:eastAsia="Times New Roman"/>
        </w:rPr>
      </w:pPr>
      <w:r>
        <w:rPr>
          <w:rFonts w:eastAsia="Times New Roman"/>
          <w:color w:val="000000"/>
          <w:sz w:val="20"/>
          <w:szCs w:val="20"/>
        </w:rPr>
        <w:t>•reducing our customers’ emissions through conversions, energy efficiency programs and fl</w:t>
      </w:r>
      <w:r>
        <w:rPr>
          <w:rFonts w:eastAsia="Times New Roman"/>
          <w:color w:val="000000"/>
          <w:sz w:val="20"/>
          <w:szCs w:val="20"/>
        </w:rPr>
        <w:t xml:space="preserve">eet conversions; and </w:t>
      </w:r>
    </w:p>
    <w:p w:rsidR="00000000" w:rsidRDefault="00DF5BC2">
      <w:pPr>
        <w:ind w:hanging="360"/>
        <w:jc w:val="both"/>
        <w:rPr>
          <w:rFonts w:eastAsia="Times New Roman"/>
        </w:rPr>
      </w:pPr>
      <w:r>
        <w:rPr>
          <w:rFonts w:eastAsia="Times New Roman"/>
          <w:color w:val="000000"/>
          <w:sz w:val="20"/>
          <w:szCs w:val="20"/>
        </w:rPr>
        <w:t>•investing in alternative energy solutions (such as renewable energy) to reduce GHG emissions and provide low or zero carbon solutions to our customers.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shd w:val="clear" w:color="auto" w:fill="FFFFFF"/>
        </w:rPr>
        <w:t>We report our progress on environmental goals and commitments annually in our S</w:t>
      </w:r>
      <w:r>
        <w:rPr>
          <w:rFonts w:eastAsia="Times New Roman"/>
          <w:color w:val="000000"/>
          <w:sz w:val="20"/>
          <w:szCs w:val="20"/>
          <w:shd w:val="clear" w:color="auto" w:fill="FFFFFF"/>
        </w:rPr>
        <w:t>ustainability Reports, including our Scope 1 and 2 emissions, air quality impact, and water management efforts. Our Sustainability Reports may be accessed on our website under “ESG - Resources - Sustainability Reports.”</w:t>
      </w:r>
      <w:r>
        <w:rPr>
          <w:rFonts w:eastAsia="Times New Roman"/>
          <w:color w:val="000000"/>
          <w:sz w:val="20"/>
          <w:szCs w:val="20"/>
        </w:rPr>
        <w:t xml:space="preserve"> </w:t>
      </w:r>
      <w:r>
        <w:rPr>
          <w:rFonts w:eastAsia="Times New Roman"/>
          <w:color w:val="000000"/>
          <w:sz w:val="20"/>
          <w:szCs w:val="20"/>
          <w:shd w:val="clear" w:color="auto" w:fill="FFFFFF"/>
        </w:rPr>
        <w:t>Information published in our Sustain</w:t>
      </w:r>
      <w:r>
        <w:rPr>
          <w:rFonts w:eastAsia="Times New Roman"/>
          <w:color w:val="000000"/>
          <w:sz w:val="20"/>
          <w:szCs w:val="20"/>
          <w:shd w:val="clear" w:color="auto" w:fill="FFFFFF"/>
        </w:rPr>
        <w:t>ability Reports is not intended to be incorporated into this Report.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shd w:val="clear" w:color="auto" w:fill="FFFFFF"/>
        </w:rPr>
        <w:t xml:space="preserve">In formulating our environmental strategy, our management and Board of Directors consider certain risks and uncertainties that may materially impact our financial condition and results </w:t>
      </w:r>
      <w:r>
        <w:rPr>
          <w:rFonts w:eastAsia="Times New Roman"/>
          <w:color w:val="000000"/>
          <w:sz w:val="20"/>
          <w:szCs w:val="20"/>
          <w:shd w:val="clear" w:color="auto" w:fill="FFFFFF"/>
        </w:rPr>
        <w:t>of operations.</w:t>
      </w:r>
      <w:r>
        <w:rPr>
          <w:rFonts w:eastAsia="Times New Roman"/>
          <w:color w:val="000000"/>
          <w:sz w:val="20"/>
          <w:szCs w:val="20"/>
        </w:rPr>
        <w:t xml:space="preserve"> </w:t>
      </w:r>
      <w:r>
        <w:rPr>
          <w:rFonts w:eastAsia="Times New Roman"/>
          <w:color w:val="000000"/>
          <w:sz w:val="20"/>
          <w:szCs w:val="20"/>
          <w:shd w:val="clear" w:color="auto" w:fill="FFFFFF"/>
        </w:rPr>
        <w:t xml:space="preserve">For more information on these risks and uncertainties, </w:t>
      </w:r>
    </w:p>
    <w:p w:rsidR="00000000" w:rsidRDefault="00DF5BC2">
      <w:pPr>
        <w:jc w:val="center"/>
        <w:divId w:val="133907887"/>
        <w:rPr>
          <w:rFonts w:eastAsia="Times New Roman"/>
        </w:rPr>
      </w:pPr>
      <w:r>
        <w:rPr>
          <w:rFonts w:eastAsia="Times New Roman"/>
          <w:color w:val="000000"/>
          <w:sz w:val="20"/>
          <w:szCs w:val="20"/>
        </w:rPr>
        <w:t>12</w:t>
      </w:r>
    </w:p>
    <w:p w:rsidR="00000000" w:rsidRDefault="00DF5BC2">
      <w:pPr>
        <w:rPr>
          <w:rFonts w:eastAsia="Times New Roman"/>
        </w:rPr>
      </w:pPr>
      <w:r>
        <w:rPr>
          <w:rFonts w:eastAsia="Times New Roman"/>
        </w:rPr>
        <w:pict>
          <v:rect id="_x0000_i1037" style="width:0;height:1.5pt" o:hralign="center" o:hrstd="t" o:hr="t" fillcolor="#a0a0a0" stroked="f"/>
        </w:pict>
      </w:r>
    </w:p>
    <w:p w:rsidR="00000000" w:rsidRDefault="00DF5BC2">
      <w:pPr>
        <w:divId w:val="1018776159"/>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shd w:val="clear" w:color="auto" w:fill="FFFFFF"/>
        </w:rPr>
        <w:t xml:space="preserve">see “Risk Factors - </w:t>
      </w:r>
      <w:r>
        <w:rPr>
          <w:rFonts w:eastAsia="Times New Roman"/>
          <w:color w:val="000000"/>
          <w:sz w:val="20"/>
          <w:szCs w:val="20"/>
        </w:rPr>
        <w:t>The potential effects of climate change may affect our business, operations, supply chain and customers, which could adversely impact our financial condition and results of operations.</w:t>
      </w:r>
      <w:r>
        <w:rPr>
          <w:rFonts w:eastAsia="Times New Roman"/>
          <w:color w:val="000000"/>
          <w:sz w:val="20"/>
          <w:szCs w:val="20"/>
          <w:shd w:val="clear" w:color="auto" w:fill="FFFFFF"/>
        </w:rPr>
        <w:t>”</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Corporate Information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UGI was incorporated in Pennsylvania in 1991. The Company is not subject to regulation by the PAPUC but, following completion of the Mountaineer Acquisition, is a regulated “holding company” under PUHCA 2005. PUHCA 2005 and the implementing regulations of </w:t>
      </w:r>
      <w:r>
        <w:rPr>
          <w:rFonts w:eastAsia="Times New Roman"/>
          <w:color w:val="000000"/>
          <w:sz w:val="20"/>
          <w:szCs w:val="20"/>
        </w:rPr>
        <w:t xml:space="preserve">FERC give FERC access to certain holding company books and records and impose certain accounting, record-keeping, and reporting requirements on holding companies. PUHCA 2005 also provides state utility regulatory commissions with access to holding company </w:t>
      </w:r>
      <w:r>
        <w:rPr>
          <w:rFonts w:eastAsia="Times New Roman"/>
          <w:color w:val="000000"/>
          <w:sz w:val="20"/>
          <w:szCs w:val="20"/>
        </w:rPr>
        <w:t xml:space="preserve">books and records in certain circumstances.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executive offices are located at 460 North Gulph Road, King of Prussia, Pennsylvania 19406, and our telephone number is (610) 337-1000. In this report, the terms “Company” and “UGI,” as well as the terms “</w:t>
      </w:r>
      <w:r>
        <w:rPr>
          <w:rFonts w:eastAsia="Times New Roman"/>
          <w:color w:val="000000"/>
          <w:sz w:val="20"/>
          <w:szCs w:val="20"/>
        </w:rPr>
        <w:t>our,” “we,” “us,” and “its” are sometimes used as abbreviated references to UGI Corporation or, collectively, UGI Corporation and its consolidated subsidiaries. For further information on the meaning of certain terms used in this Report, see “Glossary of T</w:t>
      </w:r>
      <w:r>
        <w:rPr>
          <w:rFonts w:eastAsia="Times New Roman"/>
          <w:color w:val="000000"/>
          <w:sz w:val="20"/>
          <w:szCs w:val="20"/>
        </w:rPr>
        <w:t>erms and Abbreviations.”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Company’s corporate website can be found at www.ugicorp.com. Information on our website, including the information published in our Sustainability Reports, is not intended to be incorporated into this Report. The Company make</w:t>
      </w:r>
      <w:r>
        <w:rPr>
          <w:rFonts w:eastAsia="Times New Roman"/>
          <w:color w:val="000000"/>
          <w:sz w:val="20"/>
          <w:szCs w:val="20"/>
        </w:rPr>
        <w:t>s available free of charge at this website (under the “Investors - Financial Reports - SEC Filings and Proxies” caption) copies of its reports filed or furnished pursuant to Section 13(a) or 15(d) of the Exchange Act, including its Annual Reports on Form 1</w:t>
      </w:r>
      <w:r>
        <w:rPr>
          <w:rFonts w:eastAsia="Times New Roman"/>
          <w:color w:val="000000"/>
          <w:sz w:val="20"/>
          <w:szCs w:val="20"/>
        </w:rPr>
        <w:t>0-K, its Quarterly Reports on Form 10-Q and its Current Reports on Form 8-K. The Company’s Principles of Corporate Governance and Code of Business Conduct and Ethics are available on the Company’s website under the caption “Company - Leadership and Governa</w:t>
      </w:r>
      <w:r>
        <w:rPr>
          <w:rFonts w:eastAsia="Times New Roman"/>
          <w:color w:val="000000"/>
          <w:sz w:val="20"/>
          <w:szCs w:val="20"/>
        </w:rPr>
        <w:t xml:space="preserve">nce - Governance Documents.” The charters of the Audit, Corporate Governance, Compensation and Management Development, Pension, and Safety, Environmental and Regulatory Compliance Committees of the Board of Directors are available on the Company’s website </w:t>
      </w:r>
      <w:r>
        <w:rPr>
          <w:rFonts w:eastAsia="Times New Roman"/>
          <w:color w:val="000000"/>
          <w:sz w:val="20"/>
          <w:szCs w:val="20"/>
        </w:rPr>
        <w:t>under the caption “Company - Leadership and Governance - Committees &amp; Charters.” All of these documents are also available free of charge by writing to Director, Investor Relations, UGI Corporation, P.O. Box 858, Valley Forge, PA 19482.</w:t>
      </w:r>
    </w:p>
    <w:p w:rsidR="00000000" w:rsidRDefault="00DF5BC2">
      <w:pPr>
        <w:jc w:val="both"/>
        <w:rPr>
          <w:rFonts w:eastAsia="Times New Roman"/>
        </w:rPr>
      </w:pPr>
    </w:p>
    <w:p w:rsidR="00000000" w:rsidRDefault="00DF5BC2">
      <w:pPr>
        <w:jc w:val="center"/>
        <w:divId w:val="1627199504"/>
        <w:rPr>
          <w:rFonts w:eastAsia="Times New Roman"/>
        </w:rPr>
      </w:pPr>
      <w:r>
        <w:rPr>
          <w:rFonts w:eastAsia="Times New Roman"/>
          <w:b/>
          <w:bCs/>
          <w:color w:val="000000"/>
          <w:sz w:val="20"/>
          <w:szCs w:val="20"/>
        </w:rPr>
        <w:t>AMERIGAS PROPANE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Products, Services and Marketing</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domestic propane distribution business is conducted through AmeriGas Propane. AmeriGas Propane serves nearly 1.4 million customers in all 50 states from approximately 1,600 propane distribution locations. Typically,</w:t>
      </w:r>
      <w:r>
        <w:rPr>
          <w:rFonts w:eastAsia="Times New Roman"/>
          <w:color w:val="000000"/>
          <w:sz w:val="20"/>
          <w:szCs w:val="20"/>
        </w:rPr>
        <w:t xml:space="preserve"> propane distribution locations are in suburban and rural areas where natural gas is not readily available. Our local offices generally consist of operations facilities and propane storage. As part of its overall transportation and distribution infrastruct</w:t>
      </w:r>
      <w:r>
        <w:rPr>
          <w:rFonts w:eastAsia="Times New Roman"/>
          <w:color w:val="000000"/>
          <w:sz w:val="20"/>
          <w:szCs w:val="20"/>
        </w:rPr>
        <w:t xml:space="preserve">ure, AmeriGas Propane operates as an interstate carrier in all states throughout the continental U.S.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AmeriGas Propane sells propane primarily to residential, commercial/industrial, motor fuel, agricultural and wholesale customers. AmeriGas Propane dist</w:t>
      </w:r>
      <w:r>
        <w:rPr>
          <w:rFonts w:eastAsia="Times New Roman"/>
          <w:color w:val="000000"/>
          <w:sz w:val="20"/>
          <w:szCs w:val="20"/>
        </w:rPr>
        <w:t xml:space="preserve">ributed approximately 1.1 billion gallons of propane in Fiscal 2021. Approximately 88% of AmeriGas Propane’s Fiscal 2021 sales (based on gallons sold) was to retail accounts and approximately 12% was to wholesale and supply customers. Sales to residential </w:t>
      </w:r>
      <w:r>
        <w:rPr>
          <w:rFonts w:eastAsia="Times New Roman"/>
          <w:color w:val="000000"/>
          <w:sz w:val="20"/>
          <w:szCs w:val="20"/>
        </w:rPr>
        <w:t xml:space="preserve">customers in Fiscal 2021 represented approximately 32% of retail gallons sold; commercial/industrial customers 41%; motor fuel customers 19%; and agricultural customers 4%. Transport gallons, which are large-scale deliveries to retail customers other than </w:t>
      </w:r>
      <w:r>
        <w:rPr>
          <w:rFonts w:eastAsia="Times New Roman"/>
          <w:color w:val="000000"/>
          <w:sz w:val="20"/>
          <w:szCs w:val="20"/>
        </w:rPr>
        <w:t>residential, accounted for 4% of Fiscal 2021 retail gallons. No single customer represents, or is anticipated to represent, more than 5% of AmeriGas Propane’s consolidated revenues.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ACE program continued to be an important element of AmeriGas Propane</w:t>
      </w:r>
      <w:r>
        <w:rPr>
          <w:rFonts w:eastAsia="Times New Roman"/>
          <w:color w:val="000000"/>
          <w:sz w:val="20"/>
          <w:szCs w:val="20"/>
        </w:rPr>
        <w:t>’s business in Fiscal 2021. At September 30, 2021, ACE cylinders were available at over 50,000 retail locations throughout the U.S. Sales of our ACE cylinders to retailers are included in commercial/industrial sales. The ACE program enables consumers to pu</w:t>
      </w:r>
      <w:r>
        <w:rPr>
          <w:rFonts w:eastAsia="Times New Roman"/>
          <w:color w:val="000000"/>
          <w:sz w:val="20"/>
          <w:szCs w:val="20"/>
        </w:rPr>
        <w:t>rchase or exchange propane cylinders at various retail locations such as home centers, gas stations, mass merchandisers and grocery and convenience stores. In addition, in Fiscal 2021, we continued to expand our Cynch propane home delivery service, which i</w:t>
      </w:r>
      <w:r>
        <w:rPr>
          <w:rFonts w:eastAsia="Times New Roman"/>
          <w:color w:val="000000"/>
          <w:sz w:val="20"/>
          <w:szCs w:val="20"/>
        </w:rPr>
        <w:t>s now available in twenty-two cities as of September 30, 2021, and plan to expand into additional markets in Fiscal 2022 and Fiscal 2023. We also supply retailers with large propane tanks to enable them to replenish customers’ propane cylinders directly at</w:t>
      </w:r>
      <w:r>
        <w:rPr>
          <w:rFonts w:eastAsia="Times New Roman"/>
          <w:color w:val="000000"/>
          <w:sz w:val="20"/>
          <w:szCs w:val="20"/>
        </w:rPr>
        <w:t xml:space="preserve"> the retailer’s location.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Residential and commercial customers use propane primarily for home heating, water heating and cooking purposes. Commercial users include hotels, restaurants, churches, warehouses, and retail stores. Industrial customers use pro</w:t>
      </w:r>
      <w:r>
        <w:rPr>
          <w:rFonts w:eastAsia="Times New Roman"/>
          <w:color w:val="000000"/>
          <w:sz w:val="20"/>
          <w:szCs w:val="20"/>
        </w:rPr>
        <w:t xml:space="preserve">pane to fire furnaces, as a cutting gas and in other process applications. Other industrial customers are large-scale heating accounts and </w:t>
      </w:r>
    </w:p>
    <w:p w:rsidR="00000000" w:rsidRDefault="00DF5BC2">
      <w:pPr>
        <w:jc w:val="center"/>
        <w:divId w:val="629747978"/>
        <w:rPr>
          <w:rFonts w:eastAsia="Times New Roman"/>
        </w:rPr>
      </w:pPr>
      <w:r>
        <w:rPr>
          <w:rFonts w:eastAsia="Times New Roman"/>
          <w:color w:val="000000"/>
          <w:sz w:val="20"/>
          <w:szCs w:val="20"/>
        </w:rPr>
        <w:t>13</w:t>
      </w:r>
    </w:p>
    <w:p w:rsidR="00000000" w:rsidRDefault="00DF5BC2">
      <w:pPr>
        <w:rPr>
          <w:rFonts w:eastAsia="Times New Roman"/>
        </w:rPr>
      </w:pPr>
      <w:r>
        <w:rPr>
          <w:rFonts w:eastAsia="Times New Roman"/>
        </w:rPr>
        <w:pict>
          <v:rect id="_x0000_i1038" style="width:0;height:1.5pt" o:hralign="center" o:hrstd="t" o:hr="t" fillcolor="#a0a0a0" stroked="f"/>
        </w:pict>
      </w:r>
    </w:p>
    <w:p w:rsidR="00000000" w:rsidRDefault="00DF5BC2">
      <w:pPr>
        <w:divId w:val="394201135"/>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local gas utility customers that use propane as a supplemental fuel to meet peak load deliverability requirements. As a motor fuel, propane is burned in internal combustion engines that power school buses and other over-the-road vehicles, forklifts, and st</w:t>
      </w:r>
      <w:r>
        <w:rPr>
          <w:rFonts w:eastAsia="Times New Roman"/>
          <w:color w:val="000000"/>
          <w:sz w:val="20"/>
          <w:szCs w:val="20"/>
        </w:rPr>
        <w:t>ationary engines. Agricultural uses include tobacco curing, chicken brooding, crop drying, and orchard heating. In its wholesale operations, AmeriGas Propane principally sells propane to large industrial end-users and other propane distributors.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Retail d</w:t>
      </w:r>
      <w:r>
        <w:rPr>
          <w:rFonts w:eastAsia="Times New Roman"/>
          <w:color w:val="000000"/>
          <w:sz w:val="20"/>
          <w:szCs w:val="20"/>
        </w:rPr>
        <w:t>eliveries of propane are usually made to customers by means of bobtail and rack trucks. Propane is pumped from the bobtail truck, which generally holds 2,400 to 3,000 gallons of propane, into a stationary storage tank on the customer’s premises. AmeriGas P</w:t>
      </w:r>
      <w:r>
        <w:rPr>
          <w:rFonts w:eastAsia="Times New Roman"/>
          <w:color w:val="000000"/>
          <w:sz w:val="20"/>
          <w:szCs w:val="20"/>
        </w:rPr>
        <w:t>ropane owns most of these storage tanks and leases them to its customers. The capacity of these tanks ranges from approximately 120 gallons to approximately 1,200 gallons. AmeriGas Propane also delivers propane in portable cylinders, including ACE and moto</w:t>
      </w:r>
      <w:r>
        <w:rPr>
          <w:rFonts w:eastAsia="Times New Roman"/>
          <w:color w:val="000000"/>
          <w:sz w:val="20"/>
          <w:szCs w:val="20"/>
        </w:rPr>
        <w:t>r fuel cylinders. Some of these deliveries are made to the customer’s location, where cylinders are either picked up or replenished in place.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During Fiscal 2021, we made technology and other investments to promote the safety of our employees and the comm</w:t>
      </w:r>
      <w:r>
        <w:rPr>
          <w:rFonts w:eastAsia="Times New Roman"/>
          <w:color w:val="000000"/>
          <w:sz w:val="20"/>
          <w:szCs w:val="20"/>
        </w:rPr>
        <w:t>unities we serve. For example, (i) we continued installing cameras in our delivery and service vehicles to facilitate in-cab coaching capabilities, among other functionality and (ii) we continued to install fall protection towers on rail terminals that are</w:t>
      </w:r>
      <w:r>
        <w:rPr>
          <w:rFonts w:eastAsia="Times New Roman"/>
          <w:color w:val="000000"/>
          <w:sz w:val="20"/>
          <w:szCs w:val="20"/>
        </w:rPr>
        <w:t xml:space="preserve"> designed to prevent employees from falling during the process of offloading propane into bulk storage.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Moreover, in Fiscal 2021, AmeriGas Propane continued executing on multi-year business transformation initiatives designed to improve long-term operati</w:t>
      </w:r>
      <w:r>
        <w:rPr>
          <w:rFonts w:eastAsia="Times New Roman"/>
          <w:color w:val="000000"/>
          <w:sz w:val="20"/>
          <w:szCs w:val="20"/>
        </w:rPr>
        <w:t>onal performance by, among other things, reducing costs and improving efficiency and effectiveness in the following key areas: customer digital experience; customer relationship management; operating process redesign and specialization; distribution and ro</w:t>
      </w:r>
      <w:r>
        <w:rPr>
          <w:rFonts w:eastAsia="Times New Roman"/>
          <w:color w:val="000000"/>
          <w:sz w:val="20"/>
          <w:szCs w:val="20"/>
        </w:rPr>
        <w:t>uting optimization; sales and marketing effectiveness; purchasing and general and administrative efficiencies; and supply and logistics. These transformation activities are substantially complete and are expected to provide total annual benefits of more th</w:t>
      </w:r>
      <w:r>
        <w:rPr>
          <w:rFonts w:eastAsia="Times New Roman"/>
          <w:color w:val="000000"/>
          <w:sz w:val="20"/>
          <w:szCs w:val="20"/>
        </w:rPr>
        <w:t>an $150 million by the end of Fiscal 2022. For further information on these initiatives, see “Management’s Discussion and Analysis of Financial Condition and Results of Operations - Executive Overview - Strategic Initiatives.”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Propane Supply and Storage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U.S. propane market has more than 180 domestic and international sources of supply, including the spot market. Supplies of propane from AmeriGas Propane’s sources historically have been readily available; however, beginning</w:t>
      </w:r>
      <w:r>
        <w:rPr>
          <w:rFonts w:eastAsia="Times New Roman"/>
          <w:color w:val="000000"/>
          <w:sz w:val="20"/>
          <w:szCs w:val="20"/>
        </w:rPr>
        <w:t xml:space="preserve"> in April 2020 and continuing through Fiscal 2021, certain geographies experienced varying levels of reduced propane availability as a result of COVID-19 and transportation issues within the supply chain. While some refineries have returned to normal produ</w:t>
      </w:r>
      <w:r>
        <w:rPr>
          <w:rFonts w:eastAsia="Times New Roman"/>
          <w:color w:val="000000"/>
          <w:sz w:val="20"/>
          <w:szCs w:val="20"/>
        </w:rPr>
        <w:t xml:space="preserve">ction, others have ceased operations entirely. In response to these supply and transportation challenges, AmeriGas Propane utilized a combination of increased regional storage as well as rail and transport supply from different origins to offset localized </w:t>
      </w:r>
      <w:r>
        <w:rPr>
          <w:rFonts w:eastAsia="Times New Roman"/>
          <w:color w:val="000000"/>
          <w:sz w:val="20"/>
          <w:szCs w:val="20"/>
        </w:rPr>
        <w:t xml:space="preserve">supply/demand imbalances that occurred during Fiscal 2021.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In addition to these factors, the availability and pricing of propane supply has historically been dependent upon, among other things, the severity of winter weather, the price and availability </w:t>
      </w:r>
      <w:r>
        <w:rPr>
          <w:rFonts w:eastAsia="Times New Roman"/>
          <w:color w:val="000000"/>
          <w:sz w:val="20"/>
          <w:szCs w:val="20"/>
        </w:rPr>
        <w:t>of competing fuels such as natural gas and crude oil, and the amount and availability of exported supply and, to a much lesser extent, imported supply. For more information on risks relating to our supply chain, see “Risk Factors - Risks Relating to Our Su</w:t>
      </w:r>
      <w:r>
        <w:rPr>
          <w:rFonts w:eastAsia="Times New Roman"/>
          <w:color w:val="000000"/>
          <w:sz w:val="20"/>
          <w:szCs w:val="20"/>
        </w:rPr>
        <w:t xml:space="preserve">pply Chain and Our Ability to Obtain Adequate Quantities of LPG.”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During Fiscal 2021, approximately 98% of AmeriGas Propane’s propane supply was purchased under supply agreements with terms of one to three years. Although no assurance can be given that </w:t>
      </w:r>
      <w:r>
        <w:rPr>
          <w:rFonts w:eastAsia="Times New Roman"/>
          <w:color w:val="000000"/>
          <w:sz w:val="20"/>
          <w:szCs w:val="20"/>
        </w:rPr>
        <w:t>supplies of propane will be readily available in the future, management currently expects to be able to secure adequate supplies during Fiscal 2022. If supply from major sources were interrupted, however, the cost of procuring replacement supplies and tran</w:t>
      </w:r>
      <w:r>
        <w:rPr>
          <w:rFonts w:eastAsia="Times New Roman"/>
          <w:color w:val="000000"/>
          <w:sz w:val="20"/>
          <w:szCs w:val="20"/>
        </w:rPr>
        <w:t>sporting those supplies from alternative locations might be materially higher and, at least on a short-term basis, margins could be adversely affected. In Fiscal 2021, AmeriGas Propane derived approximately 11% of its propane supply from each of Enterprise</w:t>
      </w:r>
      <w:r>
        <w:rPr>
          <w:rFonts w:eastAsia="Times New Roman"/>
          <w:color w:val="000000"/>
          <w:sz w:val="20"/>
          <w:szCs w:val="20"/>
        </w:rPr>
        <w:t xml:space="preserve"> Products Operating LLC and Targa Liquids Marketing and Trade. No other single supplier provided more than 10% of AmeriGas Propane’s total propane supply in Fiscal 2021. In certain geographic areas, however, a single supplier provides more than 50% of Amer</w:t>
      </w:r>
      <w:r>
        <w:rPr>
          <w:rFonts w:eastAsia="Times New Roman"/>
          <w:color w:val="000000"/>
          <w:sz w:val="20"/>
          <w:szCs w:val="20"/>
        </w:rPr>
        <w:t>iGas Propane’s requirements. Disruptions in supply in these areas could also have an adverse impact on AmeriGas Propane’s margins.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AmeriGas Propane’s supply contracts typically provide for pricing based upon (i) index formulas using the current prices es</w:t>
      </w:r>
      <w:r>
        <w:rPr>
          <w:rFonts w:eastAsia="Times New Roman"/>
          <w:color w:val="000000"/>
          <w:sz w:val="20"/>
          <w:szCs w:val="20"/>
        </w:rPr>
        <w:t>tablished at a major storage point such as Mont Belvieu, Texas, or Conway, Kansas, or (ii) posted prices at the time of delivery. In addition, some agreements provide maximum and minimum seasonal purchase volume guidelines. The percentage of contract purch</w:t>
      </w:r>
      <w:r>
        <w:rPr>
          <w:rFonts w:eastAsia="Times New Roman"/>
          <w:color w:val="000000"/>
          <w:sz w:val="20"/>
          <w:szCs w:val="20"/>
        </w:rPr>
        <w:t>ases, and the amount of supply contracted for at fixed prices, will vary from year to year. AmeriGas Propane uses a number of interstate pipelines, as well as railroad tank cars, delivery trucks and barges, to transport propane from suppliers to storage an</w:t>
      </w:r>
      <w:r>
        <w:rPr>
          <w:rFonts w:eastAsia="Times New Roman"/>
          <w:color w:val="000000"/>
          <w:sz w:val="20"/>
          <w:szCs w:val="20"/>
        </w:rPr>
        <w:t>d distribution facilities. AmeriGas Propane stores propane at various storage facilities and terminals located in strategic areas across the U.S.</w:t>
      </w:r>
    </w:p>
    <w:p w:rsidR="00000000" w:rsidRDefault="00DF5BC2">
      <w:pPr>
        <w:jc w:val="center"/>
        <w:divId w:val="85006346"/>
        <w:rPr>
          <w:rFonts w:eastAsia="Times New Roman"/>
        </w:rPr>
      </w:pPr>
      <w:r>
        <w:rPr>
          <w:rFonts w:eastAsia="Times New Roman"/>
          <w:color w:val="000000"/>
          <w:sz w:val="20"/>
          <w:szCs w:val="20"/>
        </w:rPr>
        <w:t>14</w:t>
      </w:r>
    </w:p>
    <w:p w:rsidR="00000000" w:rsidRDefault="00DF5BC2">
      <w:pPr>
        <w:rPr>
          <w:rFonts w:eastAsia="Times New Roman"/>
        </w:rPr>
      </w:pPr>
      <w:r>
        <w:rPr>
          <w:rFonts w:eastAsia="Times New Roman"/>
        </w:rPr>
        <w:pict>
          <v:rect id="_x0000_i1039" style="width:0;height:1.5pt" o:hralign="center" o:hrstd="t" o:hr="t" fillcolor="#a0a0a0" stroked="f"/>
        </w:pict>
      </w:r>
    </w:p>
    <w:p w:rsidR="00000000" w:rsidRDefault="00DF5BC2">
      <w:pPr>
        <w:divId w:val="2110812566"/>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Because AmeriGas Propane’s profitability is sensitive to changes in wholesale propane costs, AmeriGas Propane generally seeks to pass on incre</w:t>
      </w:r>
      <w:r>
        <w:rPr>
          <w:rFonts w:eastAsia="Times New Roman"/>
          <w:color w:val="000000"/>
          <w:sz w:val="20"/>
          <w:szCs w:val="20"/>
        </w:rPr>
        <w:t>ases in the cost of propane to customers. There is no assurance, however, that AmeriGas Propane will always be able to pass on product cost increases fully, or keep pace with such increases, particularly when product costs rise rapidly. Product cost increa</w:t>
      </w:r>
      <w:r>
        <w:rPr>
          <w:rFonts w:eastAsia="Times New Roman"/>
          <w:color w:val="000000"/>
          <w:sz w:val="20"/>
          <w:szCs w:val="20"/>
        </w:rPr>
        <w:t>ses can be triggered by periods of severe cold weather, supply interruptions, increases in the prices of base commodities such as crude oil and natural gas, or other unforeseen events. AmeriGas Propane has supply acquisition and product cost risk managemen</w:t>
      </w:r>
      <w:r>
        <w:rPr>
          <w:rFonts w:eastAsia="Times New Roman"/>
          <w:color w:val="000000"/>
          <w:sz w:val="20"/>
          <w:szCs w:val="20"/>
        </w:rPr>
        <w:t>t practices to reduce the effect of volatility on selling prices. These practices currently include the use of summer storage, forward purchases and derivative commodity instruments, such as propane price swaps. See “Management’s Discussion and Analysis of</w:t>
      </w:r>
      <w:r>
        <w:rPr>
          <w:rFonts w:eastAsia="Times New Roman"/>
          <w:color w:val="000000"/>
          <w:sz w:val="20"/>
          <w:szCs w:val="20"/>
        </w:rPr>
        <w:t xml:space="preserve"> Financial Condition and Results of Operations - Market Risk Disclosures.”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following graph shows the average prices of propane on the propane spot market during the last five fiscal years at Mont Belvieu, Texas, and Conway, Kansas, both major storage</w:t>
      </w:r>
      <w:r>
        <w:rPr>
          <w:rFonts w:eastAsia="Times New Roman"/>
          <w:color w:val="000000"/>
          <w:sz w:val="20"/>
          <w:szCs w:val="20"/>
        </w:rPr>
        <w:t xml:space="preserve"> areas.</w:t>
      </w:r>
    </w:p>
    <w:p w:rsidR="00000000" w:rsidRDefault="00DF5BC2">
      <w:pPr>
        <w:jc w:val="center"/>
        <w:divId w:val="973558684"/>
        <w:rPr>
          <w:rFonts w:eastAsia="Times New Roman"/>
        </w:rPr>
      </w:pPr>
      <w:r>
        <w:rPr>
          <w:rFonts w:eastAsia="Times New Roman"/>
          <w:b/>
          <w:bCs/>
          <w:color w:val="000000"/>
          <w:sz w:val="20"/>
          <w:szCs w:val="20"/>
        </w:rPr>
        <w:t>Average Propane Spot Market Prices</w:t>
      </w:r>
    </w:p>
    <w:p w:rsidR="00000000" w:rsidRDefault="00DF5BC2">
      <w:pPr>
        <w:spacing w:before="200"/>
        <w:jc w:val="center"/>
        <w:divId w:val="766075880"/>
        <w:rPr>
          <w:rFonts w:eastAsia="Times New Roman"/>
        </w:rPr>
      </w:pPr>
      <w:r>
        <w:rPr>
          <w:rFonts w:eastAsia="Times New Roman"/>
          <w:noProof/>
        </w:rPr>
        <w:drawing>
          <wp:inline distT="0" distB="0" distL="0" distR="0">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General Industry Information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Propane is separated from crude oil during the refining process and also extracted from natural gas</w:t>
      </w:r>
      <w:r>
        <w:rPr>
          <w:rFonts w:eastAsia="Times New Roman"/>
          <w:color w:val="000000"/>
          <w:sz w:val="20"/>
          <w:szCs w:val="20"/>
        </w:rPr>
        <w:t xml:space="preserve"> or oil wellhead gas at processing plants. Propane is normally transported and stored in a liquid state under moderate pressure or refrigeration for economy and ease of handling in shipping and distribution. When the pressure is released or the temperature</w:t>
      </w:r>
      <w:r>
        <w:rPr>
          <w:rFonts w:eastAsia="Times New Roman"/>
          <w:color w:val="000000"/>
          <w:sz w:val="20"/>
          <w:szCs w:val="20"/>
        </w:rPr>
        <w:t xml:space="preserve"> is increased, it is usable as a flammable gas. Propane is colorless and odorless; an odorant is added to allow for its detection. Propane is considered a clean alternative fuel under the Clean Air Act Amendments of 1990, producing negligible amounts of po</w:t>
      </w:r>
      <w:r>
        <w:rPr>
          <w:rFonts w:eastAsia="Times New Roman"/>
          <w:color w:val="000000"/>
          <w:sz w:val="20"/>
          <w:szCs w:val="20"/>
        </w:rPr>
        <w:t>llutants when properly consumed.</w:t>
      </w:r>
    </w:p>
    <w:p w:rsidR="00000000" w:rsidRDefault="00DF5BC2">
      <w:pPr>
        <w:ind w:firstLine="720"/>
        <w:jc w:val="both"/>
        <w:rPr>
          <w:rFonts w:eastAsia="Times New Roman"/>
        </w:rPr>
      </w:pPr>
    </w:p>
    <w:p w:rsidR="00000000" w:rsidRDefault="00DF5BC2">
      <w:pPr>
        <w:jc w:val="both"/>
        <w:rPr>
          <w:rFonts w:eastAsia="Times New Roman"/>
        </w:rPr>
      </w:pPr>
      <w:r>
        <w:rPr>
          <w:rFonts w:eastAsia="Times New Roman"/>
          <w:b/>
          <w:bCs/>
          <w:i/>
          <w:iCs/>
          <w:color w:val="000000"/>
          <w:sz w:val="20"/>
          <w:szCs w:val="20"/>
        </w:rPr>
        <w:t>Competition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Propane competes with other sources of energy, some of which are less costly for equivalent energy value. Propane distributors compete for customers with suppliers of electricity, fuel oil and natural gas, p</w:t>
      </w:r>
      <w:r>
        <w:rPr>
          <w:rFonts w:eastAsia="Times New Roman"/>
          <w:color w:val="000000"/>
          <w:sz w:val="20"/>
          <w:szCs w:val="20"/>
        </w:rPr>
        <w:t>rincipally on the basis of price, service, availability and portability. Electricity is generally more expensive than propane on a Btu equivalent basis, but the convenience and efficiency of electricity make it an attractive energy source for consumers and</w:t>
      </w:r>
      <w:r>
        <w:rPr>
          <w:rFonts w:eastAsia="Times New Roman"/>
          <w:color w:val="000000"/>
          <w:sz w:val="20"/>
          <w:szCs w:val="20"/>
        </w:rPr>
        <w:t xml:space="preserve"> developers of new homes. Fuel oil, which is also a major competitor of propane, is currently more expensive than propane and is a less environmentally attractive energy source. Furnaces and appliances that burn propane will not operate on fuel oil, and vi</w:t>
      </w:r>
      <w:r>
        <w:rPr>
          <w:rFonts w:eastAsia="Times New Roman"/>
          <w:color w:val="000000"/>
          <w:sz w:val="20"/>
          <w:szCs w:val="20"/>
        </w:rPr>
        <w:t>ce versa, and, therefore, a conversion from one fuel to the other requires the installation of new equipment. Propane serves as an alternative to natural gas in rural and suburban areas where natural gas is unavailable or portability of product is required</w:t>
      </w:r>
      <w:r>
        <w:rPr>
          <w:rFonts w:eastAsia="Times New Roman"/>
          <w:color w:val="000000"/>
          <w:sz w:val="20"/>
          <w:szCs w:val="20"/>
        </w:rPr>
        <w:t>. Natural gas is generally a significantly less expensive source of energy than propane, although in areas where natural gas is available, propane is used for certain industrial and commercial applications and as a standby fuel during interruptions in natu</w:t>
      </w:r>
      <w:r>
        <w:rPr>
          <w:rFonts w:eastAsia="Times New Roman"/>
          <w:color w:val="000000"/>
          <w:sz w:val="20"/>
          <w:szCs w:val="20"/>
        </w:rPr>
        <w:t>ral gas service. The gradual expansion of the nation’s natural gas distribution systems has resulted in the availability of natural gas in some areas that previously depended upon propane. However, natural gas pipelines are not present in many areas of the</w:t>
      </w:r>
      <w:r>
        <w:rPr>
          <w:rFonts w:eastAsia="Times New Roman"/>
          <w:color w:val="000000"/>
          <w:sz w:val="20"/>
          <w:szCs w:val="20"/>
        </w:rPr>
        <w:t xml:space="preserve"> country where propane is sold for </w:t>
      </w:r>
    </w:p>
    <w:p w:rsidR="00000000" w:rsidRDefault="00DF5BC2">
      <w:pPr>
        <w:jc w:val="center"/>
        <w:divId w:val="1397171475"/>
        <w:rPr>
          <w:rFonts w:eastAsia="Times New Roman"/>
        </w:rPr>
      </w:pPr>
      <w:r>
        <w:rPr>
          <w:rFonts w:eastAsia="Times New Roman"/>
          <w:color w:val="000000"/>
          <w:sz w:val="20"/>
          <w:szCs w:val="20"/>
        </w:rPr>
        <w:t>15</w:t>
      </w:r>
    </w:p>
    <w:p w:rsidR="00000000" w:rsidRDefault="00DF5BC2">
      <w:pPr>
        <w:rPr>
          <w:rFonts w:eastAsia="Times New Roman"/>
        </w:rPr>
      </w:pPr>
      <w:r>
        <w:rPr>
          <w:rFonts w:eastAsia="Times New Roman"/>
        </w:rPr>
        <w:pict>
          <v:rect id="_x0000_i1041" style="width:0;height:1.5pt" o:hralign="center" o:hrstd="t" o:hr="t" fillcolor="#a0a0a0" stroked="f"/>
        </w:pict>
      </w:r>
    </w:p>
    <w:p w:rsidR="00000000" w:rsidRDefault="00DF5BC2">
      <w:pPr>
        <w:divId w:val="1979337805"/>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heating and cooking purposes.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For motor fuel customers, propane competes with gasoline, diesel fuel, electric batteries, fuel cells and, in certain applications, LNG and compressed natural gas. Wholesale propane distribution is a highly competitive, low margin business. Propane sales t</w:t>
      </w:r>
      <w:r>
        <w:rPr>
          <w:rFonts w:eastAsia="Times New Roman"/>
          <w:color w:val="000000"/>
          <w:sz w:val="20"/>
          <w:szCs w:val="20"/>
        </w:rPr>
        <w:t>o other retail distributors and large-volume, direct-shipment industrial end-users are price sensitive and frequently involve a competitive bidding process.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Retail propane industry volumes have been declining for several years and no or modest growth in </w:t>
      </w:r>
      <w:r>
        <w:rPr>
          <w:rFonts w:eastAsia="Times New Roman"/>
          <w:color w:val="000000"/>
          <w:sz w:val="20"/>
          <w:szCs w:val="20"/>
        </w:rPr>
        <w:t>total demand is foreseen in the next several years. Therefore, AmeriGas Propane’s ability to grow within the industry is dependent on the success of its sales and marketing programs designed to attract and retain customers, the success of business transfor</w:t>
      </w:r>
      <w:r>
        <w:rPr>
          <w:rFonts w:eastAsia="Times New Roman"/>
          <w:color w:val="000000"/>
          <w:sz w:val="20"/>
          <w:szCs w:val="20"/>
        </w:rPr>
        <w:t>mation initiatives, its ability to achieve internal growth, which includes expansion of the ACE, Cynch and National Accounts programs (through which multi-location propane users enter into a single AmeriGas Propane supply agreement rather than agreements w</w:t>
      </w:r>
      <w:r>
        <w:rPr>
          <w:rFonts w:eastAsia="Times New Roman"/>
          <w:color w:val="000000"/>
          <w:sz w:val="20"/>
          <w:szCs w:val="20"/>
        </w:rPr>
        <w:t>ith multiple suppliers), and its ability to acquire other retail distributors. The failure of AmeriGas Propane to retain and grow its customer base would have an adverse effect on its long-term results.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domestic propane retail distribution business i</w:t>
      </w:r>
      <w:r>
        <w:rPr>
          <w:rFonts w:eastAsia="Times New Roman"/>
          <w:color w:val="000000"/>
          <w:sz w:val="20"/>
          <w:szCs w:val="20"/>
        </w:rPr>
        <w:t>s highly competitive. AmeriGas Propane competes in this business with other large propane marketers, including other full-service marketers, and thousands of small independent operators. Some farm cooperatives, rural electric cooperatives and fuel oil dist</w:t>
      </w:r>
      <w:r>
        <w:rPr>
          <w:rFonts w:eastAsia="Times New Roman"/>
          <w:color w:val="000000"/>
          <w:sz w:val="20"/>
          <w:szCs w:val="20"/>
        </w:rPr>
        <w:t>ributors include propane distribution in their businesses and AmeriGas Propane competes with them as well. The ability to compete effectively depends on providing high quality customer service, maintaining competitive retail prices and controlling operatin</w:t>
      </w:r>
      <w:r>
        <w:rPr>
          <w:rFonts w:eastAsia="Times New Roman"/>
          <w:color w:val="000000"/>
          <w:sz w:val="20"/>
          <w:szCs w:val="20"/>
        </w:rPr>
        <w:t xml:space="preserve">g expenses. AmeriGas Propane also offers customers various payment and service options, including guaranteed price programs, fixed price arrangements and pricing arrangements based on published propane prices at specified terminals.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Fiscal 2021, Amer</w:t>
      </w:r>
      <w:r>
        <w:rPr>
          <w:rFonts w:eastAsia="Times New Roman"/>
          <w:color w:val="000000"/>
          <w:sz w:val="20"/>
          <w:szCs w:val="20"/>
        </w:rPr>
        <w:t>iGas Propane’s retail propane sales totaled nearly 970 million gallons. Based on the most recent annual survey by the Propane Education &amp; Research Council, 2019 domestic retail propane sales (annual sales for other than chemical uses) in the U.S. totaled a</w:t>
      </w:r>
      <w:r>
        <w:rPr>
          <w:rFonts w:eastAsia="Times New Roman"/>
          <w:color w:val="000000"/>
          <w:sz w:val="20"/>
          <w:szCs w:val="20"/>
        </w:rPr>
        <w:t>pproximately 10.1 billion gallons. Based on LP-GAS magazine rankings, 2019 sales volume of the ten largest propane distribution companies (including AmeriGas Propane) represented approximately 31% of domestic retail propane sales.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Properties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As of Sept</w:t>
      </w:r>
      <w:r>
        <w:rPr>
          <w:rFonts w:eastAsia="Times New Roman"/>
          <w:color w:val="000000"/>
          <w:sz w:val="20"/>
          <w:szCs w:val="20"/>
        </w:rPr>
        <w:t>ember 30, 2021, AmeriGas Propane owned 87% of its approximately 530 local offices throughout the country. The transportation of propane requires specialized equipment. The trucks and railroad tank cars utilized for this purpose carry specialized steel tank</w:t>
      </w:r>
      <w:r>
        <w:rPr>
          <w:rFonts w:eastAsia="Times New Roman"/>
          <w:color w:val="000000"/>
          <w:sz w:val="20"/>
          <w:szCs w:val="20"/>
        </w:rPr>
        <w:t>s that maintain the propane in a liquefied state. As of September 30, 2021, the Partnership operated a transportation fleet with the following assets:</w:t>
      </w:r>
    </w:p>
    <w:tbl>
      <w:tblPr>
        <w:tblW w:w="4173" w:type="pct"/>
        <w:jc w:val="center"/>
        <w:tblCellMar>
          <w:top w:w="15" w:type="dxa"/>
          <w:left w:w="15" w:type="dxa"/>
          <w:bottom w:w="15" w:type="dxa"/>
          <w:right w:w="15" w:type="dxa"/>
        </w:tblCellMar>
        <w:tblLook w:val="04A0" w:firstRow="1" w:lastRow="0" w:firstColumn="1" w:lastColumn="0" w:noHBand="0" w:noVBand="1"/>
      </w:tblPr>
      <w:tblGrid>
        <w:gridCol w:w="54"/>
        <w:gridCol w:w="1305"/>
        <w:gridCol w:w="38"/>
        <w:gridCol w:w="54"/>
        <w:gridCol w:w="3515"/>
        <w:gridCol w:w="36"/>
        <w:gridCol w:w="55"/>
        <w:gridCol w:w="965"/>
        <w:gridCol w:w="36"/>
        <w:gridCol w:w="55"/>
        <w:gridCol w:w="783"/>
        <w:gridCol w:w="36"/>
      </w:tblGrid>
      <w:tr w:rsidR="00000000">
        <w:trPr>
          <w:divId w:val="1424649124"/>
          <w:jc w:val="center"/>
        </w:trPr>
        <w:tc>
          <w:tcPr>
            <w:tcW w:w="50" w:type="pct"/>
            <w:vAlign w:val="center"/>
            <w:hideMark/>
          </w:tcPr>
          <w:p w:rsidR="00000000" w:rsidRDefault="00DF5BC2">
            <w:pPr>
              <w:jc w:val="both"/>
              <w:rPr>
                <w:rFonts w:eastAsia="Times New Roman"/>
              </w:rPr>
            </w:pPr>
          </w:p>
        </w:tc>
        <w:tc>
          <w:tcPr>
            <w:tcW w:w="95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254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70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7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424649124"/>
          <w:jc w:val="center"/>
        </w:trPr>
        <w:tc>
          <w:tcPr>
            <w:tcW w:w="0" w:type="auto"/>
            <w:gridSpan w:val="6"/>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u w:val="single"/>
              </w:rPr>
              <w:t>Approximate Quantity &amp; Equipment Type</w:t>
            </w:r>
          </w:p>
        </w:tc>
        <w:tc>
          <w:tcPr>
            <w:tcW w:w="0" w:type="auto"/>
            <w:gridSpan w:val="3"/>
            <w:tcMar>
              <w:top w:w="30" w:type="dxa"/>
              <w:left w:w="20" w:type="dxa"/>
              <w:bottom w:w="30" w:type="dxa"/>
              <w:right w:w="20" w:type="dxa"/>
            </w:tcMar>
            <w:vAlign w:val="bottom"/>
            <w:hideMark/>
          </w:tcPr>
          <w:p w:rsidR="00000000" w:rsidRDefault="00DF5BC2">
            <w:pPr>
              <w:spacing w:after="100"/>
              <w:jc w:val="both"/>
              <w:rPr>
                <w:rFonts w:eastAsia="Times New Roman"/>
              </w:rPr>
            </w:pPr>
            <w:r>
              <w:rPr>
                <w:rFonts w:eastAsia="Times New Roman"/>
                <w:b/>
                <w:bCs/>
                <w:color w:val="000000"/>
                <w:sz w:val="20"/>
                <w:szCs w:val="20"/>
                <w:u w:val="single"/>
              </w:rPr>
              <w:t>% Owned</w:t>
            </w:r>
          </w:p>
        </w:tc>
        <w:tc>
          <w:tcPr>
            <w:tcW w:w="0" w:type="auto"/>
            <w:gridSpan w:val="3"/>
            <w:tcMar>
              <w:top w:w="30" w:type="dxa"/>
              <w:left w:w="20" w:type="dxa"/>
              <w:bottom w:w="30" w:type="dxa"/>
              <w:right w:w="20" w:type="dxa"/>
            </w:tcMar>
            <w:vAlign w:val="bottom"/>
            <w:hideMark/>
          </w:tcPr>
          <w:p w:rsidR="00000000" w:rsidRDefault="00DF5BC2">
            <w:pPr>
              <w:spacing w:after="100"/>
              <w:jc w:val="both"/>
              <w:rPr>
                <w:rFonts w:eastAsia="Times New Roman"/>
              </w:rPr>
            </w:pPr>
            <w:r>
              <w:rPr>
                <w:rFonts w:eastAsia="Times New Roman"/>
                <w:b/>
                <w:bCs/>
                <w:color w:val="000000"/>
                <w:sz w:val="20"/>
                <w:szCs w:val="20"/>
                <w:u w:val="single"/>
              </w:rPr>
              <w:t>% Leased</w:t>
            </w:r>
          </w:p>
        </w:tc>
      </w:tr>
      <w:tr w:rsidR="00000000">
        <w:trPr>
          <w:divId w:val="1424649124"/>
          <w:jc w:val="center"/>
        </w:trPr>
        <w:tc>
          <w:tcPr>
            <w:tcW w:w="0" w:type="auto"/>
            <w:gridSpan w:val="3"/>
            <w:shd w:val="clear" w:color="auto" w:fill="CCEEFF"/>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880</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both"/>
              <w:rPr>
                <w:rFonts w:eastAsia="Times New Roman"/>
              </w:rPr>
            </w:pPr>
            <w:r>
              <w:rPr>
                <w:rFonts w:eastAsia="Times New Roman"/>
                <w:color w:val="000000"/>
                <w:sz w:val="20"/>
                <w:szCs w:val="20"/>
              </w:rPr>
              <w:t>Trailers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71%</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29%</w:t>
            </w:r>
          </w:p>
        </w:tc>
      </w:tr>
      <w:tr w:rsidR="00000000">
        <w:trPr>
          <w:divId w:val="1424649124"/>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340</w:t>
            </w:r>
          </w:p>
        </w:tc>
        <w:tc>
          <w:tcPr>
            <w:tcW w:w="0" w:type="auto"/>
            <w:gridSpan w:val="3"/>
            <w:tcMar>
              <w:top w:w="30" w:type="dxa"/>
              <w:left w:w="20" w:type="dxa"/>
              <w:bottom w:w="30" w:type="dxa"/>
              <w:right w:w="20" w:type="dxa"/>
            </w:tcMar>
            <w:vAlign w:val="bottom"/>
            <w:hideMark/>
          </w:tcPr>
          <w:p w:rsidR="00000000" w:rsidRDefault="00DF5BC2">
            <w:pPr>
              <w:spacing w:after="100"/>
              <w:jc w:val="both"/>
              <w:rPr>
                <w:rFonts w:eastAsia="Times New Roman"/>
              </w:rPr>
            </w:pPr>
            <w:r>
              <w:rPr>
                <w:rFonts w:eastAsia="Times New Roman"/>
                <w:color w:val="000000"/>
                <w:sz w:val="20"/>
                <w:szCs w:val="20"/>
              </w:rPr>
              <w:t>Tractors</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95%</w:t>
            </w:r>
          </w:p>
        </w:tc>
      </w:tr>
      <w:tr w:rsidR="00000000">
        <w:trPr>
          <w:divId w:val="1424649124"/>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680</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both"/>
              <w:rPr>
                <w:rFonts w:eastAsia="Times New Roman"/>
              </w:rPr>
            </w:pPr>
            <w:r>
              <w:rPr>
                <w:rFonts w:eastAsia="Times New Roman"/>
                <w:color w:val="000000"/>
                <w:sz w:val="20"/>
                <w:szCs w:val="20"/>
              </w:rPr>
              <w:t>Railroad tank cars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0%</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100%</w:t>
            </w:r>
          </w:p>
        </w:tc>
      </w:tr>
      <w:tr w:rsidR="00000000">
        <w:trPr>
          <w:divId w:val="1424649124"/>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2,470</w:t>
            </w:r>
          </w:p>
        </w:tc>
        <w:tc>
          <w:tcPr>
            <w:tcW w:w="0" w:type="auto"/>
            <w:gridSpan w:val="3"/>
            <w:tcMar>
              <w:top w:w="30" w:type="dxa"/>
              <w:left w:w="20" w:type="dxa"/>
              <w:bottom w:w="30" w:type="dxa"/>
              <w:right w:w="20" w:type="dxa"/>
            </w:tcMar>
            <w:vAlign w:val="bottom"/>
            <w:hideMark/>
          </w:tcPr>
          <w:p w:rsidR="00000000" w:rsidRDefault="00DF5BC2">
            <w:pPr>
              <w:spacing w:after="100"/>
              <w:jc w:val="both"/>
              <w:rPr>
                <w:rFonts w:eastAsia="Times New Roman"/>
              </w:rPr>
            </w:pPr>
            <w:r>
              <w:rPr>
                <w:rFonts w:eastAsia="Times New Roman"/>
                <w:color w:val="000000"/>
                <w:sz w:val="20"/>
                <w:szCs w:val="20"/>
              </w:rPr>
              <w:t>Bobtail trucks</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91%</w:t>
            </w:r>
          </w:p>
        </w:tc>
      </w:tr>
      <w:tr w:rsidR="00000000">
        <w:trPr>
          <w:divId w:val="1424649124"/>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320</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both"/>
              <w:rPr>
                <w:rFonts w:eastAsia="Times New Roman"/>
              </w:rPr>
            </w:pPr>
            <w:r>
              <w:rPr>
                <w:rFonts w:eastAsia="Times New Roman"/>
                <w:color w:val="000000"/>
                <w:sz w:val="20"/>
                <w:szCs w:val="20"/>
              </w:rPr>
              <w:t>Rack trucks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12%</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88%</w:t>
            </w:r>
          </w:p>
        </w:tc>
      </w:tr>
      <w:tr w:rsidR="00000000">
        <w:trPr>
          <w:divId w:val="1424649124"/>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2,950</w:t>
            </w:r>
          </w:p>
        </w:tc>
        <w:tc>
          <w:tcPr>
            <w:tcW w:w="0" w:type="auto"/>
            <w:gridSpan w:val="3"/>
            <w:tcMar>
              <w:top w:w="30" w:type="dxa"/>
              <w:left w:w="20" w:type="dxa"/>
              <w:bottom w:w="30" w:type="dxa"/>
              <w:right w:w="20" w:type="dxa"/>
            </w:tcMar>
            <w:vAlign w:val="bottom"/>
            <w:hideMark/>
          </w:tcPr>
          <w:p w:rsidR="00000000" w:rsidRDefault="00DF5BC2">
            <w:pPr>
              <w:spacing w:after="100"/>
              <w:jc w:val="both"/>
              <w:rPr>
                <w:rFonts w:eastAsia="Times New Roman"/>
              </w:rPr>
            </w:pPr>
            <w:r>
              <w:rPr>
                <w:rFonts w:eastAsia="Times New Roman"/>
                <w:color w:val="000000"/>
                <w:sz w:val="20"/>
                <w:szCs w:val="20"/>
              </w:rPr>
              <w:t>Service and delivery trucks</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85%</w:t>
            </w:r>
          </w:p>
        </w:tc>
      </w:tr>
    </w:tbl>
    <w:p w:rsidR="00000000" w:rsidRDefault="00DF5BC2">
      <w:pPr>
        <w:divId w:val="487400131"/>
        <w:rPr>
          <w:rFonts w:eastAsia="Times New Roman"/>
        </w:rPr>
      </w:pPr>
    </w:p>
    <w:p w:rsidR="00000000" w:rsidRDefault="00DF5BC2">
      <w:pPr>
        <w:jc w:val="both"/>
        <w:rPr>
          <w:rFonts w:eastAsia="Times New Roman"/>
        </w:rPr>
      </w:pPr>
      <w:r>
        <w:rPr>
          <w:rFonts w:eastAsia="Times New Roman"/>
          <w:color w:val="000000"/>
          <w:sz w:val="20"/>
          <w:szCs w:val="20"/>
        </w:rPr>
        <w:t>Other assets owned at September 30, 2021 included approximately 960,000 stationary storage tanks with typical capacities of more than 120 gallons, approximately 4.1 million portable propane cylinders with typical capacities of 1 to 120 gallons, 21 terminal</w:t>
      </w:r>
      <w:r>
        <w:rPr>
          <w:rFonts w:eastAsia="Times New Roman"/>
          <w:color w:val="000000"/>
          <w:sz w:val="20"/>
          <w:szCs w:val="20"/>
        </w:rPr>
        <w:t>s and 12 transflow units.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Trade Names, Trade and Service Marks</w:t>
      </w:r>
    </w:p>
    <w:p w:rsidR="00000000" w:rsidRDefault="00DF5BC2">
      <w:pPr>
        <w:jc w:val="both"/>
        <w:divId w:val="428550384"/>
        <w:rPr>
          <w:rFonts w:eastAsia="Times New Roman"/>
        </w:rPr>
      </w:pPr>
      <w:r>
        <w:rPr>
          <w:rFonts w:eastAsia="Times New Roman"/>
          <w:color w:val="000000"/>
          <w:sz w:val="20"/>
          <w:szCs w:val="20"/>
        </w:rPr>
        <w:t>AmeriGas Propane markets propane and other services principally under the “AmeriGa</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“America’s Propane Compan</w:t>
      </w:r>
      <w:r>
        <w:rPr>
          <w:rFonts w:eastAsia="Times New Roman"/>
          <w:color w:val="000000"/>
          <w:sz w:val="20"/>
          <w:szCs w:val="20"/>
        </w:rPr>
        <w:t>y</w:t>
      </w:r>
      <w:r>
        <w:rPr>
          <w:rFonts w:eastAsia="Times New Roman"/>
          <w:color w:val="000000"/>
          <w:sz w:val="13"/>
          <w:szCs w:val="13"/>
        </w:rPr>
        <w:t>®</w:t>
      </w:r>
      <w:r>
        <w:rPr>
          <w:rFonts w:eastAsia="Times New Roman"/>
          <w:color w:val="000000"/>
          <w:sz w:val="20"/>
          <w:szCs w:val="20"/>
        </w:rPr>
        <w:t>,” “Propane That’s Pro-You</w:t>
      </w:r>
      <w:r>
        <w:rPr>
          <w:rFonts w:eastAsia="Times New Roman"/>
          <w:color w:val="000000"/>
          <w:sz w:val="20"/>
          <w:szCs w:val="20"/>
        </w:rPr>
        <w:t>℠</w:t>
      </w:r>
      <w:r>
        <w:rPr>
          <w:rFonts w:eastAsia="Times New Roman"/>
          <w:color w:val="000000"/>
          <w:sz w:val="20"/>
          <w:szCs w:val="20"/>
        </w:rPr>
        <w:t>” and “Cync</w:t>
      </w:r>
      <w:r>
        <w:rPr>
          <w:rFonts w:eastAsia="Times New Roman"/>
          <w:color w:val="000000"/>
          <w:sz w:val="20"/>
          <w:szCs w:val="20"/>
        </w:rPr>
        <w:t>h</w:t>
      </w:r>
      <w:r>
        <w:rPr>
          <w:rFonts w:eastAsia="Times New Roman"/>
          <w:color w:val="000000"/>
          <w:sz w:val="13"/>
          <w:szCs w:val="13"/>
        </w:rPr>
        <w:t>®</w:t>
      </w:r>
      <w:r>
        <w:rPr>
          <w:rFonts w:eastAsia="Times New Roman"/>
          <w:color w:val="000000"/>
          <w:sz w:val="20"/>
          <w:szCs w:val="20"/>
        </w:rPr>
        <w:t>” trade names and related service mar</w:t>
      </w:r>
      <w:r>
        <w:rPr>
          <w:rFonts w:eastAsia="Times New Roman"/>
          <w:color w:val="000000"/>
          <w:sz w:val="20"/>
          <w:szCs w:val="20"/>
        </w:rPr>
        <w:t>ks and continues to maintain the “Driving Every Da</w:t>
      </w:r>
      <w:r>
        <w:rPr>
          <w:rFonts w:eastAsia="Times New Roman"/>
          <w:color w:val="000000"/>
          <w:sz w:val="20"/>
          <w:szCs w:val="20"/>
        </w:rPr>
        <w:t>y</w:t>
      </w:r>
      <w:r>
        <w:rPr>
          <w:rFonts w:eastAsia="Times New Roman"/>
          <w:color w:val="000000"/>
          <w:sz w:val="13"/>
          <w:szCs w:val="13"/>
        </w:rPr>
        <w:t>®</w:t>
      </w:r>
      <w:r>
        <w:rPr>
          <w:rFonts w:eastAsia="Times New Roman"/>
          <w:color w:val="000000"/>
          <w:sz w:val="20"/>
          <w:szCs w:val="20"/>
        </w:rPr>
        <w:t>” and “Relationships Matte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trademarks. UGI owns, directly or indirectly, all the right, title and interest in the “AmeriGas” name and related trade and service marks. The General Partner owns all right</w:t>
      </w:r>
      <w:r>
        <w:rPr>
          <w:rFonts w:eastAsia="Times New Roman"/>
          <w:color w:val="000000"/>
          <w:sz w:val="20"/>
          <w:szCs w:val="20"/>
        </w:rPr>
        <w:t>, title and interest in the “America’s Propane Company” trade name and related service marks. The Partnership has an exclusive (except for use by UGI, AmeriGas, Inc., AmeriGas Polska Sp. z.o.o. and the General Partner), royalty-free license to use these tr</w:t>
      </w:r>
      <w:r>
        <w:rPr>
          <w:rFonts w:eastAsia="Times New Roman"/>
          <w:color w:val="000000"/>
          <w:sz w:val="20"/>
          <w:szCs w:val="20"/>
        </w:rPr>
        <w:t xml:space="preserve">ade names and related service marks. UGI and the General Partner each have the option to terminate its respective license agreement (except its licenses with permitted transferees and on 12 months’ prior notice in the case of UGI), without penalty, if the </w:t>
      </w:r>
      <w:r>
        <w:rPr>
          <w:rFonts w:eastAsia="Times New Roman"/>
          <w:color w:val="000000"/>
          <w:sz w:val="20"/>
          <w:szCs w:val="20"/>
        </w:rPr>
        <w:t xml:space="preserve">General Partner is removed as </w:t>
      </w:r>
    </w:p>
    <w:p w:rsidR="00000000" w:rsidRDefault="00DF5BC2">
      <w:pPr>
        <w:jc w:val="center"/>
        <w:divId w:val="318077807"/>
        <w:rPr>
          <w:rFonts w:eastAsia="Times New Roman"/>
        </w:rPr>
      </w:pPr>
      <w:r>
        <w:rPr>
          <w:rFonts w:eastAsia="Times New Roman"/>
          <w:color w:val="000000"/>
          <w:sz w:val="20"/>
          <w:szCs w:val="20"/>
        </w:rPr>
        <w:t>16</w:t>
      </w:r>
    </w:p>
    <w:p w:rsidR="00000000" w:rsidRDefault="00DF5BC2">
      <w:pPr>
        <w:rPr>
          <w:rFonts w:eastAsia="Times New Roman"/>
        </w:rPr>
      </w:pPr>
      <w:r>
        <w:rPr>
          <w:rFonts w:eastAsia="Times New Roman"/>
        </w:rPr>
        <w:pict>
          <v:rect id="_x0000_i1042" style="width:0;height:1.5pt" o:hralign="center" o:hrstd="t" o:hr="t" fillcolor="#a0a0a0" stroked="f"/>
        </w:pict>
      </w:r>
    </w:p>
    <w:p w:rsidR="00000000" w:rsidRDefault="00DF5BC2">
      <w:pPr>
        <w:divId w:val="868756251"/>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926306899"/>
        <w:rPr>
          <w:rFonts w:eastAsia="Times New Roman"/>
        </w:rPr>
      </w:pPr>
      <w:r>
        <w:rPr>
          <w:rFonts w:eastAsia="Times New Roman"/>
          <w:color w:val="000000"/>
          <w:sz w:val="20"/>
          <w:szCs w:val="20"/>
        </w:rPr>
        <w:t xml:space="preserve">general partner of the Partnership for cause. </w:t>
      </w:r>
      <w:r>
        <w:rPr>
          <w:rFonts w:eastAsia="Times New Roman"/>
          <w:color w:val="000000"/>
          <w:sz w:val="20"/>
          <w:szCs w:val="20"/>
        </w:rPr>
        <w:t>If the General Partner ceases to serve as the general partner of the Partnership other than for cause, the General Partner has the option to terminate its license agreement upon payment of a fee to AmeriGas Propane, L.P. equal to the fair market value of t</w:t>
      </w:r>
      <w:r>
        <w:rPr>
          <w:rFonts w:eastAsia="Times New Roman"/>
          <w:color w:val="000000"/>
          <w:sz w:val="20"/>
          <w:szCs w:val="20"/>
        </w:rPr>
        <w:t>he licensed trade names. UGI has a similar termination option; however, UGI must provide 12 months’ prior notice in addition to paying the fee to AmeriGas OLP. UGI and the General Partner each also have the right to terminate its respective license agreeme</w:t>
      </w:r>
      <w:r>
        <w:rPr>
          <w:rFonts w:eastAsia="Times New Roman"/>
          <w:color w:val="000000"/>
          <w:sz w:val="20"/>
          <w:szCs w:val="20"/>
        </w:rPr>
        <w:t>nt in order to settle any claim of infringement, unfair competition or similar claim or if the agreement has been materially breached without appropriate cure.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Seasonality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Because many customers use propane for heating purposes, AmeriGas Propane’s reta</w:t>
      </w:r>
      <w:r>
        <w:rPr>
          <w:rFonts w:eastAsia="Times New Roman"/>
          <w:color w:val="000000"/>
          <w:sz w:val="20"/>
          <w:szCs w:val="20"/>
        </w:rPr>
        <w:t>il sales volume is seasonal. During Fiscal 2021, approximately 65% of the Partnership’s retail sales volume occurred, and substantially all of AmeriGas Propane’s operating income was earned, during the peak heating season from October through March. As a r</w:t>
      </w:r>
      <w:r>
        <w:rPr>
          <w:rFonts w:eastAsia="Times New Roman"/>
          <w:color w:val="000000"/>
          <w:sz w:val="20"/>
          <w:szCs w:val="20"/>
        </w:rPr>
        <w:t>esult of this seasonality, revenues are typically higher in AmeriGas Propane’s first and second fiscal quarters (October 1 through March 31). Cash receipts are generally greatest during the second and third fiscal quarters when customers pay for propane pu</w:t>
      </w:r>
      <w:r>
        <w:rPr>
          <w:rFonts w:eastAsia="Times New Roman"/>
          <w:color w:val="000000"/>
          <w:sz w:val="20"/>
          <w:szCs w:val="20"/>
        </w:rPr>
        <w:t>rchased during the winter heating season. As a result of the AmeriGas Merger, we expect that UGI will continue to derive a greater percentage of its earnings during the peak heating season of October through March. For more information on the risks associa</w:t>
      </w:r>
      <w:r>
        <w:rPr>
          <w:rFonts w:eastAsia="Times New Roman"/>
          <w:color w:val="000000"/>
          <w:sz w:val="20"/>
          <w:szCs w:val="20"/>
        </w:rPr>
        <w:t>ted with the seasonality of our business, see “Risk Factors - Our business is seasonal and decreases in the demand for our energy products and services because of warmer-than-normal heating season weather or unfavorable weather conditions may adversely aff</w:t>
      </w:r>
      <w:r>
        <w:rPr>
          <w:rFonts w:eastAsia="Times New Roman"/>
          <w:color w:val="000000"/>
          <w:sz w:val="20"/>
          <w:szCs w:val="20"/>
        </w:rPr>
        <w:t xml:space="preserve">ect our results of operations.” </w:t>
      </w:r>
    </w:p>
    <w:p w:rsidR="00000000" w:rsidRDefault="00DF5BC2">
      <w:pPr>
        <w:ind w:firstLine="270"/>
        <w:jc w:val="both"/>
        <w:rPr>
          <w:rFonts w:eastAsia="Times New Roman"/>
        </w:rPr>
      </w:pPr>
    </w:p>
    <w:p w:rsidR="00000000" w:rsidRDefault="00DF5BC2">
      <w:pPr>
        <w:jc w:val="both"/>
        <w:rPr>
          <w:rFonts w:eastAsia="Times New Roman"/>
        </w:rPr>
      </w:pPr>
      <w:r>
        <w:rPr>
          <w:rFonts w:eastAsia="Times New Roman"/>
          <w:color w:val="000000"/>
          <w:sz w:val="20"/>
          <w:szCs w:val="20"/>
        </w:rPr>
        <w:t>Sales volume for AmeriGas Propane traditionally fluctuates from year-to-year in response to variations in weather, prices, competition, customer mix and other factors, such as conservation efforts and general economic con</w:t>
      </w:r>
      <w:r>
        <w:rPr>
          <w:rFonts w:eastAsia="Times New Roman"/>
          <w:color w:val="000000"/>
          <w:sz w:val="20"/>
          <w:szCs w:val="20"/>
        </w:rPr>
        <w:t>ditions. For information on national weather statistics, see “Management’s Discussion and Analysis of Financial Condition and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Government Regulation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AmeriGas Propane is subject to various federal, state and local environmental, h</w:t>
      </w:r>
      <w:r>
        <w:rPr>
          <w:rFonts w:eastAsia="Times New Roman"/>
          <w:color w:val="000000"/>
          <w:sz w:val="20"/>
          <w:szCs w:val="20"/>
        </w:rPr>
        <w:t xml:space="preserve">ealth, safety and transportation laws and regulations governing the storage, distribution and transportation of propane and the operation of bulk storage propane terminals.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Environmental</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Generally, applicable environmental laws impose limitations on t</w:t>
      </w:r>
      <w:r>
        <w:rPr>
          <w:rFonts w:eastAsia="Times New Roman"/>
          <w:color w:val="000000"/>
          <w:sz w:val="20"/>
          <w:szCs w:val="20"/>
        </w:rPr>
        <w:t>he discharge of pollutants, establish standards for the handling of solid and hazardous substances, and require the investigation and cleanup of environmental contamination. These laws include, among others, the Resource Conservation and Recovery Act, CERC</w:t>
      </w:r>
      <w:r>
        <w:rPr>
          <w:rFonts w:eastAsia="Times New Roman"/>
          <w:color w:val="000000"/>
          <w:sz w:val="20"/>
          <w:szCs w:val="20"/>
        </w:rPr>
        <w:t xml:space="preserve">LA, the Clean Air Act, the Clean Water Act, the Homeland Security Act of 2002, the Emergency Planning and Community Right-to-Know Act, comparable state statutes and any applicable amendments. The Partnership incurs expenses associated with compliance with </w:t>
      </w:r>
      <w:r>
        <w:rPr>
          <w:rFonts w:eastAsia="Times New Roman"/>
          <w:color w:val="000000"/>
          <w:sz w:val="20"/>
          <w:szCs w:val="20"/>
        </w:rPr>
        <w:t xml:space="preserve">its obligations under federal and state environmental laws and regulations, and we believe that the Partnership is in material compliance with its obligations. The Partnership maintains various permits that are necessary to operate its facilities, some of </w:t>
      </w:r>
      <w:r>
        <w:rPr>
          <w:rFonts w:eastAsia="Times New Roman"/>
          <w:color w:val="000000"/>
          <w:sz w:val="20"/>
          <w:szCs w:val="20"/>
        </w:rPr>
        <w:t>which may be material to its operations. AmeriGas Propane continually monitors its operations with respect to potential environmental issues, including changes in legal requirements.</w:t>
      </w:r>
    </w:p>
    <w:p w:rsidR="00000000" w:rsidRDefault="00DF5BC2">
      <w:pPr>
        <w:ind w:firstLine="270"/>
        <w:jc w:val="both"/>
        <w:rPr>
          <w:rFonts w:eastAsia="Times New Roman"/>
        </w:rPr>
      </w:pPr>
    </w:p>
    <w:p w:rsidR="00000000" w:rsidRDefault="00DF5BC2">
      <w:pPr>
        <w:jc w:val="both"/>
        <w:rPr>
          <w:rFonts w:eastAsia="Times New Roman"/>
        </w:rPr>
      </w:pPr>
      <w:r>
        <w:rPr>
          <w:rFonts w:eastAsia="Times New Roman"/>
          <w:color w:val="000000"/>
          <w:sz w:val="20"/>
          <w:szCs w:val="20"/>
        </w:rPr>
        <w:t>AmeriGas Propane is investigating and remediating contamination at a nu</w:t>
      </w:r>
      <w:r>
        <w:rPr>
          <w:rFonts w:eastAsia="Times New Roman"/>
          <w:color w:val="000000"/>
          <w:sz w:val="20"/>
          <w:szCs w:val="20"/>
        </w:rPr>
        <w:t>mber of present and former operating sites in the U.S., including sites where its predecessor entities operated manufactured gas plants. CERCLA and similar state laws impose joint and several liability on certain classes of persons considered to have contr</w:t>
      </w:r>
      <w:r>
        <w:rPr>
          <w:rFonts w:eastAsia="Times New Roman"/>
          <w:color w:val="000000"/>
          <w:sz w:val="20"/>
          <w:szCs w:val="20"/>
        </w:rPr>
        <w:t>ibuted to the release or threatened release of a “hazardous substance” into the environment without regard to fault or the legality of the original conduct. Propane is not a hazardous substance within the meaning of CERCLA.</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Health and Safety</w:t>
      </w:r>
    </w:p>
    <w:p w:rsidR="00000000" w:rsidRDefault="00DF5BC2">
      <w:pPr>
        <w:jc w:val="both"/>
        <w:divId w:val="1803184272"/>
        <w:rPr>
          <w:rFonts w:eastAsia="Times New Roman"/>
        </w:rPr>
      </w:pPr>
      <w:r>
        <w:rPr>
          <w:rFonts w:eastAsia="Times New Roman"/>
          <w:color w:val="000000"/>
          <w:sz w:val="20"/>
          <w:szCs w:val="20"/>
        </w:rPr>
        <w:t>AmeriGas Pro</w:t>
      </w:r>
      <w:r>
        <w:rPr>
          <w:rFonts w:eastAsia="Times New Roman"/>
          <w:color w:val="000000"/>
          <w:sz w:val="20"/>
          <w:szCs w:val="20"/>
        </w:rPr>
        <w:t>pane is subject to the requirements of OSHA and comparable state laws that regulate the protection of the health and safety of our workers. These laws require the Partnership, among other things, to maintain information about materials, some of which may b</w:t>
      </w:r>
      <w:r>
        <w:rPr>
          <w:rFonts w:eastAsia="Times New Roman"/>
          <w:color w:val="000000"/>
          <w:sz w:val="20"/>
          <w:szCs w:val="20"/>
        </w:rPr>
        <w:t>e hazardous or toxic, that are used, released, or produced in the course of our operations. Certain portions of this information must be provided to employees, federal and state and local governmental authorities and responders, commercial and industrial c</w:t>
      </w:r>
      <w:r>
        <w:rPr>
          <w:rFonts w:eastAsia="Times New Roman"/>
          <w:color w:val="000000"/>
          <w:sz w:val="20"/>
          <w:szCs w:val="20"/>
        </w:rPr>
        <w:t>ustomers and local citizens in accordance with applicable federal and state Emergency Planning and Community Right-to-Know Act requirements. AmeriGas Propane’s operations are also subject to federal safety hazard communication requirements and reporting ob</w:t>
      </w:r>
      <w:r>
        <w:rPr>
          <w:rFonts w:eastAsia="Times New Roman"/>
          <w:color w:val="000000"/>
          <w:sz w:val="20"/>
          <w:szCs w:val="20"/>
        </w:rPr>
        <w:t>ligations.</w:t>
      </w:r>
    </w:p>
    <w:p w:rsidR="00000000" w:rsidRDefault="00DF5BC2">
      <w:pPr>
        <w:jc w:val="both"/>
        <w:rPr>
          <w:rFonts w:eastAsia="Times New Roman"/>
        </w:rPr>
      </w:pPr>
    </w:p>
    <w:p w:rsidR="00000000" w:rsidRDefault="00DF5BC2">
      <w:pPr>
        <w:jc w:val="center"/>
        <w:divId w:val="189298879"/>
        <w:rPr>
          <w:rFonts w:eastAsia="Times New Roman"/>
        </w:rPr>
      </w:pPr>
      <w:r>
        <w:rPr>
          <w:rFonts w:eastAsia="Times New Roman"/>
          <w:color w:val="000000"/>
          <w:sz w:val="20"/>
          <w:szCs w:val="20"/>
        </w:rPr>
        <w:t>17</w:t>
      </w:r>
    </w:p>
    <w:p w:rsidR="00000000" w:rsidRDefault="00DF5BC2">
      <w:pPr>
        <w:rPr>
          <w:rFonts w:eastAsia="Times New Roman"/>
        </w:rPr>
      </w:pPr>
      <w:r>
        <w:rPr>
          <w:rFonts w:eastAsia="Times New Roman"/>
        </w:rPr>
        <w:pict>
          <v:rect id="_x0000_i1043" style="width:0;height:1.5pt" o:hralign="center" o:hrstd="t" o:hr="t" fillcolor="#a0a0a0" stroked="f"/>
        </w:pict>
      </w:r>
    </w:p>
    <w:p w:rsidR="00000000" w:rsidRDefault="00DF5BC2">
      <w:pPr>
        <w:divId w:val="868491494"/>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All states in which AmeriGas Propane operates have adopted fire safety codes that regulate the storage, distribution, and use of</w:t>
      </w:r>
      <w:r>
        <w:rPr>
          <w:rFonts w:eastAsia="Times New Roman"/>
          <w:color w:val="000000"/>
          <w:sz w:val="20"/>
          <w:szCs w:val="20"/>
        </w:rPr>
        <w:t xml:space="preserve"> propane. In some states, these laws are administered by state agencies, and in others they are administered on a municipal level. AmeriGas Propane conducts training programs to help ensure that its operations are in compliance with applicable governmental</w:t>
      </w:r>
      <w:r>
        <w:rPr>
          <w:rFonts w:eastAsia="Times New Roman"/>
          <w:color w:val="000000"/>
          <w:sz w:val="20"/>
          <w:szCs w:val="20"/>
        </w:rPr>
        <w:t xml:space="preserve"> regulations. With respect to general operations, AmeriGas Propane is subject in all jurisdictions in which it operates to rules and procedures governing the safe handling of propane, including those established by National Fire Protection Association Pamp</w:t>
      </w:r>
      <w:r>
        <w:rPr>
          <w:rFonts w:eastAsia="Times New Roman"/>
          <w:color w:val="000000"/>
          <w:sz w:val="20"/>
          <w:szCs w:val="20"/>
        </w:rPr>
        <w:t>hlets No. 54 and No. 58, various state, local and international codes (including international fire, building and fuel gas codes), and OSHA fall protection standards. Management believes that the policies and procedures currently in effect at all of its fa</w:t>
      </w:r>
      <w:r>
        <w:rPr>
          <w:rFonts w:eastAsia="Times New Roman"/>
          <w:color w:val="000000"/>
          <w:sz w:val="20"/>
          <w:szCs w:val="20"/>
        </w:rPr>
        <w:t>cilities for the handling, storage, distribution and use of propane, as well as its fall protection standards, are consistent with industry standards and are in compliance, in all material respects, with applicable laws and regulations.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With respect to the transportation of propane by truck, AmeriGas Propane is subject to regulations promulgated under federal legislation, including the Federal Motor Carrier Safety Act, the Hazardous Materials &amp; Transportation Act and the Homeland Security</w:t>
      </w:r>
      <w:r>
        <w:rPr>
          <w:rFonts w:eastAsia="Times New Roman"/>
          <w:color w:val="000000"/>
          <w:sz w:val="20"/>
          <w:szCs w:val="20"/>
        </w:rPr>
        <w:t xml:space="preserve"> Act of 2002. Regulations under these statutes cover the security and transportation of hazardous materials, including propane for purposes of these regulations, and are administered by the Pipeline and Hazardous Materials Safety Administration of the DOT.</w:t>
      </w:r>
      <w:r>
        <w:rPr>
          <w:rFonts w:eastAsia="Times New Roman"/>
          <w:color w:val="000000"/>
          <w:sz w:val="20"/>
          <w:szCs w:val="20"/>
        </w:rPr>
        <w:t xml:space="preserve"> The Natural Gas Safety Act of 1968 required the DOT to develop and enforce minimum safety regulations for the transportation of gases by pipeline. The DOT's pipeline safety regulations apply to, among other things, a propane gas system that supplies 10 or</w:t>
      </w:r>
      <w:r>
        <w:rPr>
          <w:rFonts w:eastAsia="Times New Roman"/>
          <w:color w:val="000000"/>
          <w:sz w:val="20"/>
          <w:szCs w:val="20"/>
        </w:rPr>
        <w:t xml:space="preserve"> more residential customers or two or more commercial customers from a single source and to a propane gas system any portion of which is located in a public place. The DOT’s pipeline safety regulations require operators of all gas systems to provide operat</w:t>
      </w:r>
      <w:r>
        <w:rPr>
          <w:rFonts w:eastAsia="Times New Roman"/>
          <w:color w:val="000000"/>
          <w:sz w:val="20"/>
          <w:szCs w:val="20"/>
        </w:rPr>
        <w:t>or qualification standards and training and written instructions for employees and third party contractors working on covered pipelines and facilities, establish written procedures to minimize the hazards resulting from gas pipeline emergencies, and conduc</w:t>
      </w:r>
      <w:r>
        <w:rPr>
          <w:rFonts w:eastAsia="Times New Roman"/>
          <w:color w:val="000000"/>
          <w:sz w:val="20"/>
          <w:szCs w:val="20"/>
        </w:rPr>
        <w:t>t and keep records of inspections and testing. Operators are subject to the Pipeline Safety Improvement Act of 2002. Management believes that the procedures currently in effect at all of AmeriGas Propane’s facilities for the handling, storage, transportati</w:t>
      </w:r>
      <w:r>
        <w:rPr>
          <w:rFonts w:eastAsia="Times New Roman"/>
          <w:color w:val="000000"/>
          <w:sz w:val="20"/>
          <w:szCs w:val="20"/>
        </w:rPr>
        <w:t>on and distribution of propane are consistent with industry standards and are in compliance, in all material respects, with applicable laws and regulations.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Climate Change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There continues to be concern, both nationally and internationally, about climat</w:t>
      </w:r>
      <w:r>
        <w:rPr>
          <w:rFonts w:eastAsia="Times New Roman"/>
          <w:color w:val="000000"/>
          <w:sz w:val="20"/>
          <w:szCs w:val="20"/>
        </w:rPr>
        <w:t>e change and the contribution of GHG emissions, most notably carbon dioxide, to global warming. Because propane is considered a clean alternative fuel under the federal Clean Air Act Amendments of 1990, the Partnership anticipates that this will provide it</w:t>
      </w:r>
      <w:r>
        <w:rPr>
          <w:rFonts w:eastAsia="Times New Roman"/>
          <w:color w:val="000000"/>
          <w:sz w:val="20"/>
          <w:szCs w:val="20"/>
        </w:rPr>
        <w:t xml:space="preserve"> with a competitive advantage over other sources of energy, such as fuel oil and coal, to the extent new climate change regulations become effective. At the same time, increased regulation of GHG emissions, especially in the transportation sector, could im</w:t>
      </w:r>
      <w:r>
        <w:rPr>
          <w:rFonts w:eastAsia="Times New Roman"/>
          <w:color w:val="000000"/>
          <w:sz w:val="20"/>
          <w:szCs w:val="20"/>
        </w:rPr>
        <w:t>pose significant additional costs on AmeriGas Propane, its suppliers, its vendors and its customers. In recent years, there has been an increase in state initiatives aimed at regulating GHG emissions. For example, the California Environmental Protection Ag</w:t>
      </w:r>
      <w:r>
        <w:rPr>
          <w:rFonts w:eastAsia="Times New Roman"/>
          <w:color w:val="000000"/>
          <w:sz w:val="20"/>
          <w:szCs w:val="20"/>
        </w:rPr>
        <w:t>ency established a Cap &amp; Trade program that requires certain covered entities, including propane distribution companies, to purchase allowances to compensate for the GHG emissions created by their business operations. Compliance with these types of regulat</w:t>
      </w:r>
      <w:r>
        <w:rPr>
          <w:rFonts w:eastAsia="Times New Roman"/>
          <w:color w:val="000000"/>
          <w:sz w:val="20"/>
          <w:szCs w:val="20"/>
        </w:rPr>
        <w:t xml:space="preserve">ions may increase our operating costs if we are unable to pass on these costs to our customers.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Employees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Partnership does not directly employ any persons responsible for managing or operating the Partnership. The General Partner provides these se</w:t>
      </w:r>
      <w:r>
        <w:rPr>
          <w:rFonts w:eastAsia="Times New Roman"/>
          <w:color w:val="000000"/>
          <w:sz w:val="20"/>
          <w:szCs w:val="20"/>
        </w:rPr>
        <w:t>rvices and is reimbursed for its direct and indirect costs and expenses, including all compensation and benefit costs. At September 30, 2021, the General Partner had approximately 5,800 employees, including more than 100 part-time, seasonal and temporary e</w:t>
      </w:r>
      <w:r>
        <w:rPr>
          <w:rFonts w:eastAsia="Times New Roman"/>
          <w:color w:val="000000"/>
          <w:sz w:val="20"/>
          <w:szCs w:val="20"/>
        </w:rPr>
        <w:t>mployees, working on behalf of the Partnership. UGI also performs, and is reimbursed for, certain financial and administrative services on behalf of the Partnership and AmeriGas OLP.</w:t>
      </w:r>
    </w:p>
    <w:p w:rsidR="00000000" w:rsidRDefault="00DF5BC2">
      <w:pPr>
        <w:jc w:val="both"/>
        <w:rPr>
          <w:rFonts w:eastAsia="Times New Roman"/>
        </w:rPr>
      </w:pPr>
    </w:p>
    <w:p w:rsidR="00000000" w:rsidRDefault="00DF5BC2">
      <w:pPr>
        <w:jc w:val="center"/>
        <w:rPr>
          <w:rFonts w:eastAsia="Times New Roman"/>
        </w:rPr>
      </w:pPr>
      <w:r>
        <w:rPr>
          <w:rFonts w:eastAsia="Times New Roman"/>
          <w:b/>
          <w:bCs/>
          <w:color w:val="000000"/>
          <w:sz w:val="20"/>
          <w:szCs w:val="20"/>
        </w:rPr>
        <w:t>UGI INTERNATIONAL</w:t>
      </w:r>
    </w:p>
    <w:p w:rsidR="00000000" w:rsidRDefault="00DF5BC2">
      <w:pPr>
        <w:jc w:val="both"/>
        <w:rPr>
          <w:rFonts w:eastAsia="Times New Roman"/>
        </w:rPr>
      </w:pPr>
    </w:p>
    <w:p w:rsidR="00000000" w:rsidRDefault="00DF5BC2">
      <w:pPr>
        <w:jc w:val="both"/>
        <w:divId w:val="1915971019"/>
        <w:rPr>
          <w:rFonts w:eastAsia="Times New Roman"/>
        </w:rPr>
      </w:pPr>
      <w:r>
        <w:rPr>
          <w:rFonts w:eastAsia="Times New Roman"/>
          <w:color w:val="000000"/>
          <w:sz w:val="20"/>
          <w:szCs w:val="20"/>
        </w:rPr>
        <w:t>UGI International, through subsidiaries and affilia</w:t>
      </w:r>
      <w:r>
        <w:rPr>
          <w:rFonts w:eastAsia="Times New Roman"/>
          <w:color w:val="000000"/>
          <w:sz w:val="20"/>
          <w:szCs w:val="20"/>
        </w:rPr>
        <w:t>tes, conducts (i) an LPG distribution business in 17 countries throughout Europe (Austria, Belgium, the Czech Republic, Denmark, Finland, France, Hungary, Italy, Luxembourg, the Netherlands, Norway, Poland, Romania, Slovakia, Sweden, Switzerland and the Un</w:t>
      </w:r>
      <w:r>
        <w:rPr>
          <w:rFonts w:eastAsia="Times New Roman"/>
          <w:color w:val="000000"/>
          <w:sz w:val="20"/>
          <w:szCs w:val="20"/>
        </w:rPr>
        <w:t>ited Kingdom), and (ii) an energy marketing business in France, Belgium, the Netherlands and the United Kingdom. Based on market volumes for 2020, which is the most recent information available, UGI International believes that it is the largest distributor</w:t>
      </w:r>
      <w:r>
        <w:rPr>
          <w:rFonts w:eastAsia="Times New Roman"/>
          <w:color w:val="000000"/>
          <w:sz w:val="20"/>
          <w:szCs w:val="20"/>
        </w:rPr>
        <w:t xml:space="preserve"> of LPG in France, Austria, Belgium, Denmark, Luxembourg, Norway and Hungary and one of the largest distributors of LPG in Poland, the Czech Republic, Slovakia, the Netherlands and Sweden. </w:t>
      </w:r>
    </w:p>
    <w:p w:rsidR="00000000" w:rsidRDefault="00DF5BC2">
      <w:pPr>
        <w:jc w:val="center"/>
        <w:divId w:val="1398240050"/>
        <w:rPr>
          <w:rFonts w:eastAsia="Times New Roman"/>
        </w:rPr>
      </w:pPr>
      <w:r>
        <w:rPr>
          <w:rFonts w:eastAsia="Times New Roman"/>
          <w:color w:val="000000"/>
          <w:sz w:val="20"/>
          <w:szCs w:val="20"/>
        </w:rPr>
        <w:t>18</w:t>
      </w:r>
    </w:p>
    <w:p w:rsidR="00000000" w:rsidRDefault="00DF5BC2">
      <w:pPr>
        <w:rPr>
          <w:rFonts w:eastAsia="Times New Roman"/>
        </w:rPr>
      </w:pPr>
      <w:r>
        <w:rPr>
          <w:rFonts w:eastAsia="Times New Roman"/>
        </w:rPr>
        <w:pict>
          <v:rect id="_x0000_i1044" style="width:0;height:1.5pt" o:hralign="center" o:hrstd="t" o:hr="t" fillcolor="#a0a0a0" stroked="f"/>
        </w:pict>
      </w:r>
    </w:p>
    <w:p w:rsidR="00000000" w:rsidRDefault="00DF5BC2">
      <w:pPr>
        <w:divId w:val="398554410"/>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441726101"/>
        <w:rPr>
          <w:rFonts w:eastAsia="Times New Roman"/>
        </w:rPr>
      </w:pPr>
      <w:r>
        <w:rPr>
          <w:rFonts w:eastAsia="Times New Roman"/>
          <w:b/>
          <w:bCs/>
          <w:i/>
          <w:iCs/>
          <w:color w:val="000000"/>
          <w:sz w:val="20"/>
          <w:szCs w:val="20"/>
        </w:rPr>
        <w:t>Products, Services and Marketing</w:t>
      </w:r>
      <w:r>
        <w:rPr>
          <w:rFonts w:eastAsia="Times New Roman"/>
          <w:color w:val="000000"/>
          <w:sz w:val="20"/>
          <w:szCs w:val="20"/>
        </w:rPr>
        <w:t xml:space="preserve"> </w:t>
      </w:r>
    </w:p>
    <w:p w:rsidR="00000000" w:rsidRDefault="00DF5BC2">
      <w:pPr>
        <w:jc w:val="both"/>
        <w:divId w:val="1425498121"/>
        <w:rPr>
          <w:rFonts w:eastAsia="Times New Roman"/>
        </w:rPr>
      </w:pPr>
      <w:r>
        <w:rPr>
          <w:rFonts w:eastAsia="Times New Roman"/>
          <w:color w:val="000000"/>
          <w:sz w:val="20"/>
          <w:szCs w:val="20"/>
          <w:u w:val="single"/>
        </w:rPr>
        <w:t>LPG Distribution Business</w:t>
      </w:r>
    </w:p>
    <w:p w:rsidR="00000000" w:rsidRDefault="00DF5BC2">
      <w:pPr>
        <w:jc w:val="both"/>
        <w:divId w:val="1544709866"/>
        <w:rPr>
          <w:rFonts w:eastAsia="Times New Roman"/>
        </w:rPr>
      </w:pPr>
      <w:r>
        <w:rPr>
          <w:rFonts w:eastAsia="Times New Roman"/>
          <w:color w:val="000000"/>
          <w:sz w:val="20"/>
          <w:szCs w:val="20"/>
        </w:rPr>
        <w:t>During Fiscal 2021, UGI International sold more than 975 million gallons of LPG throughout Europe. UGI International ope</w:t>
      </w:r>
      <w:r>
        <w:rPr>
          <w:rFonts w:eastAsia="Times New Roman"/>
          <w:color w:val="000000"/>
          <w:sz w:val="20"/>
          <w:szCs w:val="20"/>
        </w:rPr>
        <w:t xml:space="preserve">rates under seven distinct LPG brands, and its customer base primarily consists of residential, commercial, industrial, agricultural, wholesale and automobile fuel (‘‘autogas’’) customers that use LPG for space heating, cooking, water heating, motor fuel, </w:t>
      </w:r>
      <w:r>
        <w:rPr>
          <w:rFonts w:eastAsia="Times New Roman"/>
          <w:color w:val="000000"/>
          <w:sz w:val="20"/>
          <w:szCs w:val="20"/>
        </w:rPr>
        <w:t>leisure activities, crop drying, irrigation, construction, power generation, manufacturing and as an aerosol propellant. For Fiscal 2021, 45% of UGI International’s LPG volume was sold to commercial and industrial customers, 19% was sold to residential, 11</w:t>
      </w:r>
      <w:r>
        <w:rPr>
          <w:rFonts w:eastAsia="Times New Roman"/>
          <w:color w:val="000000"/>
          <w:sz w:val="20"/>
          <w:szCs w:val="20"/>
        </w:rPr>
        <w:t>% was sold to agricultural and 25% was sold to wholesale and other customers (including autogas). UGI International supplies LPG to its customers in small, medium and large bulk tanks at their locations. In addition to bulk sales, UGI International sells L</w:t>
      </w:r>
      <w:r>
        <w:rPr>
          <w:rFonts w:eastAsia="Times New Roman"/>
          <w:color w:val="000000"/>
          <w:sz w:val="20"/>
          <w:szCs w:val="20"/>
        </w:rPr>
        <w:t>PG in cylinders through retail outlets, such as supermarkets, individually owned stores and gas stations and directly to businesses that operate LPG-powered forklifts. Sales of LPG are also made to service stations to fuel vehicles that run on LPG. Approxi</w:t>
      </w:r>
      <w:r>
        <w:rPr>
          <w:rFonts w:eastAsia="Times New Roman"/>
          <w:color w:val="000000"/>
          <w:sz w:val="20"/>
          <w:szCs w:val="20"/>
        </w:rPr>
        <w:t xml:space="preserve">mately 63% of Fiscal 2021 LPG sales (based on volumes) was attributed to bulk, 16% to cylinder, 19% to wholesale and 2% to autogas. For Fiscal 2021, no single customer represented more than 5% of UGI International’s revenues. </w:t>
      </w:r>
    </w:p>
    <w:p w:rsidR="00000000" w:rsidRDefault="00DF5BC2">
      <w:pPr>
        <w:jc w:val="both"/>
        <w:divId w:val="1021662581"/>
        <w:rPr>
          <w:rFonts w:eastAsia="Times New Roman"/>
        </w:rPr>
      </w:pPr>
      <w:r>
        <w:rPr>
          <w:rFonts w:eastAsia="Times New Roman"/>
          <w:i/>
          <w:iCs/>
          <w:color w:val="000000"/>
          <w:sz w:val="20"/>
          <w:szCs w:val="20"/>
        </w:rPr>
        <w:t>Bulk</w:t>
      </w:r>
    </w:p>
    <w:p w:rsidR="00000000" w:rsidRDefault="00DF5BC2">
      <w:pPr>
        <w:jc w:val="both"/>
        <w:divId w:val="2127851265"/>
        <w:rPr>
          <w:rFonts w:eastAsia="Times New Roman"/>
        </w:rPr>
      </w:pPr>
      <w:r>
        <w:rPr>
          <w:rFonts w:eastAsia="Times New Roman"/>
          <w:color w:val="000000"/>
          <w:sz w:val="20"/>
          <w:szCs w:val="20"/>
        </w:rPr>
        <w:t>UGI International classi</w:t>
      </w:r>
      <w:r>
        <w:rPr>
          <w:rFonts w:eastAsia="Times New Roman"/>
          <w:color w:val="000000"/>
          <w:sz w:val="20"/>
          <w:szCs w:val="20"/>
        </w:rPr>
        <w:t>fies its bulk customers as small, medium or large bulk, depending upon volume consumed annually at the customer locations. Based on volumes consumed, small bulk customers are primarily residential and small business users, such as restaurants, that use LPG</w:t>
      </w:r>
      <w:r>
        <w:rPr>
          <w:rFonts w:eastAsia="Times New Roman"/>
          <w:color w:val="000000"/>
          <w:sz w:val="20"/>
          <w:szCs w:val="20"/>
        </w:rPr>
        <w:t xml:space="preserve"> mainly for heating and cooking. Medium bulk customers consist mainly of large residential housing developments, hospitals, hotels, municipalities, medium-sized industrial enterprises and poultry brooders. Large bulk customers include agricultural customer</w:t>
      </w:r>
      <w:r>
        <w:rPr>
          <w:rFonts w:eastAsia="Times New Roman"/>
          <w:color w:val="000000"/>
          <w:sz w:val="20"/>
          <w:szCs w:val="20"/>
        </w:rPr>
        <w:t>s (including crop drying) and companies that use LPG in their industrial processes. At September 30, 2021, UGI International had approximately 517,000 bulk LPG customers and sold more than 610 million gallons of bulk LPG during Fiscal 2021.</w:t>
      </w:r>
    </w:p>
    <w:p w:rsidR="00000000" w:rsidRDefault="00DF5BC2">
      <w:pPr>
        <w:jc w:val="both"/>
        <w:divId w:val="352457820"/>
        <w:rPr>
          <w:rFonts w:eastAsia="Times New Roman"/>
        </w:rPr>
      </w:pPr>
      <w:r>
        <w:rPr>
          <w:rFonts w:eastAsia="Times New Roman"/>
          <w:i/>
          <w:iCs/>
          <w:color w:val="000000"/>
          <w:sz w:val="20"/>
          <w:szCs w:val="20"/>
        </w:rPr>
        <w:t>Cylinder</w:t>
      </w:r>
    </w:p>
    <w:p w:rsidR="00000000" w:rsidRDefault="00DF5BC2">
      <w:pPr>
        <w:jc w:val="both"/>
        <w:divId w:val="512188888"/>
        <w:rPr>
          <w:rFonts w:eastAsia="Times New Roman"/>
        </w:rPr>
      </w:pPr>
      <w:r>
        <w:rPr>
          <w:rFonts w:eastAsia="Times New Roman"/>
          <w:color w:val="000000"/>
          <w:sz w:val="20"/>
          <w:szCs w:val="20"/>
        </w:rPr>
        <w:t>UGI In</w:t>
      </w:r>
      <w:r>
        <w:rPr>
          <w:rFonts w:eastAsia="Times New Roman"/>
          <w:color w:val="000000"/>
          <w:sz w:val="20"/>
          <w:szCs w:val="20"/>
        </w:rPr>
        <w:t>ternational sells LPG in both steel and composite cylinders and typically owns the cylinders in which the LPG is sold. The principal end-users of cylinders are residential customers who use LPG for domestic applications, such as cooking and heating. Non-re</w:t>
      </w:r>
      <w:r>
        <w:rPr>
          <w:rFonts w:eastAsia="Times New Roman"/>
          <w:color w:val="000000"/>
          <w:sz w:val="20"/>
          <w:szCs w:val="20"/>
        </w:rPr>
        <w:t>sidential uses include fuel for forklift trucks, road construction and welding. At September 30, 2021, UGI International had more than 20 million cylinders in circulation and sold more than 150 million gallons of LPG in cylinders during Fiscal 2021. UGI In</w:t>
      </w:r>
      <w:r>
        <w:rPr>
          <w:rFonts w:eastAsia="Times New Roman"/>
          <w:color w:val="000000"/>
          <w:sz w:val="20"/>
          <w:szCs w:val="20"/>
        </w:rPr>
        <w:t>ternational also delivers LPG to wholesale and retail customers in cylinders, including through the use of vending machines.</w:t>
      </w:r>
    </w:p>
    <w:p w:rsidR="00000000" w:rsidRDefault="00DF5BC2">
      <w:pPr>
        <w:jc w:val="both"/>
        <w:divId w:val="1187212441"/>
        <w:rPr>
          <w:rFonts w:eastAsia="Times New Roman"/>
        </w:rPr>
      </w:pPr>
      <w:r>
        <w:rPr>
          <w:rFonts w:eastAsia="Times New Roman"/>
          <w:i/>
          <w:iCs/>
          <w:color w:val="000000"/>
          <w:sz w:val="20"/>
          <w:szCs w:val="20"/>
        </w:rPr>
        <w:t>Wholesale, Autogas and Other Services</w:t>
      </w:r>
    </w:p>
    <w:p w:rsidR="00000000" w:rsidRDefault="00DF5BC2">
      <w:pPr>
        <w:jc w:val="both"/>
        <w:divId w:val="1072921638"/>
        <w:rPr>
          <w:rFonts w:eastAsia="Times New Roman"/>
        </w:rPr>
      </w:pPr>
      <w:r>
        <w:rPr>
          <w:rFonts w:eastAsia="Times New Roman"/>
          <w:color w:val="000000"/>
          <w:sz w:val="20"/>
          <w:szCs w:val="20"/>
        </w:rPr>
        <w:t>Approximately 19% of UGI International’s Fiscal 2021 LPG sales (based on volumes) were to who</w:t>
      </w:r>
      <w:r>
        <w:rPr>
          <w:rFonts w:eastAsia="Times New Roman"/>
          <w:color w:val="000000"/>
          <w:sz w:val="20"/>
          <w:szCs w:val="20"/>
        </w:rPr>
        <w:t xml:space="preserve">lesale customers (including small competitors and large industrial customers), and approximately 2% of Fiscal 2021 LPG sales (based on volumes) were to autogas customers. UGI International also provides logistics, storage and other services to third-party </w:t>
      </w:r>
      <w:r>
        <w:rPr>
          <w:rFonts w:eastAsia="Times New Roman"/>
          <w:color w:val="000000"/>
          <w:sz w:val="20"/>
          <w:szCs w:val="20"/>
        </w:rPr>
        <w:t xml:space="preserve">LPG distributors. </w:t>
      </w:r>
    </w:p>
    <w:p w:rsidR="00000000" w:rsidRDefault="00DF5BC2">
      <w:pPr>
        <w:jc w:val="both"/>
        <w:divId w:val="2015254667"/>
        <w:rPr>
          <w:rFonts w:eastAsia="Times New Roman"/>
        </w:rPr>
      </w:pPr>
      <w:r>
        <w:rPr>
          <w:rFonts w:eastAsia="Times New Roman"/>
          <w:color w:val="000000"/>
          <w:sz w:val="20"/>
          <w:szCs w:val="20"/>
          <w:u w:val="single"/>
        </w:rPr>
        <w:t>Energy Marketing Business</w:t>
      </w:r>
    </w:p>
    <w:p w:rsidR="00000000" w:rsidRDefault="00DF5BC2">
      <w:pPr>
        <w:jc w:val="both"/>
        <w:divId w:val="1648122346"/>
        <w:rPr>
          <w:rFonts w:eastAsia="Times New Roman"/>
        </w:rPr>
      </w:pPr>
      <w:r>
        <w:rPr>
          <w:rFonts w:eastAsia="Times New Roman"/>
          <w:color w:val="000000"/>
          <w:sz w:val="20"/>
          <w:szCs w:val="20"/>
        </w:rPr>
        <w:t>UGI International markets and supplies natural gas and electricity to small and medium enterprises, schools and municipalities through third-party distribution systems. UGI International started developing its e</w:t>
      </w:r>
      <w:r>
        <w:rPr>
          <w:rFonts w:eastAsia="Times New Roman"/>
          <w:color w:val="000000"/>
          <w:sz w:val="20"/>
          <w:szCs w:val="20"/>
        </w:rPr>
        <w:t xml:space="preserve">nergy marketing business organically in 2012 and further expanded this business through the acquisition of DVEP in the Netherlands in August 2017 and continues to expand this business through strategic transactions. UGI International sold approximately 36 </w:t>
      </w:r>
      <w:r>
        <w:rPr>
          <w:rFonts w:eastAsia="Times New Roman"/>
          <w:color w:val="000000"/>
          <w:sz w:val="20"/>
          <w:szCs w:val="20"/>
        </w:rPr>
        <w:t>Bcf of natural gas and over 3,300 Gwh of electricity during Fiscal 2021.</w:t>
      </w:r>
    </w:p>
    <w:p w:rsidR="00000000" w:rsidRDefault="00DF5BC2">
      <w:pPr>
        <w:jc w:val="both"/>
        <w:divId w:val="1977834599"/>
        <w:rPr>
          <w:rFonts w:eastAsia="Times New Roman"/>
        </w:rPr>
      </w:pPr>
      <w:r>
        <w:rPr>
          <w:rFonts w:eastAsia="Times New Roman"/>
          <w:b/>
          <w:bCs/>
          <w:i/>
          <w:iCs/>
          <w:color w:val="000000"/>
          <w:sz w:val="20"/>
          <w:szCs w:val="20"/>
        </w:rPr>
        <w:t>LPG Supply, Storage and Transportation</w:t>
      </w:r>
    </w:p>
    <w:p w:rsidR="00000000" w:rsidRDefault="00DF5BC2">
      <w:pPr>
        <w:jc w:val="both"/>
        <w:divId w:val="171605020"/>
        <w:rPr>
          <w:rFonts w:eastAsia="Times New Roman"/>
        </w:rPr>
      </w:pPr>
      <w:r>
        <w:rPr>
          <w:rFonts w:eastAsia="Times New Roman"/>
          <w:color w:val="000000"/>
          <w:sz w:val="20"/>
          <w:szCs w:val="20"/>
        </w:rPr>
        <w:t>UGI International is typically party to term contracts, with more than 40 different suppliers, including producers and international oil and gas trading companies, to meet LPG supply requirements throughout Europe. LPG supply is transported via rail and se</w:t>
      </w:r>
      <w:r>
        <w:rPr>
          <w:rFonts w:eastAsia="Times New Roman"/>
          <w:color w:val="000000"/>
          <w:sz w:val="20"/>
          <w:szCs w:val="20"/>
        </w:rPr>
        <w:t>a, and by road for shorter distances. Agreements are generally one- to two-year terms with pricing based on internationally quoted market prices. Additionally, LPG is purchased on the European spot markets to manage supply needs. In certain geographic area</w:t>
      </w:r>
      <w:r>
        <w:rPr>
          <w:rFonts w:eastAsia="Times New Roman"/>
          <w:color w:val="000000"/>
          <w:sz w:val="20"/>
          <w:szCs w:val="20"/>
        </w:rPr>
        <w:t>s (the United Kingdom and Italy), a single supplier may provide 50% or more of UGI International’s requirements. Because UGI International’s profitability is sensitive to changes in wholesale LPG costs, UGI International generally seeks to pass on increase</w:t>
      </w:r>
      <w:r>
        <w:rPr>
          <w:rFonts w:eastAsia="Times New Roman"/>
          <w:color w:val="000000"/>
          <w:sz w:val="20"/>
          <w:szCs w:val="20"/>
        </w:rPr>
        <w:t>s in the cost of LPG to its customers. There can be no assurance, however, that UGI International will always be able to pass on product cost increases fully, or keep pace with such increases, particularly when product costs rise rapidly. Product cost incr</w:t>
      </w:r>
      <w:r>
        <w:rPr>
          <w:rFonts w:eastAsia="Times New Roman"/>
          <w:color w:val="000000"/>
          <w:sz w:val="20"/>
          <w:szCs w:val="20"/>
        </w:rPr>
        <w:t xml:space="preserve">eases can be triggered by periods of severe cold weather, supply interruptions, increases in the prices of base commodities such as crude oil and natural gas, or other unforeseen events. </w:t>
      </w:r>
    </w:p>
    <w:p w:rsidR="00000000" w:rsidRDefault="00DF5BC2">
      <w:pPr>
        <w:jc w:val="center"/>
        <w:divId w:val="2075472531"/>
        <w:rPr>
          <w:rFonts w:eastAsia="Times New Roman"/>
        </w:rPr>
      </w:pPr>
      <w:r>
        <w:rPr>
          <w:rFonts w:eastAsia="Times New Roman"/>
          <w:color w:val="000000"/>
          <w:sz w:val="20"/>
          <w:szCs w:val="20"/>
        </w:rPr>
        <w:t>19</w:t>
      </w:r>
    </w:p>
    <w:p w:rsidR="00000000" w:rsidRDefault="00DF5BC2">
      <w:pPr>
        <w:rPr>
          <w:rFonts w:eastAsia="Times New Roman"/>
        </w:rPr>
      </w:pPr>
      <w:r>
        <w:rPr>
          <w:rFonts w:eastAsia="Times New Roman"/>
        </w:rPr>
        <w:pict>
          <v:rect id="_x0000_i1045" style="width:0;height:1.5pt" o:hralign="center" o:hrstd="t" o:hr="t" fillcolor="#a0a0a0" stroked="f"/>
        </w:pict>
      </w:r>
    </w:p>
    <w:p w:rsidR="00000000" w:rsidRDefault="00DF5BC2">
      <w:pPr>
        <w:divId w:val="1328827437"/>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410546842"/>
        <w:rPr>
          <w:rFonts w:eastAsia="Times New Roman"/>
        </w:rPr>
      </w:pPr>
      <w:r>
        <w:rPr>
          <w:rFonts w:eastAsia="Times New Roman"/>
          <w:color w:val="000000"/>
          <w:sz w:val="20"/>
          <w:szCs w:val="20"/>
        </w:rPr>
        <w:t xml:space="preserve">Throughout Fiscal 2021, propane and butane production reduction continued to occur at refineries due to COVID-19 related demand decreases on primary fuels such as jet, gasoline and diesel. Reductions started </w:t>
      </w:r>
      <w:r>
        <w:rPr>
          <w:rFonts w:eastAsia="Times New Roman"/>
          <w:color w:val="000000"/>
          <w:sz w:val="20"/>
          <w:szCs w:val="20"/>
        </w:rPr>
        <w:t>in April 2020 and continued at varying levels through Fiscal 2021. The severity of reductions varied across the European market and the return of production to normal levels has also varied. Production has returned to normal at some refineries, while other</w:t>
      </w:r>
      <w:r>
        <w:rPr>
          <w:rFonts w:eastAsia="Times New Roman"/>
          <w:color w:val="000000"/>
          <w:sz w:val="20"/>
          <w:szCs w:val="20"/>
        </w:rPr>
        <w:t xml:space="preserve"> refineries continue to operate at lower rates, and some have permanently ceased operations.</w:t>
      </w:r>
    </w:p>
    <w:p w:rsidR="00000000" w:rsidRDefault="00DF5BC2">
      <w:pPr>
        <w:jc w:val="both"/>
        <w:rPr>
          <w:rFonts w:eastAsia="Times New Roman"/>
        </w:rPr>
      </w:pPr>
      <w:r>
        <w:rPr>
          <w:rFonts w:eastAsia="Times New Roman"/>
          <w:color w:val="000000"/>
          <w:sz w:val="20"/>
          <w:szCs w:val="20"/>
        </w:rPr>
        <w:t xml:space="preserve">UGI International stores LPG at various storage facilities and terminals located across Europe and has interests in 10 primary storage facilities and more than 80 </w:t>
      </w:r>
      <w:r>
        <w:rPr>
          <w:rFonts w:eastAsia="Times New Roman"/>
          <w:color w:val="000000"/>
          <w:sz w:val="20"/>
          <w:szCs w:val="20"/>
        </w:rPr>
        <w:t>secondary storage facilities. LPG stored in primary storage facilities is transported to smaller storage facilities by rail and road. At secondary storage facilities, LPG is loaded into cylinders or trucks equipped with tanks and then delivered to customer</w:t>
      </w:r>
      <w:r>
        <w:rPr>
          <w:rFonts w:eastAsia="Times New Roman"/>
          <w:color w:val="000000"/>
          <w:sz w:val="20"/>
          <w:szCs w:val="20"/>
        </w:rPr>
        <w:t xml:space="preserve">s. UGI International also manages an extensive logistics and transportation network and has access to seaborne import facilities. </w:t>
      </w:r>
    </w:p>
    <w:p w:rsidR="00000000" w:rsidRDefault="00DF5BC2">
      <w:pPr>
        <w:jc w:val="both"/>
        <w:rPr>
          <w:rFonts w:eastAsia="Times New Roman"/>
        </w:rPr>
      </w:pPr>
    </w:p>
    <w:p w:rsidR="00000000" w:rsidRDefault="00DF5BC2">
      <w:pPr>
        <w:jc w:val="both"/>
        <w:divId w:val="768888006"/>
        <w:rPr>
          <w:rFonts w:eastAsia="Times New Roman"/>
        </w:rPr>
      </w:pPr>
      <w:r>
        <w:rPr>
          <w:rFonts w:eastAsia="Times New Roman"/>
          <w:color w:val="000000"/>
          <w:sz w:val="20"/>
          <w:szCs w:val="20"/>
        </w:rPr>
        <w:t xml:space="preserve">UGI International transports LPG to customers primarily through outsourced transportation providers to serve both bulk and </w:t>
      </w:r>
      <w:r>
        <w:rPr>
          <w:rFonts w:eastAsia="Times New Roman"/>
          <w:color w:val="000000"/>
          <w:sz w:val="20"/>
          <w:szCs w:val="20"/>
        </w:rPr>
        <w:t xml:space="preserve">cylinder markets. UGI International has long-term relationships with many providers of logistics and transportation services in most of its markets and is not dependent on the services of any single transportation provider. </w:t>
      </w:r>
    </w:p>
    <w:p w:rsidR="00000000" w:rsidRDefault="00DF5BC2">
      <w:pPr>
        <w:jc w:val="both"/>
        <w:divId w:val="1495494250"/>
        <w:rPr>
          <w:rFonts w:eastAsia="Times New Roman"/>
        </w:rPr>
      </w:pPr>
      <w:r>
        <w:rPr>
          <w:rFonts w:eastAsia="Times New Roman"/>
          <w:b/>
          <w:bCs/>
          <w:i/>
          <w:iCs/>
          <w:color w:val="000000"/>
          <w:sz w:val="20"/>
          <w:szCs w:val="20"/>
        </w:rPr>
        <w:t>Renewable Energy Projects</w:t>
      </w:r>
    </w:p>
    <w:p w:rsidR="00000000" w:rsidRDefault="00DF5BC2">
      <w:pPr>
        <w:jc w:val="both"/>
        <w:divId w:val="2023966532"/>
        <w:rPr>
          <w:rFonts w:eastAsia="Times New Roman"/>
        </w:rPr>
      </w:pPr>
      <w:r>
        <w:rPr>
          <w:rFonts w:eastAsia="Times New Roman"/>
          <w:color w:val="000000"/>
          <w:sz w:val="20"/>
          <w:szCs w:val="20"/>
        </w:rPr>
        <w:t>In Fi</w:t>
      </w:r>
      <w:r>
        <w:rPr>
          <w:rFonts w:eastAsia="Times New Roman"/>
          <w:color w:val="000000"/>
          <w:sz w:val="20"/>
          <w:szCs w:val="20"/>
        </w:rPr>
        <w:t>scal 2021, UGI International announced investments in the following renewable energy projects:</w:t>
      </w:r>
    </w:p>
    <w:p w:rsidR="00000000" w:rsidRDefault="00DF5BC2">
      <w:pPr>
        <w:ind w:hanging="360"/>
        <w:jc w:val="both"/>
        <w:divId w:val="182206696"/>
        <w:rPr>
          <w:rFonts w:eastAsia="Times New Roman"/>
        </w:rPr>
      </w:pPr>
      <w:r>
        <w:rPr>
          <w:rFonts w:eastAsia="Times New Roman"/>
          <w:color w:val="000000"/>
          <w:sz w:val="20"/>
          <w:szCs w:val="20"/>
        </w:rPr>
        <w:t>•</w:t>
      </w:r>
      <w:r>
        <w:rPr>
          <w:rFonts w:eastAsia="Times New Roman"/>
          <w:color w:val="000000"/>
          <w:sz w:val="20"/>
          <w:szCs w:val="20"/>
        </w:rPr>
        <w:t>In February 2021, UGI International entered a supply and development partnership with a Polish technology specialist in catalytic conversion of bioethanol to bio-gasoline and bioLPG for the exclusive rights to its supply of bioLPG. Notably, this product ca</w:t>
      </w:r>
      <w:r>
        <w:rPr>
          <w:rFonts w:eastAsia="Times New Roman"/>
          <w:color w:val="000000"/>
          <w:sz w:val="20"/>
          <w:szCs w:val="20"/>
        </w:rPr>
        <w:t>n be utilized by UGI International’s existing LPG entities operating across Europe.</w:t>
      </w:r>
    </w:p>
    <w:p w:rsidR="00000000" w:rsidRDefault="00DF5BC2">
      <w:pPr>
        <w:ind w:hanging="360"/>
        <w:jc w:val="both"/>
        <w:divId w:val="352999886"/>
        <w:rPr>
          <w:rFonts w:eastAsia="Times New Roman"/>
        </w:rPr>
      </w:pPr>
      <w:r>
        <w:rPr>
          <w:rFonts w:eastAsia="Times New Roman"/>
          <w:color w:val="000000"/>
          <w:sz w:val="20"/>
          <w:szCs w:val="20"/>
          <w:shd w:val="clear" w:color="auto" w:fill="FFFFFF"/>
        </w:rPr>
        <w:t>•</w:t>
      </w:r>
      <w:r>
        <w:rPr>
          <w:rFonts w:eastAsia="Times New Roman"/>
          <w:color w:val="000000"/>
          <w:sz w:val="20"/>
          <w:szCs w:val="20"/>
        </w:rPr>
        <w:t>In May 2021, UGI International announced its intention to launch a joint venture to advance the production and use of rDME, a low-carbon sustainable liquid gas, in the LPG</w:t>
      </w:r>
      <w:r>
        <w:rPr>
          <w:rFonts w:eastAsia="Times New Roman"/>
          <w:color w:val="000000"/>
          <w:sz w:val="20"/>
          <w:szCs w:val="20"/>
        </w:rPr>
        <w:t xml:space="preserve"> industry. </w:t>
      </w:r>
      <w:r>
        <w:rPr>
          <w:rFonts w:eastAsia="Times New Roman"/>
          <w:color w:val="000000"/>
          <w:sz w:val="20"/>
          <w:szCs w:val="20"/>
          <w:shd w:val="clear" w:color="auto" w:fill="FFFFFF"/>
        </w:rPr>
        <w:t xml:space="preserve">The parties anticipate the development of up to six production plants within the next five years, targeting a total production capacity of 300 kilotons of rDME per year by 2027. </w:t>
      </w:r>
    </w:p>
    <w:p w:rsidR="00000000" w:rsidRDefault="00DF5BC2">
      <w:pPr>
        <w:jc w:val="both"/>
        <w:divId w:val="1326932019"/>
        <w:rPr>
          <w:rFonts w:eastAsia="Times New Roman"/>
        </w:rPr>
      </w:pPr>
      <w:r>
        <w:rPr>
          <w:rFonts w:eastAsia="Times New Roman"/>
          <w:color w:val="000000"/>
          <w:sz w:val="20"/>
          <w:szCs w:val="20"/>
        </w:rPr>
        <w:t xml:space="preserve">We believe these projects will </w:t>
      </w:r>
      <w:r>
        <w:rPr>
          <w:rFonts w:eastAsia="Times New Roman"/>
          <w:color w:val="000000"/>
          <w:sz w:val="20"/>
          <w:szCs w:val="20"/>
          <w:shd w:val="clear" w:color="auto" w:fill="FFFFFF"/>
        </w:rPr>
        <w:t>significantly contribute to reducin</w:t>
      </w:r>
      <w:r>
        <w:rPr>
          <w:rFonts w:eastAsia="Times New Roman"/>
          <w:color w:val="000000"/>
          <w:sz w:val="20"/>
          <w:szCs w:val="20"/>
          <w:shd w:val="clear" w:color="auto" w:fill="FFFFFF"/>
        </w:rPr>
        <w:t>g UGI International’s carbon footprint and achieving its decarbonization targets.</w:t>
      </w:r>
    </w:p>
    <w:p w:rsidR="00000000" w:rsidRDefault="00DF5BC2">
      <w:pPr>
        <w:jc w:val="both"/>
        <w:divId w:val="485172244"/>
        <w:rPr>
          <w:rFonts w:eastAsia="Times New Roman"/>
        </w:rPr>
      </w:pPr>
      <w:r>
        <w:rPr>
          <w:rFonts w:eastAsia="Times New Roman"/>
          <w:b/>
          <w:bCs/>
          <w:i/>
          <w:iCs/>
          <w:color w:val="000000"/>
          <w:sz w:val="20"/>
          <w:szCs w:val="20"/>
        </w:rPr>
        <w:t>Competition and Seasonality</w:t>
      </w:r>
    </w:p>
    <w:p w:rsidR="00000000" w:rsidRDefault="00DF5BC2">
      <w:pPr>
        <w:jc w:val="both"/>
        <w:divId w:val="501314573"/>
        <w:rPr>
          <w:rFonts w:eastAsia="Times New Roman"/>
        </w:rPr>
      </w:pPr>
      <w:r>
        <w:rPr>
          <w:rFonts w:eastAsia="Times New Roman"/>
          <w:color w:val="000000"/>
          <w:sz w:val="20"/>
          <w:szCs w:val="20"/>
        </w:rPr>
        <w:t>The LPG markets in western and northern Europe are mature, with modest declines in total demand due to competition with other fossil fuels and oth</w:t>
      </w:r>
      <w:r>
        <w:rPr>
          <w:rFonts w:eastAsia="Times New Roman"/>
          <w:color w:val="000000"/>
          <w:sz w:val="20"/>
          <w:szCs w:val="20"/>
        </w:rPr>
        <w:t>er energy sources, conservation and macroeconomic conditions. Sales volumes are affected principally by the severity of the weather and customer migration to alternative energy forms, including natural gas, electricity, heating oil and wood. High LPG price</w:t>
      </w:r>
      <w:r>
        <w:rPr>
          <w:rFonts w:eastAsia="Times New Roman"/>
          <w:color w:val="000000"/>
          <w:sz w:val="20"/>
          <w:szCs w:val="20"/>
        </w:rPr>
        <w:t>s also may result in slower than expected growth due to customer conservation and customers seeking less expensive alternative energy sources. In addition, government policies and incentives that favor alternative energy sources, such as wind and solar, ca</w:t>
      </w:r>
      <w:r>
        <w:rPr>
          <w:rFonts w:eastAsia="Times New Roman"/>
          <w:color w:val="000000"/>
          <w:sz w:val="20"/>
          <w:szCs w:val="20"/>
        </w:rPr>
        <w:t>n result in customers migrating to energy sources other than LPG. In addition to price, UGI International competes for customers in its various markets based on contract terms. UGI International competes locally as well as regionally in many of its service</w:t>
      </w:r>
      <w:r>
        <w:rPr>
          <w:rFonts w:eastAsia="Times New Roman"/>
          <w:color w:val="000000"/>
          <w:sz w:val="20"/>
          <w:szCs w:val="20"/>
        </w:rPr>
        <w:t xml:space="preserve"> territories. Additionally, particularly in France, although UGI International supplies certain supermarket chains, it also competes with some of these supermarket chains that affiliate with LPG distributors to offer their own brands of cylinders. UGI Inte</w:t>
      </w:r>
      <w:r>
        <w:rPr>
          <w:rFonts w:eastAsia="Times New Roman"/>
          <w:color w:val="000000"/>
          <w:sz w:val="20"/>
          <w:szCs w:val="20"/>
        </w:rPr>
        <w:t xml:space="preserve">rnational seeks to increase demand for its LPG cylinders through marketing and product innovations. </w:t>
      </w:r>
    </w:p>
    <w:p w:rsidR="00000000" w:rsidRDefault="00DF5BC2">
      <w:pPr>
        <w:jc w:val="both"/>
        <w:divId w:val="1162968466"/>
        <w:rPr>
          <w:rFonts w:eastAsia="Times New Roman"/>
        </w:rPr>
      </w:pPr>
      <w:r>
        <w:rPr>
          <w:rFonts w:eastAsia="Times New Roman"/>
          <w:color w:val="000000"/>
          <w:sz w:val="20"/>
          <w:szCs w:val="20"/>
        </w:rPr>
        <w:t>In its energy marketing business, UGI International competes against small- and medium-sized enterprise providers of natural gas and electricity in four co</w:t>
      </w:r>
      <w:r>
        <w:rPr>
          <w:rFonts w:eastAsia="Times New Roman"/>
          <w:color w:val="000000"/>
          <w:sz w:val="20"/>
          <w:szCs w:val="20"/>
        </w:rPr>
        <w:t xml:space="preserve">untries in Europe where the markets have been deregulated for at least ten years. The markets are generally stable, developed and growing and competition can be local, regional or pan-European. </w:t>
      </w:r>
    </w:p>
    <w:p w:rsidR="00000000" w:rsidRDefault="00DF5BC2">
      <w:pPr>
        <w:jc w:val="both"/>
        <w:divId w:val="1782719232"/>
        <w:rPr>
          <w:rFonts w:eastAsia="Times New Roman"/>
        </w:rPr>
      </w:pPr>
      <w:r>
        <w:rPr>
          <w:rFonts w:eastAsia="Times New Roman"/>
          <w:color w:val="000000"/>
          <w:sz w:val="20"/>
          <w:szCs w:val="20"/>
        </w:rPr>
        <w:t>Because many of UGI International’s customers use LPG for hea</w:t>
      </w:r>
      <w:r>
        <w:rPr>
          <w:rFonts w:eastAsia="Times New Roman"/>
          <w:color w:val="000000"/>
          <w:sz w:val="20"/>
          <w:szCs w:val="20"/>
        </w:rPr>
        <w:t xml:space="preserve">ting, sales volume is affected principally by the severity of the temperatures during the heating season months and traditionally fluctuates from year-to-year in response to variations in weather, prices and other factors, such as conservation efforts and </w:t>
      </w:r>
      <w:r>
        <w:rPr>
          <w:rFonts w:eastAsia="Times New Roman"/>
          <w:color w:val="000000"/>
          <w:sz w:val="20"/>
          <w:szCs w:val="20"/>
        </w:rPr>
        <w:t>the economic environment. During Fiscal 2021, approximately 60% of UGI International’s retail sales volume occurred during the peak heating season from October through March. As a result of this seasonality, revenues are typically higher in UGI Internation</w:t>
      </w:r>
      <w:r>
        <w:rPr>
          <w:rFonts w:eastAsia="Times New Roman"/>
          <w:color w:val="000000"/>
          <w:sz w:val="20"/>
          <w:szCs w:val="20"/>
        </w:rPr>
        <w:t>al’s first and second fiscal quarters (October 1 through March 31). For historical information on weather statistics for UGI International, see ‘‘Management’s Discussion and Analysis of Financial Condition and Results of Operations.’’</w:t>
      </w:r>
    </w:p>
    <w:p w:rsidR="00000000" w:rsidRDefault="00DF5BC2">
      <w:pPr>
        <w:jc w:val="both"/>
        <w:divId w:val="1033992614"/>
        <w:rPr>
          <w:rFonts w:eastAsia="Times New Roman"/>
        </w:rPr>
      </w:pPr>
      <w:r>
        <w:rPr>
          <w:rFonts w:eastAsia="Times New Roman"/>
          <w:b/>
          <w:bCs/>
          <w:i/>
          <w:iCs/>
          <w:color w:val="000000"/>
          <w:sz w:val="20"/>
          <w:szCs w:val="20"/>
        </w:rPr>
        <w:t>Business Transformati</w:t>
      </w:r>
      <w:r>
        <w:rPr>
          <w:rFonts w:eastAsia="Times New Roman"/>
          <w:b/>
          <w:bCs/>
          <w:i/>
          <w:iCs/>
          <w:color w:val="000000"/>
          <w:sz w:val="20"/>
          <w:szCs w:val="20"/>
        </w:rPr>
        <w:t>on Initiatives</w:t>
      </w:r>
    </w:p>
    <w:p w:rsidR="00000000" w:rsidRDefault="00DF5BC2">
      <w:pPr>
        <w:jc w:val="both"/>
        <w:divId w:val="246964080"/>
        <w:rPr>
          <w:rFonts w:eastAsia="Times New Roman"/>
        </w:rPr>
      </w:pPr>
      <w:r>
        <w:rPr>
          <w:rFonts w:eastAsia="Times New Roman"/>
          <w:color w:val="000000"/>
          <w:sz w:val="20"/>
          <w:szCs w:val="20"/>
        </w:rPr>
        <w:t>We launched an initiative in Fiscal 2019 and embarked on a process of identifying operational synergies across all 17 countries in which we currently do business. The goal of this initiative was to focus attention on enhanced customer servic</w:t>
      </w:r>
      <w:r>
        <w:rPr>
          <w:rFonts w:eastAsia="Times New Roman"/>
          <w:color w:val="000000"/>
          <w:sz w:val="20"/>
          <w:szCs w:val="20"/>
        </w:rPr>
        <w:t xml:space="preserve">e and safe and efficient operations through the establishment of two centers of excellence. One center focuses on commercial excellence to </w:t>
      </w:r>
    </w:p>
    <w:p w:rsidR="00000000" w:rsidRDefault="00DF5BC2">
      <w:pPr>
        <w:jc w:val="center"/>
        <w:divId w:val="2101439519"/>
        <w:rPr>
          <w:rFonts w:eastAsia="Times New Roman"/>
        </w:rPr>
      </w:pPr>
      <w:r>
        <w:rPr>
          <w:rFonts w:eastAsia="Times New Roman"/>
          <w:color w:val="000000"/>
          <w:sz w:val="20"/>
          <w:szCs w:val="20"/>
        </w:rPr>
        <w:t>20</w:t>
      </w:r>
    </w:p>
    <w:p w:rsidR="00000000" w:rsidRDefault="00DF5BC2">
      <w:pPr>
        <w:rPr>
          <w:rFonts w:eastAsia="Times New Roman"/>
        </w:rPr>
      </w:pPr>
      <w:r>
        <w:rPr>
          <w:rFonts w:eastAsia="Times New Roman"/>
        </w:rPr>
        <w:pict>
          <v:rect id="_x0000_i1046" style="width:0;height:1.5pt" o:hralign="center" o:hrstd="t" o:hr="t" fillcolor="#a0a0a0" stroked="f"/>
        </w:pict>
      </w:r>
    </w:p>
    <w:p w:rsidR="00000000" w:rsidRDefault="00DF5BC2">
      <w:pPr>
        <w:divId w:val="1186792677"/>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2133206664"/>
        <w:rPr>
          <w:rFonts w:eastAsia="Times New Roman"/>
        </w:rPr>
      </w:pPr>
      <w:r>
        <w:rPr>
          <w:rFonts w:eastAsia="Times New Roman"/>
          <w:color w:val="000000"/>
          <w:sz w:val="20"/>
          <w:szCs w:val="20"/>
        </w:rPr>
        <w:t>identify and execute projects that improve the customer’s experience. The second center focuses on operational excellence across our distribution network and our filling centers. These business activities are substantially complete and are expected to gene</w:t>
      </w:r>
      <w:r>
        <w:rPr>
          <w:rFonts w:eastAsia="Times New Roman"/>
          <w:color w:val="000000"/>
          <w:sz w:val="20"/>
          <w:szCs w:val="20"/>
        </w:rPr>
        <w:t xml:space="preserve">rate over €30 million of annual benefits by the end of Fiscal 2022. </w:t>
      </w:r>
    </w:p>
    <w:p w:rsidR="00000000" w:rsidRDefault="00DF5BC2">
      <w:pPr>
        <w:jc w:val="both"/>
        <w:divId w:val="1040322802"/>
        <w:rPr>
          <w:rFonts w:eastAsia="Times New Roman"/>
        </w:rPr>
      </w:pPr>
      <w:r>
        <w:rPr>
          <w:rFonts w:eastAsia="Times New Roman"/>
          <w:b/>
          <w:bCs/>
          <w:i/>
          <w:iCs/>
          <w:color w:val="000000"/>
          <w:sz w:val="20"/>
          <w:szCs w:val="20"/>
        </w:rPr>
        <w:t>Government Regulation</w:t>
      </w:r>
      <w:r>
        <w:rPr>
          <w:rFonts w:eastAsia="Times New Roman"/>
          <w:color w:val="000000"/>
          <w:sz w:val="20"/>
          <w:szCs w:val="20"/>
        </w:rPr>
        <w:t xml:space="preserve"> </w:t>
      </w:r>
    </w:p>
    <w:p w:rsidR="00000000" w:rsidRDefault="00DF5BC2">
      <w:pPr>
        <w:jc w:val="both"/>
        <w:divId w:val="644891742"/>
        <w:rPr>
          <w:rFonts w:eastAsia="Times New Roman"/>
        </w:rPr>
      </w:pPr>
      <w:r>
        <w:rPr>
          <w:rFonts w:eastAsia="Times New Roman"/>
          <w:color w:val="000000"/>
          <w:sz w:val="20"/>
          <w:szCs w:val="20"/>
        </w:rPr>
        <w:t>UGI International’s business is subject to various laws and regulations at the country and local levels, as well as at the EU level, with respect to matters such as</w:t>
      </w:r>
      <w:r>
        <w:rPr>
          <w:rFonts w:eastAsia="Times New Roman"/>
          <w:color w:val="000000"/>
          <w:sz w:val="20"/>
          <w:szCs w:val="20"/>
        </w:rPr>
        <w:t xml:space="preserve"> protection of the environment, the storage, transportation and handling of hazardous materials and flammable substances (including the Seveso II Directive), regulations specific to bulk tanks, cylinders and piped networks, competition, pricing, regulation</w:t>
      </w:r>
      <w:r>
        <w:rPr>
          <w:rFonts w:eastAsia="Times New Roman"/>
          <w:color w:val="000000"/>
          <w:sz w:val="20"/>
          <w:szCs w:val="20"/>
        </w:rPr>
        <w:t xml:space="preserve"> of contract terms, anti-corruption (including the U.S. Foreign Corrupt Practices Act, Sapin II and the U.K. Bribery Act), data privacy and protection, and the safety of persons and property.</w:t>
      </w:r>
    </w:p>
    <w:p w:rsidR="00000000" w:rsidRDefault="00DF5BC2">
      <w:pPr>
        <w:jc w:val="both"/>
        <w:divId w:val="1937514567"/>
        <w:rPr>
          <w:rFonts w:eastAsia="Times New Roman"/>
        </w:rPr>
      </w:pPr>
      <w:r>
        <w:rPr>
          <w:rFonts w:eastAsia="Times New Roman"/>
          <w:color w:val="000000"/>
          <w:sz w:val="20"/>
          <w:szCs w:val="20"/>
          <w:u w:val="single"/>
        </w:rPr>
        <w:t xml:space="preserve">Environmental </w:t>
      </w:r>
    </w:p>
    <w:p w:rsidR="00000000" w:rsidRDefault="00DF5BC2">
      <w:pPr>
        <w:jc w:val="both"/>
        <w:divId w:val="1137652033"/>
        <w:rPr>
          <w:rFonts w:eastAsia="Times New Roman"/>
        </w:rPr>
      </w:pPr>
      <w:r>
        <w:rPr>
          <w:rFonts w:eastAsia="Times New Roman"/>
          <w:color w:val="000000"/>
          <w:sz w:val="20"/>
          <w:szCs w:val="20"/>
        </w:rPr>
        <w:t xml:space="preserve">Environmental laws and regulations may require expenditures over a long timeframe to control environmental effects. Estimates of liabilities for environmental response costs are difficult to determine with precision because of the various factors that can </w:t>
      </w:r>
      <w:r>
        <w:rPr>
          <w:rFonts w:eastAsia="Times New Roman"/>
          <w:color w:val="000000"/>
          <w:sz w:val="20"/>
          <w:szCs w:val="20"/>
        </w:rPr>
        <w:t>affect their ultimate level. These factors include, but are not limited to, the following: (i) the complexity of the site; (ii) changes in environmental laws and regulations; (iii) the number of regulatory agencies or other parties involved; (iv) new techn</w:t>
      </w:r>
      <w:r>
        <w:rPr>
          <w:rFonts w:eastAsia="Times New Roman"/>
          <w:color w:val="000000"/>
          <w:sz w:val="20"/>
          <w:szCs w:val="20"/>
        </w:rPr>
        <w:t>ology that renders previous technology obsolete or experience with existing technology that proves ineffective; (v) the level of remediation required; and (vi) variation between the estimated and actual period of time required to respond to an environmenta</w:t>
      </w:r>
      <w:r>
        <w:rPr>
          <w:rFonts w:eastAsia="Times New Roman"/>
          <w:color w:val="000000"/>
          <w:sz w:val="20"/>
          <w:szCs w:val="20"/>
        </w:rPr>
        <w:t>lly-contaminated site.</w:t>
      </w:r>
    </w:p>
    <w:p w:rsidR="00000000" w:rsidRDefault="00DF5BC2">
      <w:pPr>
        <w:jc w:val="both"/>
        <w:divId w:val="385299352"/>
        <w:rPr>
          <w:rFonts w:eastAsia="Times New Roman"/>
        </w:rPr>
      </w:pPr>
      <w:r>
        <w:rPr>
          <w:rFonts w:eastAsia="Times New Roman"/>
          <w:color w:val="000000"/>
          <w:sz w:val="20"/>
          <w:szCs w:val="20"/>
          <w:u w:val="single"/>
        </w:rPr>
        <w:t>Data Privacy</w:t>
      </w:r>
      <w:r>
        <w:rPr>
          <w:rFonts w:eastAsia="Times New Roman"/>
          <w:color w:val="000000"/>
          <w:sz w:val="20"/>
          <w:szCs w:val="20"/>
        </w:rPr>
        <w:t xml:space="preserve"> </w:t>
      </w:r>
    </w:p>
    <w:p w:rsidR="00000000" w:rsidRDefault="00DF5BC2">
      <w:pPr>
        <w:jc w:val="both"/>
        <w:divId w:val="1931354980"/>
        <w:rPr>
          <w:rFonts w:eastAsia="Times New Roman"/>
        </w:rPr>
      </w:pPr>
      <w:r>
        <w:rPr>
          <w:rFonts w:eastAsia="Times New Roman"/>
          <w:color w:val="000000"/>
          <w:sz w:val="20"/>
          <w:szCs w:val="20"/>
        </w:rPr>
        <w:t>The EU adopted the GDPR, which became effective in May of 2018. The GDPR expanded the EU data protection laws to all companies processing data of EU residents. It primarily focuses on unifying and strengthening the regu</w:t>
      </w:r>
      <w:r>
        <w:rPr>
          <w:rFonts w:eastAsia="Times New Roman"/>
          <w:color w:val="000000"/>
          <w:sz w:val="20"/>
          <w:szCs w:val="20"/>
        </w:rPr>
        <w:t>lations dealing with the collection, processing, use and security of personal and sensitive data.</w:t>
      </w:r>
    </w:p>
    <w:p w:rsidR="00000000" w:rsidRDefault="00DF5BC2">
      <w:pPr>
        <w:jc w:val="both"/>
        <w:divId w:val="1243762172"/>
        <w:rPr>
          <w:rFonts w:eastAsia="Times New Roman"/>
        </w:rPr>
      </w:pPr>
      <w:r>
        <w:rPr>
          <w:rFonts w:eastAsia="Times New Roman"/>
          <w:b/>
          <w:bCs/>
          <w:i/>
          <w:iCs/>
          <w:color w:val="000000"/>
          <w:sz w:val="20"/>
          <w:szCs w:val="20"/>
        </w:rPr>
        <w:t>Properties</w:t>
      </w:r>
      <w:r>
        <w:rPr>
          <w:rFonts w:eastAsia="Times New Roman"/>
          <w:color w:val="000000"/>
          <w:sz w:val="20"/>
          <w:szCs w:val="20"/>
        </w:rPr>
        <w:t xml:space="preserve"> </w:t>
      </w:r>
    </w:p>
    <w:p w:rsidR="00000000" w:rsidRDefault="00DF5BC2">
      <w:pPr>
        <w:jc w:val="both"/>
        <w:divId w:val="1613853154"/>
        <w:rPr>
          <w:rFonts w:eastAsia="Times New Roman"/>
        </w:rPr>
      </w:pPr>
      <w:r>
        <w:rPr>
          <w:rFonts w:eastAsia="Times New Roman"/>
          <w:color w:val="000000"/>
          <w:sz w:val="20"/>
          <w:szCs w:val="20"/>
        </w:rPr>
        <w:t>In addition to regional headquarter locations and sales offices throughout its service territory, UGI International has interests in 10 primary st</w:t>
      </w:r>
      <w:r>
        <w:rPr>
          <w:rFonts w:eastAsia="Times New Roman"/>
          <w:color w:val="000000"/>
          <w:sz w:val="20"/>
          <w:szCs w:val="20"/>
        </w:rPr>
        <w:t>orage facilities and more than 80 secondary storage facilities.</w:t>
      </w:r>
    </w:p>
    <w:p w:rsidR="00000000" w:rsidRDefault="00DF5BC2">
      <w:pPr>
        <w:jc w:val="both"/>
        <w:divId w:val="603264539"/>
        <w:rPr>
          <w:rFonts w:eastAsia="Times New Roman"/>
        </w:rPr>
      </w:pPr>
      <w:r>
        <w:rPr>
          <w:rFonts w:eastAsia="Times New Roman"/>
          <w:b/>
          <w:bCs/>
          <w:i/>
          <w:iCs/>
          <w:color w:val="000000"/>
          <w:sz w:val="20"/>
          <w:szCs w:val="20"/>
        </w:rPr>
        <w:t>Employees</w:t>
      </w:r>
    </w:p>
    <w:p w:rsidR="00000000" w:rsidRDefault="00DF5BC2">
      <w:pPr>
        <w:jc w:val="both"/>
        <w:rPr>
          <w:rFonts w:eastAsia="Times New Roman"/>
        </w:rPr>
      </w:pPr>
      <w:r>
        <w:rPr>
          <w:rFonts w:eastAsia="Times New Roman"/>
          <w:color w:val="000000"/>
          <w:sz w:val="20"/>
          <w:szCs w:val="20"/>
        </w:rPr>
        <w:t>At September 30, 2021, UGI International had over 2,600 employees, including approximately 200 part-time, seasonal and temporary employees.</w:t>
      </w:r>
    </w:p>
    <w:p w:rsidR="00000000" w:rsidRDefault="00DF5BC2">
      <w:pPr>
        <w:jc w:val="both"/>
        <w:rPr>
          <w:rFonts w:eastAsia="Times New Roman"/>
        </w:rPr>
      </w:pPr>
    </w:p>
    <w:p w:rsidR="00000000" w:rsidRDefault="00DF5BC2">
      <w:pPr>
        <w:ind w:firstLine="495"/>
        <w:jc w:val="both"/>
        <w:rPr>
          <w:rFonts w:eastAsia="Times New Roman"/>
        </w:rPr>
      </w:pPr>
    </w:p>
    <w:p w:rsidR="00000000" w:rsidRDefault="00DF5BC2">
      <w:pPr>
        <w:jc w:val="center"/>
        <w:rPr>
          <w:rFonts w:eastAsia="Times New Roman"/>
        </w:rPr>
      </w:pPr>
      <w:r>
        <w:rPr>
          <w:rFonts w:eastAsia="Times New Roman"/>
          <w:b/>
          <w:bCs/>
          <w:color w:val="000000"/>
          <w:sz w:val="20"/>
          <w:szCs w:val="20"/>
        </w:rPr>
        <w:t>MIDSTREAM &amp; MARKETING</w:t>
      </w:r>
    </w:p>
    <w:p w:rsidR="00000000" w:rsidRDefault="00DF5BC2">
      <w:pPr>
        <w:jc w:val="center"/>
        <w:rPr>
          <w:rFonts w:eastAsia="Times New Roman"/>
        </w:rPr>
      </w:pPr>
    </w:p>
    <w:p w:rsidR="00000000" w:rsidRDefault="00DF5BC2">
      <w:pPr>
        <w:jc w:val="both"/>
        <w:rPr>
          <w:rFonts w:eastAsia="Times New Roman"/>
        </w:rPr>
      </w:pPr>
      <w:r>
        <w:rPr>
          <w:rFonts w:eastAsia="Times New Roman"/>
          <w:b/>
          <w:bCs/>
          <w:i/>
          <w:iCs/>
          <w:color w:val="000000"/>
          <w:sz w:val="20"/>
          <w:szCs w:val="20"/>
        </w:rPr>
        <w:t>Retail Energy Marketing</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retail energy marketing business is conducted through Ener</w:t>
      </w:r>
      <w:r>
        <w:rPr>
          <w:rFonts w:eastAsia="Times New Roman"/>
          <w:color w:val="000000"/>
          <w:sz w:val="20"/>
          <w:szCs w:val="20"/>
        </w:rPr>
        <w:t>gy Services and its subsidiaries and sells natural gas, RNG, liquid fuels and electricity to approximately 12,600 residential, commercial and industrial customers at over 42,400 locations. We (i) serve customers in all or portions of Pennsylvania, New Jers</w:t>
      </w:r>
      <w:r>
        <w:rPr>
          <w:rFonts w:eastAsia="Times New Roman"/>
          <w:color w:val="000000"/>
          <w:sz w:val="20"/>
          <w:szCs w:val="20"/>
        </w:rPr>
        <w:t>ey, Delaware, New York, Ohio, Maryland, Massachusetts, Virginia, North Carolina, South Carolina, Rhode Island, California and the District of Columbia, (ii) distribute natural gas through the use of the distribution systems of 46 local gas utilities, and (</w:t>
      </w:r>
      <w:r>
        <w:rPr>
          <w:rFonts w:eastAsia="Times New Roman"/>
          <w:color w:val="000000"/>
          <w:sz w:val="20"/>
          <w:szCs w:val="20"/>
        </w:rPr>
        <w:t xml:space="preserve">iii) supply power to customers through the use of the transmission and distribution lines of 20 utility systems.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Historically, a majority of Energy Services’ commodity sales have been made under fixed-price agreements, which typically contain a take-or-</w:t>
      </w:r>
      <w:r>
        <w:rPr>
          <w:rFonts w:eastAsia="Times New Roman"/>
          <w:color w:val="000000"/>
          <w:sz w:val="20"/>
          <w:szCs w:val="20"/>
        </w:rPr>
        <w:t>pay arrangement that permits customers to purchase a fixed amount of product for a fixed price during a specified period, and requires payment even if the customer does not take delivery of the product. However, a growing number of Energy Services’ commodi</w:t>
      </w:r>
      <w:r>
        <w:rPr>
          <w:rFonts w:eastAsia="Times New Roman"/>
          <w:color w:val="000000"/>
          <w:sz w:val="20"/>
          <w:szCs w:val="20"/>
        </w:rPr>
        <w:t>ty sales are currently being made under requirements contracts, under which Energy Services is typically an exclusive supplier and will supply as much product at a fixed price as the customer requires. Energy Services manages supply cost volatility related</w:t>
      </w:r>
      <w:r>
        <w:rPr>
          <w:rFonts w:eastAsia="Times New Roman"/>
          <w:color w:val="000000"/>
          <w:sz w:val="20"/>
          <w:szCs w:val="20"/>
        </w:rPr>
        <w:t xml:space="preserve"> to these agreements by (i) entering into fixed-price supply arrangements with a diverse group of suppliers, (ii) holding its own interstate pipeline transportation and storage contracts to efficiently utilize gas supplies, (iii) entering into exchange-tra</w:t>
      </w:r>
      <w:r>
        <w:rPr>
          <w:rFonts w:eastAsia="Times New Roman"/>
          <w:color w:val="000000"/>
          <w:sz w:val="20"/>
          <w:szCs w:val="20"/>
        </w:rPr>
        <w:t>ded futures contracts on NYMEX and ICE, (iv) entering into over-the-counter derivative arrangements with major international banks and major suppliers, (v) utilizing supply assets that it owns or manages, and (vi) utilizing financial transmission rights to</w:t>
      </w:r>
      <w:r>
        <w:rPr>
          <w:rFonts w:eastAsia="Times New Roman"/>
          <w:color w:val="000000"/>
          <w:sz w:val="20"/>
          <w:szCs w:val="20"/>
        </w:rPr>
        <w:t xml:space="preserve"> hedge price risk against certain transmission costs. Energy Services also bears the risk for balancing and delivering natural gas and power to its customers under various gas pipeline and utility company tariffs. See “Management’s Discussion and Analysis </w:t>
      </w:r>
      <w:r>
        <w:rPr>
          <w:rFonts w:eastAsia="Times New Roman"/>
          <w:color w:val="000000"/>
          <w:sz w:val="20"/>
          <w:szCs w:val="20"/>
        </w:rPr>
        <w:t>of Financial Condition and Results of Operations - Market Risk Disclosures.”</w:t>
      </w:r>
    </w:p>
    <w:p w:rsidR="00000000" w:rsidRDefault="00DF5BC2">
      <w:pPr>
        <w:jc w:val="center"/>
        <w:divId w:val="91824183"/>
        <w:rPr>
          <w:rFonts w:eastAsia="Times New Roman"/>
        </w:rPr>
      </w:pPr>
      <w:r>
        <w:rPr>
          <w:rFonts w:eastAsia="Times New Roman"/>
          <w:color w:val="000000"/>
          <w:sz w:val="20"/>
          <w:szCs w:val="20"/>
        </w:rPr>
        <w:t>21</w:t>
      </w:r>
    </w:p>
    <w:p w:rsidR="00000000" w:rsidRDefault="00DF5BC2">
      <w:pPr>
        <w:rPr>
          <w:rFonts w:eastAsia="Times New Roman"/>
        </w:rPr>
      </w:pPr>
      <w:r>
        <w:rPr>
          <w:rFonts w:eastAsia="Times New Roman"/>
        </w:rPr>
        <w:pict>
          <v:rect id="_x0000_i1047" style="width:0;height:1.5pt" o:hralign="center" o:hrstd="t" o:hr="t" fillcolor="#a0a0a0" stroked="f"/>
        </w:pict>
      </w:r>
    </w:p>
    <w:p w:rsidR="00000000" w:rsidRDefault="00DF5BC2">
      <w:pPr>
        <w:divId w:val="33164430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Midstream Assets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LNG</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midstream assets, which are owned</w:t>
      </w:r>
      <w:r>
        <w:rPr>
          <w:rFonts w:eastAsia="Times New Roman"/>
          <w:color w:val="000000"/>
          <w:sz w:val="20"/>
          <w:szCs w:val="20"/>
        </w:rPr>
        <w:t xml:space="preserve"> by Energy Services and its subsidiaries, comprise a natural gas liquefaction, storage and vaporization facility in Temple, Pennsylvania, a natural gas liquefaction and storage facility in Mehoopany, Pennsylvania, liquefied natural gas vaporization and sto</w:t>
      </w:r>
      <w:r>
        <w:rPr>
          <w:rFonts w:eastAsia="Times New Roman"/>
          <w:color w:val="000000"/>
          <w:sz w:val="20"/>
          <w:szCs w:val="20"/>
        </w:rPr>
        <w:t xml:space="preserve">rage facilities in Steelton and Bethlehem, Pennsylvania, and three small mobile facilities located in Reading, Mount Carmel and Stroudsburg, Pennsylvania.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In addition, Energy Services sells LNG to customers for use by trucks, drilling rigs, other motor </w:t>
      </w:r>
      <w:r>
        <w:rPr>
          <w:rFonts w:eastAsia="Times New Roman"/>
          <w:color w:val="000000"/>
          <w:sz w:val="20"/>
          <w:szCs w:val="20"/>
        </w:rPr>
        <w:t xml:space="preserve">vehicles and facilities located off the natural gas grid.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Natural Gas and Propane Storage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Energy Services and its subsidiaries own propane storage and propane-air mixing stations in Bethlehem, Reading, Hunlock Creek, and White Deer, Pennsylvania. Energy Services and its subsidiaries also operate propane storage, rail transshipment terminals and</w:t>
      </w:r>
      <w:r>
        <w:rPr>
          <w:rFonts w:eastAsia="Times New Roman"/>
          <w:color w:val="000000"/>
          <w:sz w:val="20"/>
          <w:szCs w:val="20"/>
        </w:rPr>
        <w:t xml:space="preserve"> propane-air mixing stations in Steelton and Williamsport, Pennsylvania. These assets are used in Midstream &amp; Marketing’s energy peaking business that provides supplemental energy, primarily LNG and propane-air mixtures, to gas utilities at times of high d</w:t>
      </w:r>
      <w:r>
        <w:rPr>
          <w:rFonts w:eastAsia="Times New Roman"/>
          <w:color w:val="000000"/>
          <w:sz w:val="20"/>
          <w:szCs w:val="20"/>
        </w:rPr>
        <w:t xml:space="preserve">emand (generally during periods of coldest winter weather).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 wholly owned subsidiary of Energy Services owns and operates underground natural gas storage and related high pressure pipeline facilities, which have FERC approval to sell storage services a</w:t>
      </w:r>
      <w:r>
        <w:rPr>
          <w:rFonts w:eastAsia="Times New Roman"/>
          <w:color w:val="000000"/>
          <w:sz w:val="20"/>
          <w:szCs w:val="20"/>
        </w:rPr>
        <w:t>t market-based rates. The storage facilities are located in the Marcellus Shale region of north-central Pennsylvania and have a total storage capacity of 15 million dekatherms and a maximum daily withdrawal quantity of 224,000 dekatherms. In Fiscal 2021, E</w:t>
      </w:r>
      <w:r>
        <w:rPr>
          <w:rFonts w:eastAsia="Times New Roman"/>
          <w:color w:val="000000"/>
          <w:sz w:val="20"/>
          <w:szCs w:val="20"/>
        </w:rPr>
        <w:t xml:space="preserve">nergy Services leased approximately 74% of the firm capacity at its underground natural gas facilities to third parties.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Gathering Systems and Pipelines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Energy Services operates the Auburn gathering system in the Marcellus Shale region of northeastern</w:t>
      </w:r>
      <w:r>
        <w:rPr>
          <w:rFonts w:eastAsia="Times New Roman"/>
          <w:color w:val="000000"/>
          <w:sz w:val="20"/>
          <w:szCs w:val="20"/>
        </w:rPr>
        <w:t xml:space="preserve"> Pennsylvania with a total system capacity of 635,000 dekatherms per day, including the expansion that was completed in Fiscal 2020. The gathering system delivers into both the Tennessee Gas and Transcontinental Gas pipelines. Energy Services also operates</w:t>
      </w:r>
      <w:r>
        <w:rPr>
          <w:rFonts w:eastAsia="Times New Roman"/>
          <w:color w:val="000000"/>
          <w:sz w:val="20"/>
          <w:szCs w:val="20"/>
        </w:rPr>
        <w:t xml:space="preserve"> a 6.5-mile pipeline, known as the Union Dale pipeline, that gathers gas in Susquehanna County and has a capacity of 100,000 dekatherms per day. In addition, Energy Services owns and operates approximately 87 miles of natural gas gathering lines, dehydrati</w:t>
      </w:r>
      <w:r>
        <w:rPr>
          <w:rFonts w:eastAsia="Times New Roman"/>
          <w:color w:val="000000"/>
          <w:sz w:val="20"/>
          <w:szCs w:val="20"/>
        </w:rPr>
        <w:t>on and compression facilities, known as Texas Creek, Marshlands, and Ponderosa, located in Bradford, Tioga, Lycoming, Potter and Clinton Counties, Pennsylvania. The combined capacity of these three systems is more than 250,000 dekatherms per day. In Fiscal</w:t>
      </w:r>
      <w:r>
        <w:rPr>
          <w:rFonts w:eastAsia="Times New Roman"/>
          <w:color w:val="000000"/>
          <w:sz w:val="20"/>
          <w:szCs w:val="20"/>
        </w:rPr>
        <w:t xml:space="preserve"> 2021, our Midstream &amp; Marketing segment also managed natural gas pipeline and storage contracts for utility company customers, including UGI Utilities, Inc.</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Energy Services and its subsidiaries also own and operate a 35-mile, 20-inch pipeline, known as </w:t>
      </w:r>
      <w:r>
        <w:rPr>
          <w:rFonts w:eastAsia="Times New Roman"/>
          <w:color w:val="000000"/>
          <w:sz w:val="20"/>
          <w:szCs w:val="20"/>
        </w:rPr>
        <w:t>the Sunbury pipeline, with related facilities located in Snyder, Union, Northumberland, Montour, and Lycoming Counties, Pennsylvania, which has a design capacity of 200,000 dekatherms per day. In addition, Energy Services owns and operates the Mt. Bethel p</w:t>
      </w:r>
      <w:r>
        <w:rPr>
          <w:rFonts w:eastAsia="Times New Roman"/>
          <w:color w:val="000000"/>
          <w:sz w:val="20"/>
          <w:szCs w:val="20"/>
        </w:rPr>
        <w:t xml:space="preserve">ipeline, which runs 12.5 miles in Northampton County, Pennsylvania and is designed to provide 72,000 dekatherms per day.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Energy Services’ subsidiary, UGI Appalachia, consists of five natural gas gathering systems with approximately 240 miles of natural </w:t>
      </w:r>
      <w:r>
        <w:rPr>
          <w:rFonts w:eastAsia="Times New Roman"/>
          <w:color w:val="000000"/>
          <w:sz w:val="20"/>
          <w:szCs w:val="20"/>
        </w:rPr>
        <w:t>gas gathering pipelines and gas compressors and one processing plant in southwestern Pennsylvania, eastern Ohio, and the panhandle of West Virginia. Energy Services also has a 47% ownership interest in Pennant Midstream, LLC, a natural gas gathering system</w:t>
      </w:r>
      <w:r>
        <w:rPr>
          <w:rFonts w:eastAsia="Times New Roman"/>
          <w:color w:val="000000"/>
          <w:sz w:val="20"/>
          <w:szCs w:val="20"/>
        </w:rPr>
        <w:t xml:space="preserve"> that was acquired in the CMG Acquisition. The UGI Appalachia assets provide natural gas gathering and processing services in the Appalachian Basin with gathering capacity of approximately 2,675,000 dekatherms per day and processing capacity of approximate</w:t>
      </w:r>
      <w:r>
        <w:rPr>
          <w:rFonts w:eastAsia="Times New Roman"/>
          <w:color w:val="000000"/>
          <w:sz w:val="20"/>
          <w:szCs w:val="20"/>
        </w:rPr>
        <w:t>ly 240,000 dekatherms per day.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In Fiscal 2021, a subsidiary of Energy Services entered into a joint venture with Stonehenge Energy Resource Holdings III LLC (“Stonehenge”) to acquire Pine Run Midstream, LLC. Energy Services owns approximately 49% of the </w:t>
      </w:r>
      <w:r>
        <w:rPr>
          <w:rFonts w:eastAsia="Times New Roman"/>
          <w:color w:val="000000"/>
          <w:sz w:val="20"/>
          <w:szCs w:val="20"/>
        </w:rPr>
        <w:t>joint venture with Stonehenge, and Stonehenge operates the system. The system is comprised of approximately 42 miles of pipeline, 43,125 HP of installed compression and dedicated production of 54,000 gross acres. The system is attached to another gathering</w:t>
      </w:r>
      <w:r>
        <w:rPr>
          <w:rFonts w:eastAsia="Times New Roman"/>
          <w:color w:val="000000"/>
          <w:sz w:val="20"/>
          <w:szCs w:val="20"/>
        </w:rPr>
        <w:t xml:space="preserve"> system owned by Energy Services.</w:t>
      </w:r>
    </w:p>
    <w:p w:rsidR="00000000" w:rsidRDefault="00DF5BC2">
      <w:pPr>
        <w:jc w:val="both"/>
        <w:rPr>
          <w:rFonts w:eastAsia="Times New Roman"/>
        </w:rPr>
      </w:pPr>
    </w:p>
    <w:p w:rsidR="00000000" w:rsidRDefault="00DF5BC2">
      <w:pPr>
        <w:jc w:val="center"/>
        <w:divId w:val="1279222596"/>
        <w:rPr>
          <w:rFonts w:eastAsia="Times New Roman"/>
        </w:rPr>
      </w:pPr>
      <w:r>
        <w:rPr>
          <w:rFonts w:eastAsia="Times New Roman"/>
          <w:color w:val="000000"/>
          <w:sz w:val="20"/>
          <w:szCs w:val="20"/>
        </w:rPr>
        <w:t>22</w:t>
      </w:r>
    </w:p>
    <w:p w:rsidR="00000000" w:rsidRDefault="00DF5BC2">
      <w:pPr>
        <w:rPr>
          <w:rFonts w:eastAsia="Times New Roman"/>
        </w:rPr>
      </w:pPr>
      <w:r>
        <w:rPr>
          <w:rFonts w:eastAsia="Times New Roman"/>
        </w:rPr>
        <w:pict>
          <v:rect id="_x0000_i1048" style="width:0;height:1.5pt" o:hralign="center" o:hrstd="t" o:hr="t" fillcolor="#a0a0a0" stroked="f"/>
        </w:pict>
      </w:r>
    </w:p>
    <w:p w:rsidR="00000000" w:rsidRDefault="00DF5BC2">
      <w:pPr>
        <w:divId w:val="181867048"/>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i/>
          <w:iCs/>
          <w:color w:val="000000"/>
          <w:sz w:val="20"/>
          <w:szCs w:val="20"/>
        </w:rPr>
        <w:t>Electric Generation Assets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Midstream &amp; </w:t>
      </w:r>
      <w:r>
        <w:rPr>
          <w:rFonts w:eastAsia="Times New Roman"/>
          <w:color w:val="000000"/>
          <w:sz w:val="20"/>
          <w:szCs w:val="20"/>
        </w:rPr>
        <w:t>Marketing holds electric generation facilities conducted by Energy Services’ wholly owned subsidiary, UGID. UGID owns and operates the Hunlock Creek Energy Center located near Wilkes-Barre, Pennsylvania, a 174-megawatt natural gas-fueled electricity genera</w:t>
      </w:r>
      <w:r>
        <w:rPr>
          <w:rFonts w:eastAsia="Times New Roman"/>
          <w:color w:val="000000"/>
          <w:sz w:val="20"/>
          <w:szCs w:val="20"/>
        </w:rPr>
        <w:t xml:space="preserve">ting station. UGID also owns and operates a landfill gas-fueled generation plant near Hegins, Pennsylvania, with gross generating capacity of 11 megawatts, that qualifies for renewable energy credits. Additionally, UGID owns and operates 13.5 megawatts of </w:t>
      </w:r>
      <w:r>
        <w:rPr>
          <w:rFonts w:eastAsia="Times New Roman"/>
          <w:color w:val="000000"/>
          <w:sz w:val="20"/>
          <w:szCs w:val="20"/>
        </w:rPr>
        <w:t xml:space="preserve">solar-powered generation capacity in Pennsylvania, Maryland and New Jersey.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Renewable Natural Gas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Fiscal 2020, Energy Services purchased GHI, a Houston-based company that markets RNG in California. GHI purchases gas produced from landfills and bio</w:t>
      </w:r>
      <w:r>
        <w:rPr>
          <w:rFonts w:eastAsia="Times New Roman"/>
          <w:color w:val="000000"/>
          <w:sz w:val="20"/>
          <w:szCs w:val="20"/>
        </w:rPr>
        <w:t>digesters and resells the gas to fleet operators in California. Environmental credits are generated through this process, which are then sold to various third parties for an additional revenue stream.</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Fiscal 2021, we announced investments in the following RNG production projects:</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•Energy Services invested in a joint venture to develop dairy farm digester projects that produce RNG in upstate New York. The first project, announced in May 2021, incorp</w:t>
      </w:r>
      <w:r>
        <w:rPr>
          <w:rFonts w:eastAsia="Times New Roman"/>
          <w:color w:val="000000"/>
          <w:sz w:val="20"/>
          <w:szCs w:val="20"/>
        </w:rPr>
        <w:t>orates an existing anaerobic digester that generates biogas, which is used to produce renewable electricity, and is expected to be completed in the second half of calendar year 2022. The second project, announced in September 2021, includes the constructio</w:t>
      </w:r>
      <w:r>
        <w:rPr>
          <w:rFonts w:eastAsia="Times New Roman"/>
          <w:color w:val="000000"/>
          <w:sz w:val="20"/>
          <w:szCs w:val="20"/>
        </w:rPr>
        <w:t>n of an anaerobic digester and a combined heat and power project that are expected to produce 85 MMcf of RNG each year once completed in the second half of calendar year 2022.</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•In September 2021, Energy Services announced that it would partially fund a j</w:t>
      </w:r>
      <w:r>
        <w:rPr>
          <w:rFonts w:eastAsia="Times New Roman"/>
          <w:color w:val="000000"/>
          <w:sz w:val="20"/>
          <w:szCs w:val="20"/>
        </w:rPr>
        <w:t>oint venture designed to</w:t>
      </w:r>
      <w:r>
        <w:rPr>
          <w:rFonts w:eastAsia="Times New Roman"/>
          <w:color w:val="000000"/>
          <w:sz w:val="20"/>
          <w:szCs w:val="20"/>
          <w:shd w:val="clear" w:color="auto" w:fill="FFFFFF"/>
        </w:rPr>
        <w:t xml:space="preserve"> develop several clusters of dairy farm digester projects to produce RNG from multiple farms in </w:t>
      </w:r>
      <w:r>
        <w:rPr>
          <w:rFonts w:eastAsia="Times New Roman"/>
          <w:color w:val="000000"/>
          <w:sz w:val="20"/>
          <w:szCs w:val="20"/>
        </w:rPr>
        <w:t>South Dakota</w:t>
      </w:r>
      <w:r>
        <w:rPr>
          <w:rFonts w:eastAsia="Times New Roman"/>
          <w:color w:val="000000"/>
          <w:sz w:val="20"/>
          <w:szCs w:val="20"/>
          <w:shd w:val="clear" w:color="auto" w:fill="FFFFFF"/>
        </w:rPr>
        <w:t>.</w:t>
      </w:r>
      <w:r>
        <w:rPr>
          <w:rFonts w:eastAsia="Times New Roman"/>
          <w:color w:val="000000"/>
          <w:sz w:val="20"/>
          <w:szCs w:val="20"/>
        </w:rPr>
        <w:t xml:space="preserve"> </w:t>
      </w:r>
      <w:r>
        <w:rPr>
          <w:rFonts w:eastAsia="Times New Roman"/>
          <w:color w:val="000000"/>
          <w:sz w:val="20"/>
          <w:szCs w:val="20"/>
          <w:shd w:val="clear" w:color="auto" w:fill="FFFFFF"/>
        </w:rPr>
        <w:t>The clusters of projects, which Energy Services will have the option to fund on a project-by-project basis, are expected t</w:t>
      </w:r>
      <w:r>
        <w:rPr>
          <w:rFonts w:eastAsia="Times New Roman"/>
          <w:color w:val="000000"/>
          <w:sz w:val="20"/>
          <w:szCs w:val="20"/>
          <w:shd w:val="clear" w:color="auto" w:fill="FFFFFF"/>
        </w:rPr>
        <w:t>o produce 650 MMcf of RNG annually when complete and on-line by the end of calendar year 2024. The RNG will be delivered to the local natural gas pipelines serving the regional distribution system.</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•In August 2021, Energy Services invested in a joint ven</w:t>
      </w:r>
      <w:r>
        <w:rPr>
          <w:rFonts w:eastAsia="Times New Roman"/>
          <w:color w:val="000000"/>
          <w:sz w:val="20"/>
          <w:szCs w:val="20"/>
        </w:rPr>
        <w:t>ture to develop innovative food waste digester projects to produce RNG in Ohio and Kentucky. The first digester project is expected to be completed in the first half of calendar 2023 and will process approximately 190,000 tons annually of food waste from n</w:t>
      </w:r>
      <w:r>
        <w:rPr>
          <w:rFonts w:eastAsia="Times New Roman"/>
          <w:color w:val="000000"/>
          <w:sz w:val="20"/>
          <w:szCs w:val="20"/>
        </w:rPr>
        <w:t>earby food manufacturers in an anaerobic digester. The project is expected to generate approximately 250,000 MMBTUs of pipeline-quality RNG each year that will be injected into a local natural gas pipeline on the regional distribution system.</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•In Novembe</w:t>
      </w:r>
      <w:r>
        <w:rPr>
          <w:rFonts w:eastAsia="Times New Roman"/>
          <w:color w:val="000000"/>
          <w:sz w:val="20"/>
          <w:szCs w:val="20"/>
        </w:rPr>
        <w:t xml:space="preserve">r 2020, Energy Services invested in a utility-scale RNG project in Idaho. The project is expected to produce several hundred MMcf of RNG each year from on-site dairy waste feedstock once it is expanded to reach full production in 2022.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Competition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w:t>
      </w:r>
      <w:r>
        <w:rPr>
          <w:rFonts w:eastAsia="Times New Roman"/>
          <w:color w:val="000000"/>
          <w:sz w:val="20"/>
          <w:szCs w:val="20"/>
        </w:rPr>
        <w:t xml:space="preserve"> Midstream &amp; Marketing segment competes with other midstream operators to sell gathering, compression, storage and pipeline transportation services. Our Midstream &amp; Marketing segment competes in both the regulated and non-regulated environment against inte</w:t>
      </w:r>
      <w:r>
        <w:rPr>
          <w:rFonts w:eastAsia="Times New Roman"/>
          <w:color w:val="000000"/>
          <w:sz w:val="20"/>
          <w:szCs w:val="20"/>
        </w:rPr>
        <w:t>rstate and intrastate pipelines that gather, compress, process, transport and market natural gas. Our Midstream &amp; Marketing segment sells midstream services primarily to producers, marketers and utilities on the basis of price, customer service, flexibilit</w:t>
      </w:r>
      <w:r>
        <w:rPr>
          <w:rFonts w:eastAsia="Times New Roman"/>
          <w:color w:val="000000"/>
          <w:sz w:val="20"/>
          <w:szCs w:val="20"/>
        </w:rPr>
        <w:t xml:space="preserve">y, reliability and operational experience. The competition in the midstream segment is significant and has grown recently in the northeast U.S. as more competitors seek opportunities offered by the development of the Marcellus and Utica Shales. </w:t>
      </w:r>
    </w:p>
    <w:p w:rsidR="00000000" w:rsidRDefault="00DF5BC2">
      <w:pPr>
        <w:ind w:firstLine="720"/>
        <w:jc w:val="both"/>
        <w:rPr>
          <w:rFonts w:eastAsia="Times New Roman"/>
        </w:rPr>
      </w:pPr>
    </w:p>
    <w:p w:rsidR="00000000" w:rsidRDefault="00DF5BC2">
      <w:pPr>
        <w:jc w:val="both"/>
        <w:rPr>
          <w:rFonts w:eastAsia="Times New Roman"/>
        </w:rPr>
      </w:pPr>
      <w:r>
        <w:rPr>
          <w:rFonts w:eastAsia="Times New Roman"/>
          <w:color w:val="000000"/>
          <w:sz w:val="20"/>
          <w:szCs w:val="20"/>
        </w:rPr>
        <w:t>Our Mids</w:t>
      </w:r>
      <w:r>
        <w:rPr>
          <w:rFonts w:eastAsia="Times New Roman"/>
          <w:color w:val="000000"/>
          <w:sz w:val="20"/>
          <w:szCs w:val="20"/>
        </w:rPr>
        <w:t>tream &amp; Marketing segment also competes with other marketers, consultants and local utilities to sell natural gas, liquid fuels, electric power and related services to customers in its service area principally on the basis of price, customer service and re</w:t>
      </w:r>
      <w:r>
        <w:rPr>
          <w:rFonts w:eastAsia="Times New Roman"/>
          <w:color w:val="000000"/>
          <w:sz w:val="20"/>
          <w:szCs w:val="20"/>
        </w:rPr>
        <w:t>liability. Midstream &amp; Marketing’s midstream asset business has faced an increase in competition in recent years with the consolidation of companies that have resulted in large, national competitors that can offer a suite of services across all customer se</w:t>
      </w:r>
      <w:r>
        <w:rPr>
          <w:rFonts w:eastAsia="Times New Roman"/>
          <w:color w:val="000000"/>
          <w:sz w:val="20"/>
          <w:szCs w:val="20"/>
        </w:rPr>
        <w:t xml:space="preserve">gments.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electricity generation assets compete with other generation stations on the interface of PJM, a regional transmission organization that coordinates the movement of wholesale electricity in certain states, including the states in which we ope</w:t>
      </w:r>
      <w:r>
        <w:rPr>
          <w:rFonts w:eastAsia="Times New Roman"/>
          <w:color w:val="000000"/>
          <w:sz w:val="20"/>
          <w:szCs w:val="20"/>
        </w:rPr>
        <w:t xml:space="preserve">rate, and bases sales on bid pricing. </w:t>
      </w:r>
    </w:p>
    <w:p w:rsidR="00000000" w:rsidRDefault="00DF5BC2">
      <w:pPr>
        <w:jc w:val="center"/>
        <w:divId w:val="1904683859"/>
        <w:rPr>
          <w:rFonts w:eastAsia="Times New Roman"/>
        </w:rPr>
      </w:pPr>
      <w:r>
        <w:rPr>
          <w:rFonts w:eastAsia="Times New Roman"/>
          <w:color w:val="000000"/>
          <w:sz w:val="20"/>
          <w:szCs w:val="20"/>
        </w:rPr>
        <w:t>23</w:t>
      </w:r>
    </w:p>
    <w:p w:rsidR="00000000" w:rsidRDefault="00DF5BC2">
      <w:pPr>
        <w:rPr>
          <w:rFonts w:eastAsia="Times New Roman"/>
        </w:rPr>
      </w:pPr>
      <w:r>
        <w:rPr>
          <w:rFonts w:eastAsia="Times New Roman"/>
        </w:rPr>
        <w:pict>
          <v:rect id="_x0000_i1049" style="width:0;height:1.5pt" o:hralign="center" o:hrstd="t" o:hr="t" fillcolor="#a0a0a0" stroked="f"/>
        </w:pict>
      </w:r>
    </w:p>
    <w:p w:rsidR="00000000" w:rsidRDefault="00DF5BC2">
      <w:pPr>
        <w:divId w:val="31329293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Through our wholly owned subsidiary, GHI, Midstream &amp; Marketing has the capability to source and del</w:t>
      </w:r>
      <w:r>
        <w:rPr>
          <w:rFonts w:eastAsia="Times New Roman"/>
          <w:color w:val="000000"/>
          <w:sz w:val="20"/>
          <w:szCs w:val="20"/>
        </w:rPr>
        <w:t>iver RNG to customers throughout the U.S. GHI currently delivers RNG to transportation fleets for utilization in their compressed natural gas and LNG fueled vehicles, resulting in the creation and monetization of California Low Carbon Fuel Standard (“LCFS”</w:t>
      </w:r>
      <w:r>
        <w:rPr>
          <w:rFonts w:eastAsia="Times New Roman"/>
          <w:color w:val="000000"/>
          <w:sz w:val="20"/>
          <w:szCs w:val="20"/>
        </w:rPr>
        <w:t xml:space="preserve">) and Renewable Fuel Standard (“RFS”) Renewable Identification Numbers (“RINs”). </w:t>
      </w:r>
    </w:p>
    <w:p w:rsidR="00000000" w:rsidRDefault="00DF5BC2">
      <w:pPr>
        <w:ind w:firstLine="720"/>
        <w:jc w:val="both"/>
        <w:rPr>
          <w:rFonts w:eastAsia="Times New Roman"/>
        </w:rPr>
      </w:pPr>
    </w:p>
    <w:p w:rsidR="00000000" w:rsidRDefault="00DF5BC2">
      <w:pPr>
        <w:jc w:val="both"/>
        <w:rPr>
          <w:rFonts w:eastAsia="Times New Roman"/>
        </w:rPr>
      </w:pPr>
      <w:r>
        <w:rPr>
          <w:rFonts w:eastAsia="Times New Roman"/>
          <w:b/>
          <w:bCs/>
          <w:i/>
          <w:iCs/>
          <w:color w:val="000000"/>
          <w:sz w:val="20"/>
          <w:szCs w:val="20"/>
        </w:rPr>
        <w:t>Government Regulation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FERC has jurisdiction over the rates and terms and conditions of service of wholesale sales of electric capacity and energy, as well as the sales fo</w:t>
      </w:r>
      <w:r>
        <w:rPr>
          <w:rFonts w:eastAsia="Times New Roman"/>
          <w:color w:val="000000"/>
          <w:sz w:val="20"/>
          <w:szCs w:val="20"/>
        </w:rPr>
        <w:t>r resale of natural gas and related storage and transportation services.  Energy Services has a tariff on file with FERC, pursuant to which it may make power sales to wholesale customers at market-based rates, to the extent that Energy Services purchases p</w:t>
      </w:r>
      <w:r>
        <w:rPr>
          <w:rFonts w:eastAsia="Times New Roman"/>
          <w:color w:val="000000"/>
          <w:sz w:val="20"/>
          <w:szCs w:val="20"/>
        </w:rPr>
        <w:t>ower in excess of its retail customer needs.  Two subsidiaries of Energy Services, UGI LNG, Inc. and UGI Storage Company, currently operate natural gas storage facilities under FERC certificate approvals and offer services to wholesale customers at FERC-ap</w:t>
      </w:r>
      <w:r>
        <w:rPr>
          <w:rFonts w:eastAsia="Times New Roman"/>
          <w:color w:val="000000"/>
          <w:sz w:val="20"/>
          <w:szCs w:val="20"/>
        </w:rPr>
        <w:t>proved market-based rates. Two other Energy Services subsidiaries operate natural gas pipelines that are subject to FERC regulation. UGI Mt. Bethel Pipeline Company, LLC operates a 12.5-mile, 12-inch pipeline located in Northampton County, Pennsylvania, an</w:t>
      </w:r>
      <w:r>
        <w:rPr>
          <w:rFonts w:eastAsia="Times New Roman"/>
          <w:color w:val="000000"/>
          <w:sz w:val="20"/>
          <w:szCs w:val="20"/>
        </w:rPr>
        <w:t>d UGI Sunbury, LLC operates the Sunbury Pipeline, a 35-mile, 20-inch diameter pipeline located in central Pennsylvania. Both pipelines offer open-access transportation services at cost-based rates approved by FERC. Energy Services and its subsidiaries unde</w:t>
      </w:r>
      <w:r>
        <w:rPr>
          <w:rFonts w:eastAsia="Times New Roman"/>
          <w:color w:val="000000"/>
          <w:sz w:val="20"/>
          <w:szCs w:val="20"/>
        </w:rPr>
        <w:t>rtake various activities to maintain compliance with the FERC Standards of Conduct with respect to pipeline operations. Energy Services is also subject to FERC reporting requirements, market manipulation rules and other FERC enforcement and regulatory powe</w:t>
      </w:r>
      <w:r>
        <w:rPr>
          <w:rFonts w:eastAsia="Times New Roman"/>
          <w:color w:val="000000"/>
          <w:sz w:val="20"/>
          <w:szCs w:val="20"/>
        </w:rPr>
        <w:t xml:space="preserve">rs with respect to its wholesale commodity business.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Midstream &amp; Marketing’</w:t>
      </w:r>
      <w:r>
        <w:rPr>
          <w:rFonts w:eastAsia="Times New Roman"/>
          <w:color w:val="000000"/>
          <w:sz w:val="20"/>
          <w:szCs w:val="20"/>
        </w:rPr>
        <w:t>s midstream assets include natural gas gathering pipelines and compression and processing in northeastern Pennsylvania, southwestern Pennsylvania, eastern Ohio and the panhandle of West Virginia that are regulated under federal pipeline safety laws and sub</w:t>
      </w:r>
      <w:r>
        <w:rPr>
          <w:rFonts w:eastAsia="Times New Roman"/>
          <w:color w:val="000000"/>
          <w:sz w:val="20"/>
          <w:szCs w:val="20"/>
        </w:rPr>
        <w:t xml:space="preserve">ject to operational oversight by both the Pipeline and Hazardous Materials Safety Administration and the PAPUC.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Certain of our Midstream &amp; Marketing businesses are subject to various federal, state and local environmental, safety and transportation laws</w:t>
      </w:r>
      <w:r>
        <w:rPr>
          <w:rFonts w:eastAsia="Times New Roman"/>
          <w:color w:val="000000"/>
          <w:sz w:val="20"/>
          <w:szCs w:val="20"/>
        </w:rPr>
        <w:t xml:space="preserve"> and regulations governing the storage, distribution and transportation of propane and the operation of bulk storage LPG terminals. These laws include, among others, the Resource Conservation and Recovery Act, CERCLA, the Clean Air Act, OSHA, the Homeland </w:t>
      </w:r>
      <w:r>
        <w:rPr>
          <w:rFonts w:eastAsia="Times New Roman"/>
          <w:color w:val="000000"/>
          <w:sz w:val="20"/>
          <w:szCs w:val="20"/>
        </w:rPr>
        <w:t>Security Act of 2002, the Emergency Planning and Community Right-to-Know Act, the Clean Water Act and comparable state statutes. CERCLA imposes joint and several liability on certain classes of persons considered to have contributed to the release or threa</w:t>
      </w:r>
      <w:r>
        <w:rPr>
          <w:rFonts w:eastAsia="Times New Roman"/>
          <w:color w:val="000000"/>
          <w:sz w:val="20"/>
          <w:szCs w:val="20"/>
        </w:rPr>
        <w:t>tened release of a “hazardous substance” into the environment without regard to fault or the legality of the original conduct. With respect to the operation of natural gas gathering and transportation pipelines, Energy Services also is required to comply w</w:t>
      </w:r>
      <w:r>
        <w:rPr>
          <w:rFonts w:eastAsia="Times New Roman"/>
          <w:color w:val="000000"/>
          <w:sz w:val="20"/>
          <w:szCs w:val="20"/>
        </w:rPr>
        <w:t>ith the provisions of the Pipeline Safety Improvement Act of 2002 and the regulations of the DOT.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Midstream &amp; Marketing’s electricity generation assets own electric generation facilities that are within the control area of PJM and are dispatched in a</w:t>
      </w:r>
      <w:r>
        <w:rPr>
          <w:rFonts w:eastAsia="Times New Roman"/>
          <w:color w:val="000000"/>
          <w:sz w:val="20"/>
          <w:szCs w:val="20"/>
        </w:rPr>
        <w:t>ccordance with a FERC-approved open access tariff and associated agreements administered by PJM. UGID receives certain revenues collected by PJM, determined under an approved rate schedule.  Like Energy Services, UGID has a tariff on file with FERC pursuan</w:t>
      </w:r>
      <w:r>
        <w:rPr>
          <w:rFonts w:eastAsia="Times New Roman"/>
          <w:color w:val="000000"/>
          <w:sz w:val="20"/>
          <w:szCs w:val="20"/>
        </w:rPr>
        <w:t>t to which it may make power sales to wholesale customers at market-based rates, and FERC has approved UGID’s market-based rate authority through 2023. UGID is also subject to FERC reporting requirements, market manipulation rules and other FERC enforcemen</w:t>
      </w:r>
      <w:r>
        <w:rPr>
          <w:rFonts w:eastAsia="Times New Roman"/>
          <w:color w:val="000000"/>
          <w:sz w:val="20"/>
          <w:szCs w:val="20"/>
        </w:rPr>
        <w:t xml:space="preserve">t and regulatory powers.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Employees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At September 30, 2021, Midstream &amp; Marketing had over 400 employees.</w:t>
      </w:r>
    </w:p>
    <w:p w:rsidR="00000000" w:rsidRDefault="00DF5BC2">
      <w:pPr>
        <w:jc w:val="both"/>
        <w:rPr>
          <w:rFonts w:eastAsia="Times New Roman"/>
        </w:rPr>
      </w:pPr>
    </w:p>
    <w:p w:rsidR="00000000" w:rsidRDefault="00DF5BC2">
      <w:pPr>
        <w:jc w:val="center"/>
        <w:rPr>
          <w:rFonts w:eastAsia="Times New Roman"/>
        </w:rPr>
      </w:pPr>
      <w:r>
        <w:rPr>
          <w:rFonts w:eastAsia="Times New Roman"/>
          <w:b/>
          <w:bCs/>
          <w:color w:val="000000"/>
          <w:sz w:val="20"/>
          <w:szCs w:val="20"/>
        </w:rPr>
        <w:t>UGI UTILITIES</w:t>
      </w:r>
    </w:p>
    <w:p w:rsidR="00000000" w:rsidRDefault="00DF5BC2">
      <w:pPr>
        <w:divId w:val="641619695"/>
        <w:rPr>
          <w:rFonts w:eastAsia="Times New Roman"/>
        </w:rPr>
      </w:pPr>
    </w:p>
    <w:p w:rsidR="00000000" w:rsidRDefault="00DF5BC2">
      <w:pPr>
        <w:jc w:val="both"/>
        <w:rPr>
          <w:rFonts w:eastAsia="Times New Roman"/>
        </w:rPr>
      </w:pPr>
      <w:r>
        <w:rPr>
          <w:rFonts w:eastAsia="Times New Roman"/>
          <w:b/>
          <w:bCs/>
          <w:i/>
          <w:iCs/>
          <w:color w:val="000000"/>
          <w:sz w:val="20"/>
          <w:szCs w:val="20"/>
        </w:rPr>
        <w:t>GAS UTILITY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Gas Utility con</w:t>
      </w:r>
      <w:r>
        <w:rPr>
          <w:rFonts w:eastAsia="Times New Roman"/>
          <w:color w:val="000000"/>
          <w:sz w:val="20"/>
          <w:szCs w:val="20"/>
        </w:rPr>
        <w:t>sists of the regulated natural gas distribution business of our subsidiary, UGI Utilities, Inc. Gas Utility serves approximately 672,000 customers in eastern and central Pennsylvania and more than 500 customers in portions of one Maryland county. Gas Utili</w:t>
      </w:r>
      <w:r>
        <w:rPr>
          <w:rFonts w:eastAsia="Times New Roman"/>
          <w:color w:val="000000"/>
          <w:sz w:val="20"/>
          <w:szCs w:val="20"/>
        </w:rPr>
        <w:t>ty is regulated by the PAPUC and, with respect to its customers in Maryland, the MDPSC.</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Service Area; Revenue Analysis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Gas Utility provides natural gas distribution services to approximately 672,000 customers in certificated portions of 46 eastern </w:t>
      </w:r>
    </w:p>
    <w:p w:rsidR="00000000" w:rsidRDefault="00DF5BC2">
      <w:pPr>
        <w:jc w:val="center"/>
        <w:divId w:val="638917403"/>
        <w:rPr>
          <w:rFonts w:eastAsia="Times New Roman"/>
        </w:rPr>
      </w:pPr>
      <w:r>
        <w:rPr>
          <w:rFonts w:eastAsia="Times New Roman"/>
          <w:color w:val="000000"/>
          <w:sz w:val="20"/>
          <w:szCs w:val="20"/>
        </w:rPr>
        <w:t>24</w:t>
      </w:r>
    </w:p>
    <w:p w:rsidR="00000000" w:rsidRDefault="00DF5BC2">
      <w:pPr>
        <w:rPr>
          <w:rFonts w:eastAsia="Times New Roman"/>
        </w:rPr>
      </w:pPr>
      <w:r>
        <w:rPr>
          <w:rFonts w:eastAsia="Times New Roman"/>
        </w:rPr>
        <w:pict>
          <v:rect id="_x0000_i1050" style="width:0;height:1.5pt" o:hralign="center" o:hrstd="t" o:hr="t" fillcolor="#a0a0a0" stroked="f"/>
        </w:pict>
      </w:r>
    </w:p>
    <w:p w:rsidR="00000000" w:rsidRDefault="00DF5BC2">
      <w:pPr>
        <w:divId w:val="751198047"/>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and central Pennsylvania counties through its distribution system. Contemporary materials, such as plastic or coated steel, comprise approximate</w:t>
      </w:r>
      <w:r>
        <w:rPr>
          <w:rFonts w:eastAsia="Times New Roman"/>
          <w:color w:val="000000"/>
          <w:sz w:val="20"/>
          <w:szCs w:val="20"/>
        </w:rPr>
        <w:t xml:space="preserve">ly 91% of Gas Utility’s more than 12,400 miles of gas mains, with bare steel pipe comprising approximately 7% and cast iron pipe comprising approximately 2% of Gas Utility’s gas mains. In accordance with Gas Utility’s agreement with the PAPUC, Gas Utility </w:t>
      </w:r>
      <w:r>
        <w:rPr>
          <w:rFonts w:eastAsia="Times New Roman"/>
          <w:color w:val="000000"/>
          <w:sz w:val="20"/>
          <w:szCs w:val="20"/>
        </w:rPr>
        <w:t>will replace the cast iron portion of its gas mains by March 2027 and the bare steel portion of its gas mains by September 2041. The service area includes the cities of Allentown, Bethlehem, Easton, Harrisburg, Hazleton, Lancaster, Lebanon, Reading, Scrant</w:t>
      </w:r>
      <w:r>
        <w:rPr>
          <w:rFonts w:eastAsia="Times New Roman"/>
          <w:color w:val="000000"/>
          <w:sz w:val="20"/>
          <w:szCs w:val="20"/>
        </w:rPr>
        <w:t>on, Wilkes-Barre, Lock Haven, Pittston, Pottsville and Williamsport, Pennsylvania, and the borough of Carlisle, Pennsylvania. Located in Gas Utility’s service area are major production centers for basic industries such as specialty metals, aluminum, glass,</w:t>
      </w:r>
      <w:r>
        <w:rPr>
          <w:rFonts w:eastAsia="Times New Roman"/>
          <w:color w:val="000000"/>
          <w:sz w:val="20"/>
          <w:szCs w:val="20"/>
        </w:rPr>
        <w:t xml:space="preserve"> paper product manufacturing, and several power generation facilities. Gas Utility also distributes natural gas to more than 500 customers in portions of one Maryland county.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System throughput (the total volume of gas sold to or transported for customers</w:t>
      </w:r>
      <w:r>
        <w:rPr>
          <w:rFonts w:eastAsia="Times New Roman"/>
          <w:color w:val="000000"/>
          <w:sz w:val="20"/>
          <w:szCs w:val="20"/>
        </w:rPr>
        <w:t xml:space="preserve"> within Gas Utility’s distribution system) for Fiscal 2021 was approximately 309 Bcf. System sales of gas accounted for approximately 19% of system throughput, while gas transported for residential, commercial and industrial customers who bought their gas </w:t>
      </w:r>
      <w:r>
        <w:rPr>
          <w:rFonts w:eastAsia="Times New Roman"/>
          <w:color w:val="000000"/>
          <w:sz w:val="20"/>
          <w:szCs w:val="20"/>
        </w:rPr>
        <w:t>from others accounted for approximately 81% of system throughput.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Sources of Supply and Pipeline Capacity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Gas Utility is permitted to recover all prudently incurred costs of natural gas it sells to its customers. See “Management’s Discussion and Analysis of Financial Condition and Results of Operations - Market Risk Disclosures” and Note 9 to Consolidated Fina</w:t>
      </w:r>
      <w:r>
        <w:rPr>
          <w:rFonts w:eastAsia="Times New Roman"/>
          <w:color w:val="000000"/>
          <w:sz w:val="20"/>
          <w:szCs w:val="20"/>
        </w:rPr>
        <w:t>ncial Statements. Gas Utility meets its service requirements by utilizing a diverse mix of natural gas purchase contracts with suppliers, marketers and producers, along with peaking, storage and transportation service contracts. These arrangements enable G</w:t>
      </w:r>
      <w:r>
        <w:rPr>
          <w:rFonts w:eastAsia="Times New Roman"/>
          <w:color w:val="000000"/>
          <w:sz w:val="20"/>
          <w:szCs w:val="20"/>
        </w:rPr>
        <w:t>as Utility to purchase gas from Marcellus, Gulf Coast, Mid-Continent, and Appalachian sources as well as peaking facilities and locally produced natural gas connected to the distribution system. For its peaking, transportation and storage services, Gas Uti</w:t>
      </w:r>
      <w:r>
        <w:rPr>
          <w:rFonts w:eastAsia="Times New Roman"/>
          <w:color w:val="000000"/>
          <w:sz w:val="20"/>
          <w:szCs w:val="20"/>
        </w:rPr>
        <w:t>lity has long-term agreements with a number of pipeline companies, including Texas Eastern Transmission, LP, Columbia Gas Transmission, LLC, Transcontinental Gas Pipeline Company, LLC, Dominion Transmission, Inc., Tennessee Gas Pipeline Company, L.L.C., an</w:t>
      </w:r>
      <w:r>
        <w:rPr>
          <w:rFonts w:eastAsia="Times New Roman"/>
          <w:color w:val="000000"/>
          <w:sz w:val="20"/>
          <w:szCs w:val="20"/>
        </w:rPr>
        <w:t xml:space="preserve">d Energy Services and its subsidiaries (including UGI Storage Company).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Gas Supply Contracts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During Fiscal 2021, Gas Utility purchased approximately 86 Bcf of natural gas for sale to retail core-market customers (principally composed of firm- resident</w:t>
      </w:r>
      <w:r>
        <w:rPr>
          <w:rFonts w:eastAsia="Times New Roman"/>
          <w:color w:val="000000"/>
          <w:sz w:val="20"/>
          <w:szCs w:val="20"/>
        </w:rPr>
        <w:t xml:space="preserve">ial, commercial and industrial customers that purchase their gas from Gas Utility) and off-system sales customers. Ninety-seven percent (97%) of the volumes purchased were supplied under agreements with 10 suppliers, with the remaining volumes supplied by </w:t>
      </w:r>
      <w:r>
        <w:rPr>
          <w:rFonts w:eastAsia="Times New Roman"/>
          <w:color w:val="000000"/>
          <w:sz w:val="20"/>
          <w:szCs w:val="20"/>
        </w:rPr>
        <w:t>20 producers and marketers. Gas supply contracts for Gas Utility are generally no longer than 12 months. Gas Utility also has long-term contracts with suppliers for natural gas peaking supply during the months of November through March.</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Seasonality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Bec</w:t>
      </w:r>
      <w:r>
        <w:rPr>
          <w:rFonts w:eastAsia="Times New Roman"/>
          <w:color w:val="000000"/>
          <w:sz w:val="20"/>
          <w:szCs w:val="20"/>
        </w:rPr>
        <w:t>ause many of its customers use gas for heating purposes, Gas Utility’s sales are seasonal. For Fiscal 2021, approximately 58% of Gas Utility’s sales volume was supplied, and approximately 91% of Gas Utility’s operating income was earned, during the peak he</w:t>
      </w:r>
      <w:r>
        <w:rPr>
          <w:rFonts w:eastAsia="Times New Roman"/>
          <w:color w:val="000000"/>
          <w:sz w:val="20"/>
          <w:szCs w:val="20"/>
        </w:rPr>
        <w:t xml:space="preserve">ating season from October through March.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Competition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Natural gas is a fuel that competes with electricity and oil and, to a lesser extent, with propane and coal. Competition among these fuels is primarily a function of their comparative price and the </w:t>
      </w:r>
      <w:r>
        <w:rPr>
          <w:rFonts w:eastAsia="Times New Roman"/>
          <w:color w:val="000000"/>
          <w:sz w:val="20"/>
          <w:szCs w:val="20"/>
        </w:rPr>
        <w:t>relative cost and efficiency of the equipment. Natural gas generally benefits from a competitive price advantage over oil, electricity and propane. Fuel oil dealers compete for customers in all categories, including industrial customers. Gas Utility respon</w:t>
      </w:r>
      <w:r>
        <w:rPr>
          <w:rFonts w:eastAsia="Times New Roman"/>
          <w:color w:val="000000"/>
          <w:sz w:val="20"/>
          <w:szCs w:val="20"/>
        </w:rPr>
        <w:t>ds to this competition with marketing and sales efforts designed to retain, expand, and grow its customer base, including the utilization of flexible negotiated rate structures.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substantially all of its service territories, Gas Utility is the only reg</w:t>
      </w:r>
      <w:r>
        <w:rPr>
          <w:rFonts w:eastAsia="Times New Roman"/>
          <w:color w:val="000000"/>
          <w:sz w:val="20"/>
          <w:szCs w:val="20"/>
        </w:rPr>
        <w:t>ulated gas distribution utility having the right, granted by the PAPUC or by law, to provide gas distribution services. All of Gas Utility’s customers, including core-market customers, have the right to purchase gas supplies from entities other than natura</w:t>
      </w:r>
      <w:r>
        <w:rPr>
          <w:rFonts w:eastAsia="Times New Roman"/>
          <w:color w:val="000000"/>
          <w:sz w:val="20"/>
          <w:szCs w:val="20"/>
        </w:rPr>
        <w:t>l gas distribution utility companies.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 number of Gas Utility’s commercial and industrial customers have the ability to switch to an alternate fuel at any time and, therefore, are served on an interruptible basis under rates that are competitively priced</w:t>
      </w:r>
      <w:r>
        <w:rPr>
          <w:rFonts w:eastAsia="Times New Roman"/>
          <w:color w:val="000000"/>
          <w:sz w:val="20"/>
          <w:szCs w:val="20"/>
        </w:rPr>
        <w:t xml:space="preserve"> with respect to the service alternates. Margin from these customers, therefore, is affected by the difference or “spread” between the customers’ delivered cost of gas and the customers’ delivered cost of the alternate fuel, the frequency and duration of i</w:t>
      </w:r>
      <w:r>
        <w:rPr>
          <w:rFonts w:eastAsia="Times New Roman"/>
          <w:color w:val="000000"/>
          <w:sz w:val="20"/>
          <w:szCs w:val="20"/>
        </w:rPr>
        <w:t>nterruptions, and alternative firm service options. See “Utilities Regulation - State Utility Regulation - Gas Utility.”</w:t>
      </w:r>
    </w:p>
    <w:p w:rsidR="00000000" w:rsidRDefault="00DF5BC2">
      <w:pPr>
        <w:jc w:val="center"/>
        <w:divId w:val="928660604"/>
        <w:rPr>
          <w:rFonts w:eastAsia="Times New Roman"/>
        </w:rPr>
      </w:pPr>
      <w:r>
        <w:rPr>
          <w:rFonts w:eastAsia="Times New Roman"/>
          <w:color w:val="000000"/>
          <w:sz w:val="20"/>
          <w:szCs w:val="20"/>
        </w:rPr>
        <w:t>25</w:t>
      </w:r>
    </w:p>
    <w:p w:rsidR="00000000" w:rsidRDefault="00DF5BC2">
      <w:pPr>
        <w:rPr>
          <w:rFonts w:eastAsia="Times New Roman"/>
        </w:rPr>
      </w:pPr>
      <w:r>
        <w:rPr>
          <w:rFonts w:eastAsia="Times New Roman"/>
        </w:rPr>
        <w:pict>
          <v:rect id="_x0000_i1051" style="width:0;height:1.5pt" o:hralign="center" o:hrstd="t" o:hr="t" fillcolor="#a0a0a0" stroked="f"/>
        </w:pict>
      </w:r>
    </w:p>
    <w:p w:rsidR="00000000" w:rsidRDefault="00DF5BC2">
      <w:pPr>
        <w:divId w:val="744575390"/>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Approximately 50% </w:t>
      </w:r>
      <w:r>
        <w:rPr>
          <w:rFonts w:eastAsia="Times New Roman"/>
          <w:color w:val="000000"/>
          <w:sz w:val="20"/>
          <w:szCs w:val="20"/>
        </w:rPr>
        <w:t>of Gas Utility’s annual throughput volume for commercial and industrial customers includes non-interruptible customers with firm rates at locations that afford them the opportunity of seeking transportation service directly from interstate pipelines, there</w:t>
      </w:r>
      <w:r>
        <w:rPr>
          <w:rFonts w:eastAsia="Times New Roman"/>
          <w:color w:val="000000"/>
          <w:sz w:val="20"/>
          <w:szCs w:val="20"/>
        </w:rPr>
        <w:t>by bypassing Gas Utility. In addition, approximately 14% of Gas Utility’s annual throughput volume for commercial and industrial customers is from customers who are served under interruptible rates and are also in a location near an interstate pipeline. Du</w:t>
      </w:r>
      <w:r>
        <w:rPr>
          <w:rFonts w:eastAsia="Times New Roman"/>
          <w:color w:val="000000"/>
          <w:sz w:val="20"/>
          <w:szCs w:val="20"/>
        </w:rPr>
        <w:t xml:space="preserve">ring Fiscal 2021, Gas Utility had 17 such customers, 13 of which have transportation contracts extending beyond Fiscal 2022. The majority of these customers are served under transportation contracts having 3- to 20-year terms and all are among the largest </w:t>
      </w:r>
      <w:r>
        <w:rPr>
          <w:rFonts w:eastAsia="Times New Roman"/>
          <w:color w:val="000000"/>
          <w:sz w:val="20"/>
          <w:szCs w:val="20"/>
        </w:rPr>
        <w:t>customers for Gas Utility in terms of annual volumes. No single customer represents, or is anticipated to represent, more than 5% of Gas Utility’s total revenues.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Outlook for Gas Service and Supply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Gas Utility anticipates having adequate pipeline capacity, peaking services and other sources of supply available to it to meet the full requirements of all firm customers on its system through Fiscal 2022. Supply mix is diversified, market priced and deli</w:t>
      </w:r>
      <w:r>
        <w:rPr>
          <w:rFonts w:eastAsia="Times New Roman"/>
          <w:color w:val="000000"/>
          <w:sz w:val="20"/>
          <w:szCs w:val="20"/>
        </w:rPr>
        <w:t>vered pursuant to a number of long-term and short-term primary firm transportation and storage arrangements, including transportation contracts held by some of Gas Utility’s larger customers and natural gas suppliers serving customers on Gas Utility’s dist</w:t>
      </w:r>
      <w:r>
        <w:rPr>
          <w:rFonts w:eastAsia="Times New Roman"/>
          <w:color w:val="000000"/>
          <w:sz w:val="20"/>
          <w:szCs w:val="20"/>
        </w:rPr>
        <w:t>ribution system.</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During Fiscal 2021 Gas Utility supplied transportation service to 11 electric generation facilities and 27 major co-generation facilities. Gas Utility continues to seek new residential, commercial, and industrial customers for both firm and interruptible s</w:t>
      </w:r>
      <w:r>
        <w:rPr>
          <w:rFonts w:eastAsia="Times New Roman"/>
          <w:color w:val="000000"/>
          <w:sz w:val="20"/>
          <w:szCs w:val="20"/>
        </w:rPr>
        <w:t>ervice. In Fiscal 2021, Gas Utility connected more than 1,350 new commercial and industrial customers. In the residential market sector, Gas Utility added more than 11,000 residential heating customers during Fiscal 2021. Approximately 48% of these custome</w:t>
      </w:r>
      <w:r>
        <w:rPr>
          <w:rFonts w:eastAsia="Times New Roman"/>
          <w:color w:val="000000"/>
          <w:sz w:val="20"/>
          <w:szCs w:val="20"/>
        </w:rPr>
        <w:t>rs converted to natural gas heating from other energy sources, mainly oil and electricity. New home construction and existing non-heating gas customers who added gas heating systems to replace other energy sources primarily accounted for the other resident</w:t>
      </w:r>
      <w:r>
        <w:rPr>
          <w:rFonts w:eastAsia="Times New Roman"/>
          <w:color w:val="000000"/>
          <w:sz w:val="20"/>
          <w:szCs w:val="20"/>
        </w:rPr>
        <w:t>ial heating connections in Fiscal 2021.</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Gas Utility continues to monitor and participate, where appropriate, in rulemaking and individual rate and tariff proceedings before FERC affecting the rates and the terms and conditions under which Gas Utility tra</w:t>
      </w:r>
      <w:r>
        <w:rPr>
          <w:rFonts w:eastAsia="Times New Roman"/>
          <w:color w:val="000000"/>
          <w:sz w:val="20"/>
          <w:szCs w:val="20"/>
        </w:rPr>
        <w:t>nsports and stores natural gas. Among these proceedings are those arising out of certain FERC orders and/or pipeline filings that relate to (i) the pricing of pipeline services in a competitive energy marketplace, (ii) the flexibility of the terms and cond</w:t>
      </w:r>
      <w:r>
        <w:rPr>
          <w:rFonts w:eastAsia="Times New Roman"/>
          <w:color w:val="000000"/>
          <w:sz w:val="20"/>
          <w:szCs w:val="20"/>
        </w:rPr>
        <w:t>itions of pipeline service tariffs and contracts, and (iii) pipelines’ requests to increase their base rates, or change the terms and conditions of their storage and transportation services.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Gas Utility’s objective in negotiations with providers of gas s</w:t>
      </w:r>
      <w:r>
        <w:rPr>
          <w:rFonts w:eastAsia="Times New Roman"/>
          <w:color w:val="000000"/>
          <w:sz w:val="20"/>
          <w:szCs w:val="20"/>
        </w:rPr>
        <w:t>upply resources, and in proceedings before regulatory agencies, is to ensure availability of supply, transportation and storage alternatives to serve market requirements at the lowest cost possible, taking into account the need for safety, security and rel</w:t>
      </w:r>
      <w:r>
        <w:rPr>
          <w:rFonts w:eastAsia="Times New Roman"/>
          <w:color w:val="000000"/>
          <w:sz w:val="20"/>
          <w:szCs w:val="20"/>
        </w:rPr>
        <w:t>iability of supply. Consistent with that objective, Gas Utility negotiates certain terms of firm transportation capacity on all pipelines serving it, arranges for appropriate storage and peak-shaving resources, negotiates with producers for competitively p</w:t>
      </w:r>
      <w:r>
        <w:rPr>
          <w:rFonts w:eastAsia="Times New Roman"/>
          <w:color w:val="000000"/>
          <w:sz w:val="20"/>
          <w:szCs w:val="20"/>
        </w:rPr>
        <w:t>riced gas purchases and aggressively participates in regulatory proceedings related to transportation rights and costs of service.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At September 30, 2021, Gas Utility had over 1,650 employees.</w:t>
      </w:r>
    </w:p>
    <w:p w:rsidR="00000000" w:rsidRDefault="00DF5BC2">
      <w:pPr>
        <w:divId w:val="1687059070"/>
        <w:rPr>
          <w:rFonts w:eastAsia="Times New Roman"/>
        </w:rPr>
      </w:pPr>
    </w:p>
    <w:p w:rsidR="00000000" w:rsidRDefault="00DF5BC2">
      <w:pPr>
        <w:jc w:val="both"/>
        <w:rPr>
          <w:rFonts w:eastAsia="Times New Roman"/>
        </w:rPr>
      </w:pPr>
      <w:r>
        <w:rPr>
          <w:rFonts w:eastAsia="Times New Roman"/>
          <w:b/>
          <w:bCs/>
          <w:i/>
          <w:iCs/>
          <w:color w:val="000000"/>
          <w:sz w:val="20"/>
          <w:szCs w:val="20"/>
        </w:rPr>
        <w:t>MOUNTAINEER</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September 2021, we completed the Mountainee</w:t>
      </w:r>
      <w:r>
        <w:rPr>
          <w:rFonts w:eastAsia="Times New Roman"/>
          <w:color w:val="000000"/>
          <w:sz w:val="20"/>
          <w:szCs w:val="20"/>
        </w:rPr>
        <w:t>r Acquisition, whereby Mountaineer Gas Company became an indirect, wholly owned subsidiary of UGI Corporation. Mountaineer provides a regulated natural gas distribution business to nearly 214,000 customers in 50 of West Virginia’s 55 counties. Mountaineer’</w:t>
      </w:r>
      <w:r>
        <w:rPr>
          <w:rFonts w:eastAsia="Times New Roman"/>
          <w:color w:val="000000"/>
          <w:sz w:val="20"/>
          <w:szCs w:val="20"/>
        </w:rPr>
        <w:t>s system is comprised of approximately 6,200 miles of distribution, transmission and gathering pipelines. Contemporary materials, such as plastic or coated steel, comprise approximately 74% of Mountaineer’s gas mains, with bare steel pipe comprising the re</w:t>
      </w:r>
      <w:r>
        <w:rPr>
          <w:rFonts w:eastAsia="Times New Roman"/>
          <w:color w:val="000000"/>
          <w:sz w:val="20"/>
          <w:szCs w:val="20"/>
        </w:rPr>
        <w:t xml:space="preserve">maining 26%.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As of September 30, 2021, Mountaineer’s customer base was approximately 90% residential and 10% commercial and industrial customers, with throughput volumes consisting of approximately 30% residential, 36% commercial and 34% industrial and </w:t>
      </w:r>
      <w:r>
        <w:rPr>
          <w:rFonts w:eastAsia="Times New Roman"/>
          <w:color w:val="000000"/>
          <w:sz w:val="20"/>
          <w:szCs w:val="20"/>
        </w:rPr>
        <w:t xml:space="preserve">other. Because many of its customers use gas for heating purposes, Mountaineer’s sales are seasonal. For Fiscal 2021, approximately 65% of Mountaineer’s sales volume (including transport volumes) was supplied, and more than 140% of Mountaineer’s operating </w:t>
      </w:r>
      <w:r>
        <w:rPr>
          <w:rFonts w:eastAsia="Times New Roman"/>
          <w:color w:val="000000"/>
          <w:sz w:val="20"/>
          <w:szCs w:val="20"/>
        </w:rPr>
        <w:t xml:space="preserve">income was earned, during the peak heating season from October through March.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System throughput (the total volume of gas sold to or transported for customers within Mountaineer’s distribution system) for Fiscal 2021 was approximately 46 Bcf. Retail core</w:t>
      </w:r>
      <w:r>
        <w:rPr>
          <w:rFonts w:eastAsia="Times New Roman"/>
          <w:color w:val="000000"/>
          <w:sz w:val="20"/>
          <w:szCs w:val="20"/>
        </w:rPr>
        <w:t xml:space="preserve">-market sales of gas accounted for approximately 46% of system throughput, while gas transported for commercial and industrial customers who bought their gas from others accounted for nearly 54% of </w:t>
      </w:r>
    </w:p>
    <w:p w:rsidR="00000000" w:rsidRDefault="00DF5BC2">
      <w:pPr>
        <w:jc w:val="center"/>
        <w:divId w:val="1650011082"/>
        <w:rPr>
          <w:rFonts w:eastAsia="Times New Roman"/>
        </w:rPr>
      </w:pPr>
      <w:r>
        <w:rPr>
          <w:rFonts w:eastAsia="Times New Roman"/>
          <w:color w:val="000000"/>
          <w:sz w:val="20"/>
          <w:szCs w:val="20"/>
        </w:rPr>
        <w:t>26</w:t>
      </w:r>
    </w:p>
    <w:p w:rsidR="00000000" w:rsidRDefault="00DF5BC2">
      <w:pPr>
        <w:rPr>
          <w:rFonts w:eastAsia="Times New Roman"/>
        </w:rPr>
      </w:pPr>
      <w:r>
        <w:rPr>
          <w:rFonts w:eastAsia="Times New Roman"/>
        </w:rPr>
        <w:pict>
          <v:rect id="_x0000_i1052" style="width:0;height:1.5pt" o:hralign="center" o:hrstd="t" o:hr="t" fillcolor="#a0a0a0" stroked="f"/>
        </w:pict>
      </w:r>
    </w:p>
    <w:p w:rsidR="00000000" w:rsidRDefault="00DF5BC2">
      <w:pPr>
        <w:divId w:val="1364749260"/>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 xml:space="preserve">system throughput. Mountaineer anticipates having adequate pipeline capacity, peaking services and other sources of supply available to it to meet the full requirements of all firm customers on its </w:t>
      </w:r>
      <w:r>
        <w:rPr>
          <w:rFonts w:eastAsia="Times New Roman"/>
          <w:color w:val="000000"/>
          <w:sz w:val="20"/>
          <w:szCs w:val="20"/>
        </w:rPr>
        <w:t xml:space="preserve">system through Fiscal 2022.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Approximately 29% of Mountaineer’s annual throughput volume for commercial and industrial customers represents customers who are served under interruptible rates and are also in a location near an interstate pipeline. As of S</w:t>
      </w:r>
      <w:r>
        <w:rPr>
          <w:rFonts w:eastAsia="Times New Roman"/>
          <w:color w:val="000000"/>
          <w:sz w:val="20"/>
          <w:szCs w:val="20"/>
        </w:rPr>
        <w:t>eptember 30, 2021, Mountaineer had 18 such customers, one of which has a transportation contract extending beyond September 30, 2022. The majority of these customers, including ten of Mountaineer’s largest customers in terms of annual volumes, are served u</w:t>
      </w:r>
      <w:r>
        <w:rPr>
          <w:rFonts w:eastAsia="Times New Roman"/>
          <w:color w:val="000000"/>
          <w:sz w:val="20"/>
          <w:szCs w:val="20"/>
        </w:rPr>
        <w:t>nder evergreen transportation contracts having a 30- to 180-day termination notice.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Mountaineer meets its service requirements by utilizing a diverse mix of natural gas purchase contracts with marketers and producers, along with storage and transportatio</w:t>
      </w:r>
      <w:r>
        <w:rPr>
          <w:rFonts w:eastAsia="Times New Roman"/>
          <w:color w:val="000000"/>
          <w:sz w:val="20"/>
          <w:szCs w:val="20"/>
        </w:rPr>
        <w:t>n service contracts. During Fiscal 2021, Mountaineer purchased approximately 23 Bcf of natural gas for sale to retail core-market customers (principally composed of firm- residential, commercial and industrial customers that purchase their gas from Mountai</w:t>
      </w:r>
      <w:r>
        <w:rPr>
          <w:rFonts w:eastAsia="Times New Roman"/>
          <w:color w:val="000000"/>
          <w:sz w:val="20"/>
          <w:szCs w:val="20"/>
        </w:rPr>
        <w:t xml:space="preserve">neer). Approximately 79% of the volume purchased was supplied under agreements with 10 suppliers, with the remaining volumes supplied by various producers and marketers. Gas supply contracts for Mountaineer are generally evergreen agreements with a 30-day </w:t>
      </w:r>
      <w:r>
        <w:rPr>
          <w:rFonts w:eastAsia="Times New Roman"/>
          <w:color w:val="000000"/>
          <w:sz w:val="20"/>
          <w:szCs w:val="20"/>
        </w:rPr>
        <w:t xml:space="preserve">termination notice.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At September 30, 2021, Mountaineer had more than 460 employees.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ELECTRIC UTILITY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Electric Utility supplies electric service to approximately 62,500 customers in portions of Luzerne and Wyoming counties in northeastern Pennsylvania through a system consisting of over 2,600 miles of transmission and distribution lines and 14 substations.</w:t>
      </w:r>
      <w:r>
        <w:rPr>
          <w:rFonts w:eastAsia="Times New Roman"/>
          <w:color w:val="000000"/>
          <w:sz w:val="20"/>
          <w:szCs w:val="20"/>
        </w:rPr>
        <w:t xml:space="preserve"> For Fiscal 2021, approximately 58% of sales volume came from residential customers, 31% from commercial customers, and 11% from industrial and other customers. During Fiscal 2021, 13 retail electric generation suppliers provided energy for customers repre</w:t>
      </w:r>
      <w:r>
        <w:rPr>
          <w:rFonts w:eastAsia="Times New Roman"/>
          <w:color w:val="000000"/>
          <w:sz w:val="20"/>
          <w:szCs w:val="20"/>
        </w:rPr>
        <w:t xml:space="preserve">senting approximately 37% of Electric Utility’s sales volume.  At September 30, 2021, UGI Utilities, Inc.’s electric utility operations had more than 75 employees.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UTILITIES REGULATION</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State Utility Regulation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Gas Utility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Gas Utility is subject </w:t>
      </w:r>
      <w:r>
        <w:rPr>
          <w:rFonts w:eastAsia="Times New Roman"/>
          <w:color w:val="000000"/>
          <w:sz w:val="20"/>
          <w:szCs w:val="20"/>
        </w:rPr>
        <w:t xml:space="preserve">to regulation by the PAPUC as to rates, terms and conditions of service, accounting matters, issuance of securities, contracts and other arrangements with affiliated entities, gas safety and various other matters. Rates that Gas Utility may charge for gas </w:t>
      </w:r>
      <w:r>
        <w:rPr>
          <w:rFonts w:eastAsia="Times New Roman"/>
          <w:color w:val="000000"/>
          <w:sz w:val="20"/>
          <w:szCs w:val="20"/>
        </w:rPr>
        <w:t>service come in two forms: (i) rates designed to recover PGCs; and (ii) rates designed to recover costs other than PGCs. Rates designed to recover PGCs are reviewed in PGC proceedings. Rates designed to recover costs other than PGCs are primarily establish</w:t>
      </w:r>
      <w:r>
        <w:rPr>
          <w:rFonts w:eastAsia="Times New Roman"/>
          <w:color w:val="000000"/>
          <w:sz w:val="20"/>
          <w:szCs w:val="20"/>
        </w:rPr>
        <w:t xml:space="preserve">ed in general base rate proceedings.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October 4, 2019, the PAPUC issued a final order approving a settlement of a base rate proceeding by Gas Utility that permitted Gas Utility, effective October 11, 2019, to increase its base distribution revenues by</w:t>
      </w:r>
      <w:r>
        <w:rPr>
          <w:rFonts w:eastAsia="Times New Roman"/>
          <w:color w:val="000000"/>
          <w:sz w:val="20"/>
          <w:szCs w:val="20"/>
        </w:rPr>
        <w:t xml:space="preserve"> $30 million under a single tariff, approved a plan for uniform class rates, and permitted Gas Utility to extend its Energy Efficiency and Conservation and Growth Extension Tariff programs by additional terms of 5 years.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October 8, 2020, the PAPUC is</w:t>
      </w:r>
      <w:r>
        <w:rPr>
          <w:rFonts w:eastAsia="Times New Roman"/>
          <w:color w:val="000000"/>
          <w:sz w:val="20"/>
          <w:szCs w:val="20"/>
        </w:rPr>
        <w:t>sued a final order approving a settlement of a base rate proceeding by Gas Utility that permitted Gas Utility to utilize a two-step phase-in of a $20 million base distribution revenue increase, with $10 million effective January 1, 2021, and $10 million ef</w:t>
      </w:r>
      <w:r>
        <w:rPr>
          <w:rFonts w:eastAsia="Times New Roman"/>
          <w:color w:val="000000"/>
          <w:sz w:val="20"/>
          <w:szCs w:val="20"/>
        </w:rPr>
        <w:t>fective July 1, 2021. The settlement also provides enhanced COVID-19 related consumer protections and allowed Gas Utility future regulatory asset recovery of COVID-19 related costs, such as greater-than-budgeted uncollectible accounts expense and other COV</w:t>
      </w:r>
      <w:r>
        <w:rPr>
          <w:rFonts w:eastAsia="Times New Roman"/>
          <w:color w:val="000000"/>
          <w:sz w:val="20"/>
          <w:szCs w:val="20"/>
        </w:rPr>
        <w:t xml:space="preserve">ID-19 related operating costs.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Act 11 authorized the PAPUC to permit electric and gas distribution companies, between base rate cases and subject to certain conditions, to recover reasonable and prudent costs incurred to repair, improve or replace eligi</w:t>
      </w:r>
      <w:r>
        <w:rPr>
          <w:rFonts w:eastAsia="Times New Roman"/>
          <w:color w:val="000000"/>
          <w:sz w:val="20"/>
          <w:szCs w:val="20"/>
        </w:rPr>
        <w:t xml:space="preserve">ble property through a DSIC assessed to customers. Among other requirements, DSICs are subject to reconciliation of over-/under- collection, quarterly adjustment and are capped at five percent of total customer charges absent a PAPUC-granted exception. In </w:t>
      </w:r>
      <w:r>
        <w:rPr>
          <w:rFonts w:eastAsia="Times New Roman"/>
          <w:color w:val="000000"/>
          <w:sz w:val="20"/>
          <w:szCs w:val="20"/>
        </w:rPr>
        <w:t>addition, Act 11 requires affected utilities to obtain approval of LTIIPs from the PAPUC. Act 11 also authorized electric and gas distribution companies to utilize a fully forecasted future test year when establishing rates in base rate cases before the PA</w:t>
      </w:r>
      <w:r>
        <w:rPr>
          <w:rFonts w:eastAsia="Times New Roman"/>
          <w:color w:val="000000"/>
          <w:sz w:val="20"/>
          <w:szCs w:val="20"/>
        </w:rPr>
        <w:t>PUC.</w:t>
      </w:r>
    </w:p>
    <w:p w:rsidR="00000000" w:rsidRDefault="00DF5BC2">
      <w:pPr>
        <w:jc w:val="both"/>
        <w:rPr>
          <w:rFonts w:eastAsia="Times New Roman"/>
        </w:rPr>
      </w:pPr>
    </w:p>
    <w:p w:rsidR="00000000" w:rsidRDefault="00DF5BC2">
      <w:pPr>
        <w:jc w:val="center"/>
        <w:divId w:val="2029982753"/>
        <w:rPr>
          <w:rFonts w:eastAsia="Times New Roman"/>
        </w:rPr>
      </w:pPr>
      <w:r>
        <w:rPr>
          <w:rFonts w:eastAsia="Times New Roman"/>
          <w:color w:val="000000"/>
          <w:sz w:val="20"/>
          <w:szCs w:val="20"/>
        </w:rPr>
        <w:t>27</w:t>
      </w:r>
    </w:p>
    <w:p w:rsidR="00000000" w:rsidRDefault="00DF5BC2">
      <w:pPr>
        <w:rPr>
          <w:rFonts w:eastAsia="Times New Roman"/>
        </w:rPr>
      </w:pPr>
      <w:r>
        <w:rPr>
          <w:rFonts w:eastAsia="Times New Roman"/>
        </w:rPr>
        <w:pict>
          <v:rect id="_x0000_i1053" style="width:0;height:1.5pt" o:hralign="center" o:hrstd="t" o:hr="t" fillcolor="#a0a0a0" stroked="f"/>
        </w:pict>
      </w:r>
    </w:p>
    <w:p w:rsidR="00000000" w:rsidRDefault="00DF5BC2">
      <w:pPr>
        <w:divId w:val="1038628606"/>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On August 21, 2019, Gas Utility filed a consolidated LTIIP designed for the 2020-2024 calendar years (the “Gas LTIIP II”), during which Gas Utility projects spending $1.265 billion on DSIC-eligible property. Gas Utility’s filing was approved by the PAPUC i</w:t>
      </w:r>
      <w:r>
        <w:rPr>
          <w:rFonts w:eastAsia="Times New Roman"/>
          <w:color w:val="000000"/>
          <w:sz w:val="20"/>
          <w:szCs w:val="20"/>
        </w:rPr>
        <w:t xml:space="preserve">n an order entered December 19, 2019.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With the approval of new base distribution rates on October 8, 2020, the DSIC-eligible property revenue requirement was included in base distribution revenue recovery. The final order issued by the PAPUC approved th</w:t>
      </w:r>
      <w:r>
        <w:rPr>
          <w:rFonts w:eastAsia="Times New Roman"/>
          <w:color w:val="000000"/>
          <w:sz w:val="20"/>
          <w:szCs w:val="20"/>
        </w:rPr>
        <w:t>e settlement of the base rate proceeding and authorized Gas Utility to implement a DSIC once Gas Utility’s total property, plant and equipment less accumulated depreciation reached $2.875 billion. This threshold was achieved in December 2020, and Gas Utili</w:t>
      </w:r>
      <w:r>
        <w:rPr>
          <w:rFonts w:eastAsia="Times New Roman"/>
          <w:color w:val="000000"/>
          <w:sz w:val="20"/>
          <w:szCs w:val="20"/>
        </w:rPr>
        <w:t xml:space="preserve">ty implemented a DSIC effective April 1, 2021. Unless Gas Utility seeks and receives a PAPUC waiver of the statutory 5% rate cap, any future DSIC charges will be capped at 5% of overall Gas Utility annual base revenue.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addition to base distribution r</w:t>
      </w:r>
      <w:r>
        <w:rPr>
          <w:rFonts w:eastAsia="Times New Roman"/>
          <w:color w:val="000000"/>
          <w:sz w:val="20"/>
          <w:szCs w:val="20"/>
        </w:rPr>
        <w:t>ates and various surcharges designed to recover specified types of costs, Gas Utility’s tariff also includes a uniform PGC rate applicable to firm retail rate schedules for customers who do not obtain natural gas supply service from an alternative supplier</w:t>
      </w:r>
      <w:r>
        <w:rPr>
          <w:rFonts w:eastAsia="Times New Roman"/>
          <w:color w:val="000000"/>
          <w:sz w:val="20"/>
          <w:szCs w:val="20"/>
        </w:rPr>
        <w:t>. The PGC rate permits recovery of all prudently incurred costs of natural gas that Gas Utility sells to its retail customers. PGC rates are reviewed and approved annually by the PAPUC. Gas Utility may request quarterly or, under certain conditions, monthl</w:t>
      </w:r>
      <w:r>
        <w:rPr>
          <w:rFonts w:eastAsia="Times New Roman"/>
          <w:color w:val="000000"/>
          <w:sz w:val="20"/>
          <w:szCs w:val="20"/>
        </w:rPr>
        <w:t>y adjustments to reflect the actual cost of gas. Quarterly adjustments become effective on one day’s notice to the PAPUC and are subject to review during the next annual PGC filing. Each proposed annual PGC rate is required to be filed with the PAPUC six m</w:t>
      </w:r>
      <w:r>
        <w:rPr>
          <w:rFonts w:eastAsia="Times New Roman"/>
          <w:color w:val="000000"/>
          <w:sz w:val="20"/>
          <w:szCs w:val="20"/>
        </w:rPr>
        <w:t>onths prior to its effective date. During this period, the PAPUC investigates and may hold hearings to determine whether the proposed rate reflects a least-cost fuel procurement policy consistent with the obligation to provide safe, adequate and reliable s</w:t>
      </w:r>
      <w:r>
        <w:rPr>
          <w:rFonts w:eastAsia="Times New Roman"/>
          <w:color w:val="000000"/>
          <w:sz w:val="20"/>
          <w:szCs w:val="20"/>
        </w:rPr>
        <w:t>ervice. After completion of these hearings, the PAPUC issues an order permitting the collection of gas costs at levels that meet such standard. The PGC mechanism also provides for an annual reconciliation and for the payment or collection of interest on ov</w:t>
      </w:r>
      <w:r>
        <w:rPr>
          <w:rFonts w:eastAsia="Times New Roman"/>
          <w:color w:val="000000"/>
          <w:sz w:val="20"/>
          <w:szCs w:val="20"/>
        </w:rPr>
        <w:t xml:space="preserve">er and under collections.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Gas Utility’s gas service tariff also contains a state tax surcharge clause. The surcharge is recomputed whenever any of the tax rates included in their calculation are changed. These clauses protect Gas Utility from the effect</w:t>
      </w:r>
      <w:r>
        <w:rPr>
          <w:rFonts w:eastAsia="Times New Roman"/>
          <w:color w:val="000000"/>
          <w:sz w:val="20"/>
          <w:szCs w:val="20"/>
        </w:rPr>
        <w:t>s of increases in certain of the Pennsylvania taxes to which it is subject.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Mountaineer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Mountaineer is subject to regulation of rates and other aspects of its business by the WVPSC. When necessary, Mountaineer seeks general base rate increases to recover increased operating costs and a fair return on rate base investments. Base rates are dete</w:t>
      </w:r>
      <w:r>
        <w:rPr>
          <w:rFonts w:eastAsia="Times New Roman"/>
          <w:color w:val="000000"/>
          <w:sz w:val="20"/>
          <w:szCs w:val="20"/>
        </w:rPr>
        <w:t xml:space="preserve">rmined by the cost-of-service by rate class, and the rate design methodology allocates the majority of operating costs through volumetric charges.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Mountaineer makes routine filings with the WVPSC to reflect changes in the costs of purchased gas. These p</w:t>
      </w:r>
      <w:r>
        <w:rPr>
          <w:rFonts w:eastAsia="Times New Roman"/>
          <w:color w:val="000000"/>
          <w:sz w:val="20"/>
          <w:szCs w:val="20"/>
        </w:rPr>
        <w:t>urchased gas costs are subject to rate recovery through a mechanism that provides dollar-for-dollar recovery of prudently incurred costs. Costs in excess of revenues that are expected to be recovered in future rates are deferred as regulatory assets; conve</w:t>
      </w:r>
      <w:r>
        <w:rPr>
          <w:rFonts w:eastAsia="Times New Roman"/>
          <w:color w:val="000000"/>
          <w:sz w:val="20"/>
          <w:szCs w:val="20"/>
        </w:rPr>
        <w:t xml:space="preserve">rsely, revenues in excess of costs are deferred as a regulatory liability. The PGA filings generally cover a prospective twelve-month period.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As permitted by West Virginia law enacted in 2015, the WVPSC has also approved a standalone cost recovery rider</w:t>
      </w:r>
      <w:r>
        <w:rPr>
          <w:rFonts w:eastAsia="Times New Roman"/>
          <w:color w:val="000000"/>
          <w:sz w:val="20"/>
          <w:szCs w:val="20"/>
        </w:rPr>
        <w:t xml:space="preserve"> to recover specified costs and a return on infrastructure projects between general base rate cases in accordance with its Infrastructure Replacement and Expansion Plan (“IREP”). Mountaineer makes an annual IREP filing, which is subject to an over/under-re</w:t>
      </w:r>
      <w:r>
        <w:rPr>
          <w:rFonts w:eastAsia="Times New Roman"/>
          <w:color w:val="000000"/>
          <w:sz w:val="20"/>
          <w:szCs w:val="20"/>
        </w:rPr>
        <w:t>covery mechanism similar to purchased gas costs. In July 2021, Mountaineer submitted its annual IREP filing to the WVPSC requesting a return on its forecasted 2022 calendar year IREP-eligible capital investments of $56 million and recovery of eligible cost</w:t>
      </w:r>
      <w:r>
        <w:rPr>
          <w:rFonts w:eastAsia="Times New Roman"/>
          <w:color w:val="000000"/>
          <w:sz w:val="20"/>
          <w:szCs w:val="20"/>
        </w:rPr>
        <w:t>s. On November 12, 2021, Mountaineer and the intervening parties submitted a joint stipulation and agreement for settlement to the WVPSC for a cumulative revenue requirement of $16 million effective January 1, 2022, with an increase of approximately $5.5 m</w:t>
      </w:r>
      <w:r>
        <w:rPr>
          <w:rFonts w:eastAsia="Times New Roman"/>
          <w:color w:val="000000"/>
          <w:sz w:val="20"/>
          <w:szCs w:val="20"/>
        </w:rPr>
        <w:t>illion from the previous year. An order from the WVPSC addressing the stipulation is expected in December 2021.</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Electric Utility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Electric Utility is permitted to recover prudently incurred electricity costs, including costs to obtain supply to meet its</w:t>
      </w:r>
      <w:r>
        <w:rPr>
          <w:rFonts w:eastAsia="Times New Roman"/>
          <w:color w:val="000000"/>
          <w:sz w:val="20"/>
          <w:szCs w:val="20"/>
        </w:rPr>
        <w:t xml:space="preserve"> customers’ energy requirements, pursuant to a supply plan filed with and approved by the PAPUC. Electric Utility distributes electricity that it purchases from wholesale markets and electricity that customers purchase from other suppliers.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 decisio</w:t>
      </w:r>
      <w:r>
        <w:rPr>
          <w:rFonts w:eastAsia="Times New Roman"/>
          <w:color w:val="000000"/>
          <w:sz w:val="20"/>
          <w:szCs w:val="20"/>
        </w:rPr>
        <w:t>n dated January 15, 2020, the Pennsylvania Commonwealth Court affirmed two findings in the PAPUC’s October 25, 2018 Opinion and Order in Electric Utility’s 2018 rate case, thereby approving Electric Utility’s use of a fully projected future test year for r</w:t>
      </w:r>
      <w:r>
        <w:rPr>
          <w:rFonts w:eastAsia="Times New Roman"/>
          <w:color w:val="000000"/>
          <w:sz w:val="20"/>
          <w:szCs w:val="20"/>
        </w:rPr>
        <w:t xml:space="preserve">atemaking purposes and its treatment of certain tax benefits achieved through UGI’s consolidated federal tax filings. </w:t>
      </w:r>
    </w:p>
    <w:p w:rsidR="00000000" w:rsidRDefault="00DF5BC2">
      <w:pPr>
        <w:jc w:val="center"/>
        <w:divId w:val="937761164"/>
        <w:rPr>
          <w:rFonts w:eastAsia="Times New Roman"/>
        </w:rPr>
      </w:pPr>
      <w:r>
        <w:rPr>
          <w:rFonts w:eastAsia="Times New Roman"/>
          <w:color w:val="000000"/>
          <w:sz w:val="20"/>
          <w:szCs w:val="20"/>
        </w:rPr>
        <w:t>28</w:t>
      </w:r>
    </w:p>
    <w:p w:rsidR="00000000" w:rsidRDefault="00DF5BC2">
      <w:pPr>
        <w:rPr>
          <w:rFonts w:eastAsia="Times New Roman"/>
        </w:rPr>
      </w:pPr>
      <w:r>
        <w:rPr>
          <w:rFonts w:eastAsia="Times New Roman"/>
        </w:rPr>
        <w:pict>
          <v:rect id="_x0000_i1054" style="width:0;height:1.5pt" o:hralign="center" o:hrstd="t" o:hr="t" fillcolor="#a0a0a0" stroked="f"/>
        </w:pict>
      </w:r>
    </w:p>
    <w:p w:rsidR="00000000" w:rsidRDefault="00DF5BC2">
      <w:pPr>
        <w:divId w:val="933825205"/>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February 8, 2021,</w:t>
      </w:r>
      <w:r>
        <w:rPr>
          <w:rFonts w:eastAsia="Times New Roman"/>
          <w:color w:val="000000"/>
          <w:sz w:val="20"/>
          <w:szCs w:val="20"/>
        </w:rPr>
        <w:t xml:space="preserve"> Electric Utility filed for a base rate increase with the PAPUC. On July 19, 2021, Electric Utility filed a joint petition for settlement of the rate case, which includes a revenue increase of approximately $6.2 million. In an order dated October 28, 2021,</w:t>
      </w:r>
      <w:r>
        <w:rPr>
          <w:rFonts w:eastAsia="Times New Roman"/>
          <w:color w:val="000000"/>
          <w:sz w:val="20"/>
          <w:szCs w:val="20"/>
        </w:rPr>
        <w:t xml:space="preserve"> the PAPUC approved the settlement and authorized the increased rate to become effective November 9, 2021.</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Electric Utility’s tariff includes rates, applicable to so-called “default service” customers who do not obtain electric generation service from an</w:t>
      </w:r>
      <w:r>
        <w:rPr>
          <w:rFonts w:eastAsia="Times New Roman"/>
          <w:color w:val="000000"/>
          <w:sz w:val="20"/>
          <w:szCs w:val="20"/>
        </w:rPr>
        <w:t xml:space="preserve"> alternative supplier, incurred pursuant to a PAPUC-approved supply plan. These default service rates are reconcilable, may be adjusted quarterly, and are designed to permit Electric Utility to recover the full costs of providing default service in a full </w:t>
      </w:r>
      <w:r>
        <w:rPr>
          <w:rFonts w:eastAsia="Times New Roman"/>
          <w:color w:val="000000"/>
          <w:sz w:val="20"/>
          <w:szCs w:val="20"/>
        </w:rPr>
        <w:t>and timely manner. Electric Utility’s default service rates include recovery of costs associated with compliance with the AEPS Act, which requires Electric Utility to directly or indirectly acquire certain percentages of its supplies from designated altern</w:t>
      </w:r>
      <w:r>
        <w:rPr>
          <w:rFonts w:eastAsia="Times New Roman"/>
          <w:color w:val="000000"/>
          <w:sz w:val="20"/>
          <w:szCs w:val="20"/>
        </w:rPr>
        <w:t>ative energy sources. In an order dated January 14, 2021, the PAPUC authorized Electric Utility to implement its current Default Service plan for the period June 1, 2021 through May 31, 2025, subject to possible, prospectively applied interim modifications</w:t>
      </w:r>
      <w:r>
        <w:rPr>
          <w:rFonts w:eastAsia="Times New Roman"/>
          <w:color w:val="000000"/>
          <w:sz w:val="20"/>
          <w:szCs w:val="20"/>
        </w:rPr>
        <w:t xml:space="preserve"> that parties to that proceeding may propose in accordance with a settlement filed in that proceeding on October 23, 2020.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Electric Utility’s LTIIP was approved by the PAPUC on December 21, 2017 for the 2018-2022 time period. Electric Utility’s projecte</w:t>
      </w:r>
      <w:r>
        <w:rPr>
          <w:rFonts w:eastAsia="Times New Roman"/>
          <w:color w:val="000000"/>
          <w:sz w:val="20"/>
          <w:szCs w:val="20"/>
        </w:rPr>
        <w:t>d annual investment in distribution infrastructure replacement was approximately $7.6 million in Fiscal 2018, and will increase to $8.3 million by Fiscal 2022. On December 19, 2019, the PAPUC approved Electric Utility’s DSIC rate mechanism that now permits</w:t>
      </w:r>
      <w:r>
        <w:rPr>
          <w:rFonts w:eastAsia="Times New Roman"/>
          <w:color w:val="000000"/>
          <w:sz w:val="20"/>
          <w:szCs w:val="20"/>
        </w:rPr>
        <w:t xml:space="preserve"> it to impose a DSIC surcharge to recover revenue requirements associated with DSIC-eligible plant. With the implementation of new base rates on November 9, 2021 pursuant to the PAPUC’s October 28, 2021 order in the 2021 Electric Utility base rate case, El</w:t>
      </w:r>
      <w:r>
        <w:rPr>
          <w:rFonts w:eastAsia="Times New Roman"/>
          <w:color w:val="000000"/>
          <w:sz w:val="20"/>
          <w:szCs w:val="20"/>
        </w:rPr>
        <w:t>ectric Utility may not charge a DSIC except to reconcile the over/under-recovery of allowable DSIC revenue from periods before the effective date of the new rates until its plant balances reach the level of plant agreed upon in the settlement of the rate c</w:t>
      </w:r>
      <w:r>
        <w:rPr>
          <w:rFonts w:eastAsia="Times New Roman"/>
          <w:color w:val="000000"/>
          <w:sz w:val="20"/>
          <w:szCs w:val="20"/>
        </w:rPr>
        <w:t>ase. Unless Electric Utility seeks and receives a PAPUC waiver of the statutory 5% rate cap, any future DSIC charges will be capped at 5% of overall annual base revenue.</w:t>
      </w:r>
    </w:p>
    <w:p w:rsidR="00000000" w:rsidRDefault="00DF5BC2">
      <w:pPr>
        <w:jc w:val="both"/>
        <w:rPr>
          <w:rFonts w:eastAsia="Times New Roman"/>
        </w:rPr>
      </w:pPr>
      <w:r>
        <w:rPr>
          <w:rFonts w:eastAsia="Times New Roman"/>
          <w:b/>
          <w:bCs/>
          <w:color w:val="000000"/>
          <w:sz w:val="20"/>
          <w:szCs w:val="20"/>
          <w:u w:val="single"/>
        </w:rPr>
        <w:t>Utility Franchises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Gas Utility and Electric Utility hold certificates of public conv</w:t>
      </w:r>
      <w:r>
        <w:rPr>
          <w:rFonts w:eastAsia="Times New Roman"/>
          <w:color w:val="000000"/>
          <w:sz w:val="20"/>
          <w:szCs w:val="20"/>
        </w:rPr>
        <w:t xml:space="preserve">enience issued by the PAPUC and certain “grandfather rights” predating the adoption of the Pennsylvania Public Utility Code and its predecessor statutes, which authorize it to carry on its business in the territories in which it renders gas service. Under </w:t>
      </w:r>
      <w:r>
        <w:rPr>
          <w:rFonts w:eastAsia="Times New Roman"/>
          <w:color w:val="000000"/>
          <w:sz w:val="20"/>
          <w:szCs w:val="20"/>
        </w:rPr>
        <w:t>applicable Pennsylvania law, Gas Utility also has certain rights of eminent domain as well as the right to maintain its facilities in public streets and highways in its territories.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Similarly, Mountaineer holds certificates of public convenience issued b</w:t>
      </w:r>
      <w:r>
        <w:rPr>
          <w:rFonts w:eastAsia="Times New Roman"/>
          <w:color w:val="000000"/>
          <w:sz w:val="20"/>
          <w:szCs w:val="20"/>
        </w:rPr>
        <w:t>y the WVPSC, which authorize it to carry on its business in substantially all of the territories in which it now renders gas service. Under applicable West Virginia law, Mountaineer also has certain rights of eminent domain as well as the right to maintain</w:t>
      </w:r>
      <w:r>
        <w:rPr>
          <w:rFonts w:eastAsia="Times New Roman"/>
          <w:color w:val="000000"/>
          <w:sz w:val="20"/>
          <w:szCs w:val="20"/>
        </w:rPr>
        <w:t xml:space="preserve"> its facilities in public streets and highways in its territories.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Federal Energy Regulation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With the acquisition of Mountaineer on September 1, 2021, UGI and its subsidiaries became subject to FERC regulation under PUHCA 2005 pertaining to record-keeping and affiliate service pricing requirements. UGI provided notice of its non-exempt status on S</w:t>
      </w:r>
      <w:r>
        <w:rPr>
          <w:rFonts w:eastAsia="Times New Roman"/>
          <w:color w:val="000000"/>
          <w:sz w:val="20"/>
          <w:szCs w:val="20"/>
        </w:rPr>
        <w:t>eptember 17, 2021.</w:t>
      </w:r>
      <w:r>
        <w:rPr>
          <w:rFonts w:eastAsia="Times New Roman"/>
          <w:b/>
          <w:bCs/>
          <w:color w:val="000000"/>
          <w:sz w:val="20"/>
          <w:szCs w:val="20"/>
        </w:rPr>
        <w:t xml:space="preserv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Utilities, Inc. and Mountaineer are subject to Section 4A of the Natural Gas Act, which prohibits the use or employment of any manipulative or deceptive devices or contrivances in connection with the purchase or sale of natural gas or natural gas trans</w:t>
      </w:r>
      <w:r>
        <w:rPr>
          <w:rFonts w:eastAsia="Times New Roman"/>
          <w:color w:val="000000"/>
          <w:sz w:val="20"/>
          <w:szCs w:val="20"/>
        </w:rPr>
        <w:t xml:space="preserve">portation subject to the jurisdiction of FERC, and FERC regulations that are designed to promote the transparency, efficiency, and integrity of gas markets.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Similarly, UGI Utilities, Inc. and Mountaineer are also subject to Section 222 of the Federal Po</w:t>
      </w:r>
      <w:r>
        <w:rPr>
          <w:rFonts w:eastAsia="Times New Roman"/>
          <w:color w:val="000000"/>
          <w:sz w:val="20"/>
          <w:szCs w:val="20"/>
        </w:rPr>
        <w:t>wer Act, which prohibits the use or employment of any manipulative or deceptive devices or contrivances in connection with the purchase or sale of electric energy or transmission service subject to the jurisdiction of FERC, and FERC regulations that are de</w:t>
      </w:r>
      <w:r>
        <w:rPr>
          <w:rFonts w:eastAsia="Times New Roman"/>
          <w:color w:val="000000"/>
          <w:sz w:val="20"/>
          <w:szCs w:val="20"/>
        </w:rPr>
        <w:t xml:space="preserve">signed to promote the transparency, efficiency, and integrity of electric markets.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FERC has jurisdiction over the rates and terms and conditions of service of electric transmission facilities used for wholesale or retail choice transactions. Electric Ut</w:t>
      </w:r>
      <w:r>
        <w:rPr>
          <w:rFonts w:eastAsia="Times New Roman"/>
          <w:color w:val="000000"/>
          <w:sz w:val="20"/>
          <w:szCs w:val="20"/>
        </w:rPr>
        <w:t>ility owns electric transmission facilities that are within the control area of PJM and are dispatched in accordance with a FERC-approved open access tariff and associated agreements administered by PJM. PJM is a regional transmission organization that reg</w:t>
      </w:r>
      <w:r>
        <w:rPr>
          <w:rFonts w:eastAsia="Times New Roman"/>
          <w:color w:val="000000"/>
          <w:sz w:val="20"/>
          <w:szCs w:val="20"/>
        </w:rPr>
        <w:t xml:space="preserve">ulates and coordinates generation, supply and the wholesale delivery of electricity. Electric Utility receives certain revenues collected by PJM, determined under a formulary rate schedule that is adjusted in June </w:t>
      </w:r>
    </w:p>
    <w:p w:rsidR="00000000" w:rsidRDefault="00DF5BC2">
      <w:pPr>
        <w:jc w:val="center"/>
        <w:divId w:val="1413897002"/>
        <w:rPr>
          <w:rFonts w:eastAsia="Times New Roman"/>
        </w:rPr>
      </w:pPr>
      <w:r>
        <w:rPr>
          <w:rFonts w:eastAsia="Times New Roman"/>
          <w:color w:val="000000"/>
          <w:sz w:val="20"/>
          <w:szCs w:val="20"/>
        </w:rPr>
        <w:t>29</w:t>
      </w:r>
    </w:p>
    <w:p w:rsidR="00000000" w:rsidRDefault="00DF5BC2">
      <w:pPr>
        <w:rPr>
          <w:rFonts w:eastAsia="Times New Roman"/>
        </w:rPr>
      </w:pPr>
      <w:r>
        <w:rPr>
          <w:rFonts w:eastAsia="Times New Roman"/>
        </w:rPr>
        <w:pict>
          <v:rect id="_x0000_i1055" style="width:0;height:1.5pt" o:hralign="center" o:hrstd="t" o:hr="t" fillcolor="#a0a0a0" stroked="f"/>
        </w:pict>
      </w:r>
    </w:p>
    <w:p w:rsidR="00000000" w:rsidRDefault="00DF5BC2">
      <w:pPr>
        <w:divId w:val="631404661"/>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of each year to reflect annual changes in Electric Utility’s electric transmission revenue requirements, when its transmission facilities are used by third parties. FERC has jurisdic</w:t>
      </w:r>
      <w:r>
        <w:rPr>
          <w:rFonts w:eastAsia="Times New Roman"/>
          <w:color w:val="000000"/>
          <w:sz w:val="20"/>
          <w:szCs w:val="20"/>
        </w:rPr>
        <w:t xml:space="preserve">tion over the rates and terms and conditions of service of wholesale sales of electric capacity and energy. Electric Utility has a tariff on file with FERC pursuant to which it may make power sales to wholesale customers at market-based rates.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Under pro</w:t>
      </w:r>
      <w:r>
        <w:rPr>
          <w:rFonts w:eastAsia="Times New Roman"/>
          <w:color w:val="000000"/>
          <w:sz w:val="20"/>
          <w:szCs w:val="20"/>
        </w:rPr>
        <w:t>visions of EPACT 2005, Electric Utility is subject to certain electric reliability standards established by FERC and administered by an ERO. Electric Utility anticipates that substantially all the costs of complying with the ERO standards will be recoverab</w:t>
      </w:r>
      <w:r>
        <w:rPr>
          <w:rFonts w:eastAsia="Times New Roman"/>
          <w:color w:val="000000"/>
          <w:sz w:val="20"/>
          <w:szCs w:val="20"/>
        </w:rPr>
        <w:t xml:space="preserve">le through its PJM formulary electric transmission rate schedule.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EPACT 2005 also granted FERC authority to impose substantial civil penalties for the violation of any regulations, orders or provisions under the Federal Power Act and Natural Gas Act and</w:t>
      </w:r>
      <w:r>
        <w:rPr>
          <w:rFonts w:eastAsia="Times New Roman"/>
          <w:color w:val="000000"/>
          <w:sz w:val="20"/>
          <w:szCs w:val="20"/>
        </w:rPr>
        <w:t xml:space="preserve"> clarified FERC’s authority over certain utility or holding company mergers or acquisitions of electric utilities or electric transmitting utility property valued at $10 million or more.</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Other Government Regulation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addition to state and federal regu</w:t>
      </w:r>
      <w:r>
        <w:rPr>
          <w:rFonts w:eastAsia="Times New Roman"/>
          <w:color w:val="000000"/>
          <w:sz w:val="20"/>
          <w:szCs w:val="20"/>
        </w:rPr>
        <w:t>lation discussed above, Gas Utility, Mountaineer and Electric Utility are subject to various federal, state and local laws governing environmental matters, occupational health and safety, pipeline safety and other matters. Each is subject to the requiremen</w:t>
      </w:r>
      <w:r>
        <w:rPr>
          <w:rFonts w:eastAsia="Times New Roman"/>
          <w:color w:val="000000"/>
          <w:sz w:val="20"/>
          <w:szCs w:val="20"/>
        </w:rPr>
        <w:t>ts of the Resource Conservation and Recovery Act, CERCLA and comparable state statutes with respect to the release of hazardous substances. See Note 17 to Consolidated Financial Statements.</w:t>
      </w:r>
    </w:p>
    <w:p w:rsidR="00000000" w:rsidRDefault="00DF5BC2">
      <w:pPr>
        <w:jc w:val="both"/>
        <w:rPr>
          <w:rFonts w:eastAsia="Times New Roman"/>
        </w:rPr>
      </w:pPr>
    </w:p>
    <w:p w:rsidR="00000000" w:rsidRDefault="00DF5BC2">
      <w:pPr>
        <w:jc w:val="center"/>
        <w:rPr>
          <w:rFonts w:eastAsia="Times New Roman"/>
        </w:rPr>
      </w:pPr>
      <w:r>
        <w:rPr>
          <w:rFonts w:eastAsia="Times New Roman"/>
          <w:b/>
          <w:bCs/>
          <w:color w:val="000000"/>
          <w:sz w:val="20"/>
          <w:szCs w:val="20"/>
        </w:rPr>
        <w:t>BUSINESS SEGMENT INFORMATION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The table stating the amounts of </w:t>
      </w:r>
      <w:r>
        <w:rPr>
          <w:rFonts w:eastAsia="Times New Roman"/>
          <w:color w:val="000000"/>
          <w:sz w:val="20"/>
          <w:szCs w:val="20"/>
        </w:rPr>
        <w:t>revenues, operating income and identifiable assets attributable to each of UGI’s reportable business segments, and to information regarding the geographic areas in which we operate, for Fiscal 2021, Fiscal 2020 and Fiscal 2019 appears in Note 23 to Consoli</w:t>
      </w:r>
      <w:r>
        <w:rPr>
          <w:rFonts w:eastAsia="Times New Roman"/>
          <w:color w:val="000000"/>
          <w:sz w:val="20"/>
          <w:szCs w:val="20"/>
        </w:rPr>
        <w:t>dated Financial Statements included in Item 15 of this Report and is incorporated herein by reference.</w:t>
      </w:r>
    </w:p>
    <w:p w:rsidR="00000000" w:rsidRDefault="00DF5BC2">
      <w:pPr>
        <w:ind w:firstLine="495"/>
        <w:jc w:val="both"/>
        <w:rPr>
          <w:rFonts w:eastAsia="Times New Roman"/>
        </w:rPr>
      </w:pPr>
    </w:p>
    <w:p w:rsidR="00000000" w:rsidRDefault="00DF5BC2">
      <w:pPr>
        <w:jc w:val="center"/>
        <w:rPr>
          <w:rFonts w:eastAsia="Times New Roman"/>
        </w:rPr>
      </w:pPr>
    </w:p>
    <w:p w:rsidR="00000000" w:rsidRDefault="00DF5BC2">
      <w:pPr>
        <w:jc w:val="center"/>
        <w:rPr>
          <w:rFonts w:eastAsia="Times New Roman"/>
        </w:rPr>
      </w:pPr>
      <w:r>
        <w:rPr>
          <w:rFonts w:eastAsia="Times New Roman"/>
          <w:b/>
          <w:bCs/>
          <w:color w:val="000000"/>
          <w:sz w:val="20"/>
          <w:szCs w:val="20"/>
        </w:rPr>
        <w:t>EMPLOYEES</w:t>
      </w:r>
    </w:p>
    <w:p w:rsidR="00000000" w:rsidRDefault="00DF5BC2">
      <w:pPr>
        <w:jc w:val="both"/>
        <w:rPr>
          <w:rFonts w:eastAsia="Times New Roman"/>
        </w:rPr>
      </w:pPr>
    </w:p>
    <w:p w:rsidR="00000000" w:rsidRDefault="00DF5BC2">
      <w:pPr>
        <w:divId w:val="511458062"/>
        <w:rPr>
          <w:rFonts w:eastAsia="Times New Roman"/>
        </w:rPr>
      </w:pPr>
      <w:r>
        <w:rPr>
          <w:rFonts w:eastAsia="Times New Roman"/>
          <w:color w:val="000000"/>
          <w:sz w:val="20"/>
          <w:szCs w:val="20"/>
        </w:rPr>
        <w:t>At September 30, 2021, UGI and its subsidiaries had approximately 11,300 employees.</w:t>
      </w:r>
    </w:p>
    <w:p w:rsidR="00000000" w:rsidRDefault="00DF5BC2">
      <w:pPr>
        <w:divId w:val="606162475"/>
        <w:rPr>
          <w:rFonts w:eastAsia="Times New Roman"/>
        </w:rPr>
      </w:pPr>
    </w:p>
    <w:p w:rsidR="00000000" w:rsidRDefault="00DF5BC2">
      <w:pPr>
        <w:jc w:val="center"/>
        <w:divId w:val="1690597439"/>
        <w:rPr>
          <w:rFonts w:eastAsia="Times New Roman"/>
        </w:rPr>
      </w:pPr>
      <w:r>
        <w:rPr>
          <w:rFonts w:eastAsia="Times New Roman"/>
          <w:color w:val="000000"/>
          <w:sz w:val="20"/>
          <w:szCs w:val="20"/>
        </w:rPr>
        <w:t>30</w:t>
      </w:r>
    </w:p>
    <w:p w:rsidR="00000000" w:rsidRDefault="00DF5BC2">
      <w:pPr>
        <w:rPr>
          <w:rFonts w:eastAsia="Times New Roman"/>
        </w:rPr>
      </w:pPr>
      <w:r>
        <w:rPr>
          <w:rFonts w:eastAsia="Times New Roman"/>
        </w:rPr>
        <w:pict>
          <v:rect id="_x0000_i1056" style="width:0;height:1.5pt" o:hralign="center" o:hrstd="t" o:hr="t" fillcolor="#a0a0a0" stroked="f"/>
        </w:pict>
      </w:r>
    </w:p>
    <w:p w:rsidR="00000000" w:rsidRDefault="00DF5BC2">
      <w:pPr>
        <w:divId w:val="61448659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b/>
          <w:bCs/>
          <w:color w:val="000000"/>
          <w:sz w:val="20"/>
          <w:szCs w:val="20"/>
        </w:rPr>
        <w:t>HUMAN CAPITAL MANAGEMENT</w:t>
      </w:r>
    </w:p>
    <w:p w:rsidR="00000000" w:rsidRDefault="00DF5BC2">
      <w:pPr>
        <w:jc w:val="center"/>
        <w:rPr>
          <w:rFonts w:eastAsia="Times New Roman"/>
        </w:rPr>
      </w:pPr>
    </w:p>
    <w:p w:rsidR="00000000" w:rsidRDefault="00DF5BC2">
      <w:pPr>
        <w:jc w:val="both"/>
        <w:rPr>
          <w:rFonts w:eastAsia="Times New Roman"/>
        </w:rPr>
      </w:pPr>
      <w:r>
        <w:rPr>
          <w:rFonts w:eastAsia="Times New Roman"/>
          <w:color w:val="000000"/>
          <w:sz w:val="20"/>
          <w:szCs w:val="20"/>
        </w:rPr>
        <w:t>We are committed to the att</w:t>
      </w:r>
      <w:r>
        <w:rPr>
          <w:rFonts w:eastAsia="Times New Roman"/>
          <w:color w:val="000000"/>
          <w:sz w:val="20"/>
          <w:szCs w:val="20"/>
        </w:rPr>
        <w:t>raction, development, retention and safety of our employees. The following is an overview of some of our key human capital initiatives that are designed to ensure the overall well-being of our employees and other stakeholders as well as to promote workforc</w:t>
      </w:r>
      <w:r>
        <w:rPr>
          <w:rFonts w:eastAsia="Times New Roman"/>
          <w:color w:val="000000"/>
          <w:sz w:val="20"/>
          <w:szCs w:val="20"/>
        </w:rPr>
        <w:t>e diversity.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publishes annual sustainability reports, which are available free of charge on its corporate website under “ESG - Resources - Sustainability Reports.” Information included in these sustainability reports is not intended to be incorporate</w:t>
      </w:r>
      <w:r>
        <w:rPr>
          <w:rFonts w:eastAsia="Times New Roman"/>
          <w:color w:val="000000"/>
          <w:sz w:val="20"/>
          <w:szCs w:val="20"/>
        </w:rPr>
        <w:t>d into this Report.</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Workplace Safety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are committed to maintaining an effective safety culture and to stressing the importance of our employees’ role in identifying, mitigating and communicating safety risks. We believe that the achievement of superi</w:t>
      </w:r>
      <w:r>
        <w:rPr>
          <w:rFonts w:eastAsia="Times New Roman"/>
          <w:color w:val="000000"/>
          <w:sz w:val="20"/>
          <w:szCs w:val="20"/>
        </w:rPr>
        <w:t>or safety performance is both an important short-term and long-term strategic initiative in managing our operations. In this regard, our policies and operational practices promote a culture where all levels of employees are responsible for safety. Safety i</w:t>
      </w:r>
      <w:r>
        <w:rPr>
          <w:rFonts w:eastAsia="Times New Roman"/>
          <w:color w:val="000000"/>
          <w:sz w:val="20"/>
          <w:szCs w:val="20"/>
        </w:rPr>
        <w:t>s generally included as a component of the annual bonus calculation for executives and non-executives, reinforcing our commitment to safety across our organization. For more details as to how we integrate safety performance into our core business activitie</w:t>
      </w:r>
      <w:r>
        <w:rPr>
          <w:rFonts w:eastAsia="Times New Roman"/>
          <w:color w:val="000000"/>
          <w:sz w:val="20"/>
          <w:szCs w:val="20"/>
        </w:rPr>
        <w:t>s, please refer to our Health, Safety, Security and the Environment (“HSSE”) Policy, which is available on our website under “Company - Company Policies - HSSE Policy.”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UGI’s Board of Directors oversees safety efforts primarily through its Safety, Enviro</w:t>
      </w:r>
      <w:r>
        <w:rPr>
          <w:rFonts w:eastAsia="Times New Roman"/>
          <w:color w:val="000000"/>
          <w:sz w:val="20"/>
          <w:szCs w:val="20"/>
        </w:rPr>
        <w:t>nmental, and Regulatory Compliance (“SERC”) Committee, which is responsible for the governance and oversight of all health and safety matters at the Company, including compliance with applicable laws and regulations. The SERC Committee oversees the Company</w:t>
      </w:r>
      <w:r>
        <w:rPr>
          <w:rFonts w:eastAsia="Times New Roman"/>
          <w:color w:val="000000"/>
          <w:sz w:val="20"/>
          <w:szCs w:val="20"/>
        </w:rPr>
        <w:t>’s maintenance of a culture focused on protecting the health and safety of our employees, contractors, customers, and the public. Additionally, our senior management team is actively engaged in our safety programs and conducts regular reviews of safety per</w:t>
      </w:r>
      <w:r>
        <w:rPr>
          <w:rFonts w:eastAsia="Times New Roman"/>
          <w:color w:val="000000"/>
          <w:sz w:val="20"/>
          <w:szCs w:val="20"/>
        </w:rPr>
        <w:t>formance metrics. These metrics are presented quarterly to the SERC Committee for review and consideration. In addition, each of our business units has a safety team that is responsible for overseeing the safety of our operations, reinforcing our values, p</w:t>
      </w:r>
      <w:r>
        <w:rPr>
          <w:rFonts w:eastAsia="Times New Roman"/>
          <w:color w:val="000000"/>
          <w:sz w:val="20"/>
          <w:szCs w:val="20"/>
        </w:rPr>
        <w:t>roviding training and enhancing our safety culture within such business unit.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u w:val="single"/>
        </w:rPr>
        <w:t>Our COVID-19 Response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health, well-being and safety of our employees, customers and communities is our top priority. During Fiscal 2021, we continued to focus on responding to the challenges of the COVID-19 pandemic, particularly as they related to our global workforce. Our</w:t>
      </w:r>
      <w:r>
        <w:rPr>
          <w:rFonts w:eastAsia="Times New Roman"/>
          <w:color w:val="000000"/>
          <w:sz w:val="20"/>
          <w:szCs w:val="20"/>
        </w:rPr>
        <w:t xml:space="preserve"> senior management team continues to have regular COVID-19 and return-to-office planning sessions to address the critical safety, operational and business risks associated with the pandemic across all geographies. Through these efforts, as well as our cont</w:t>
      </w:r>
      <w:r>
        <w:rPr>
          <w:rFonts w:eastAsia="Times New Roman"/>
          <w:color w:val="000000"/>
          <w:sz w:val="20"/>
          <w:szCs w:val="20"/>
        </w:rPr>
        <w:t>inued commitment to monitor, assess and implement guidance and best practices recommended by the WHO and CDC, we have been able to maintain the continuity of the essential services that we provide to our customers, while also promoting the health, well-bei</w:t>
      </w:r>
      <w:r>
        <w:rPr>
          <w:rFonts w:eastAsia="Times New Roman"/>
          <w:color w:val="000000"/>
          <w:sz w:val="20"/>
          <w:szCs w:val="20"/>
        </w:rPr>
        <w:t xml:space="preserve">ng and safety of our employees, customers and communities.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Diversity Strategy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Diversity as Part of Our Company Culture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believe that, by fostering an environment that exemplifies our core value of respect, we gain, as a company, unique perspective</w:t>
      </w:r>
      <w:r>
        <w:rPr>
          <w:rFonts w:eastAsia="Times New Roman"/>
          <w:color w:val="000000"/>
          <w:sz w:val="20"/>
          <w:szCs w:val="20"/>
        </w:rPr>
        <w:t xml:space="preserve">s, backgrounds and varying experiences to ensure our continued long-term success. Belonging, inclusion, diversity and equity are essential to our success, and we respect and value all employees.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alignment with our efforts to promote diversity and inclusion, we introduced the Belonging, Inclusion, Diversity and Equity (“BIDE”) Initiative in Fiscal 2020, which provides the organizational blueprint for achieving greater diversity and promoting res</w:t>
      </w:r>
      <w:r>
        <w:rPr>
          <w:rFonts w:eastAsia="Times New Roman"/>
          <w:color w:val="000000"/>
          <w:sz w:val="20"/>
          <w:szCs w:val="20"/>
        </w:rPr>
        <w:t>pect for uniqueness of individuals and cultures and inclusion for the varied perspectives they provide. The BIDE Initiative embodies and promotes internal policies with respect to setting expectations relating to our work environment, including our Code of</w:t>
      </w:r>
      <w:r>
        <w:rPr>
          <w:rFonts w:eastAsia="Times New Roman"/>
          <w:color w:val="000000"/>
          <w:sz w:val="20"/>
          <w:szCs w:val="20"/>
        </w:rPr>
        <w:t xml:space="preserve"> Business Conduct and Ethics and our Anti-Discrimination, Anti-Harassment and Human Rights policies. As part of the BIDE Initiative, we have expanded our partnerships with numerous organizations that support underrepresented populations.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also offers</w:t>
      </w:r>
      <w:r>
        <w:rPr>
          <w:rFonts w:eastAsia="Times New Roman"/>
          <w:color w:val="000000"/>
          <w:sz w:val="20"/>
          <w:szCs w:val="20"/>
        </w:rPr>
        <w:t xml:space="preserve"> a network of employee resource groups that aligns with our efforts to promote diversity and inclusion. </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•Black Organizational Leadership &amp; Development (“BOLD”) is focused on inclusion, equity, education, and empowerment for black employees and their all</w:t>
      </w:r>
      <w:r>
        <w:rPr>
          <w:rFonts w:eastAsia="Times New Roman"/>
          <w:color w:val="000000"/>
          <w:sz w:val="20"/>
          <w:szCs w:val="20"/>
        </w:rPr>
        <w:t xml:space="preserve">ies, and assists leadership with communication, talent recruitment, retention, and development opportunities for black employees. BOLD focuses on professional development by </w:t>
      </w:r>
    </w:p>
    <w:p w:rsidR="00000000" w:rsidRDefault="00DF5BC2">
      <w:pPr>
        <w:jc w:val="center"/>
        <w:divId w:val="781803251"/>
        <w:rPr>
          <w:rFonts w:eastAsia="Times New Roman"/>
        </w:rPr>
      </w:pPr>
      <w:r>
        <w:rPr>
          <w:rFonts w:eastAsia="Times New Roman"/>
          <w:color w:val="000000"/>
          <w:sz w:val="20"/>
          <w:szCs w:val="20"/>
        </w:rPr>
        <w:t>31</w:t>
      </w:r>
    </w:p>
    <w:p w:rsidR="00000000" w:rsidRDefault="00DF5BC2">
      <w:pPr>
        <w:rPr>
          <w:rFonts w:eastAsia="Times New Roman"/>
        </w:rPr>
      </w:pPr>
      <w:r>
        <w:rPr>
          <w:rFonts w:eastAsia="Times New Roman"/>
        </w:rPr>
        <w:pict>
          <v:rect id="_x0000_i1057" style="width:0;height:1.5pt" o:hralign="center" o:hrstd="t" o:hr="t" fillcolor="#a0a0a0" stroked="f"/>
        </w:pict>
      </w:r>
    </w:p>
    <w:p w:rsidR="00000000" w:rsidRDefault="00DF5BC2">
      <w:pPr>
        <w:divId w:val="699010681"/>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creating mentoring opportunities, increasing exposure through networking and career development events, broadening outreach to and recruitment of black talent, and sponsoring activities such as lectures featuring distingui</w:t>
      </w:r>
      <w:r>
        <w:rPr>
          <w:rFonts w:eastAsia="Times New Roman"/>
          <w:color w:val="000000"/>
          <w:sz w:val="20"/>
          <w:szCs w:val="20"/>
        </w:rPr>
        <w:t xml:space="preserve">shed speakers. </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 xml:space="preserve">•The Women’s Impact Network (“WIN”) is an organization that aims to foster an environment for women to be recruited, retained, and developed as leaders throughout UGI. Membership in WIN offers exposure to various professional development </w:t>
      </w:r>
      <w:r>
        <w:rPr>
          <w:rFonts w:eastAsia="Times New Roman"/>
          <w:color w:val="000000"/>
          <w:sz w:val="20"/>
          <w:szCs w:val="20"/>
        </w:rPr>
        <w:t xml:space="preserve">opportunities, including speaker series events, group engagement activities, virtual group discussions, and partnerships with local organizations for women and their allies. </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•The Veteran Employee Team (“VET”) focuses on recruiting and retaining veterans</w:t>
      </w:r>
      <w:r>
        <w:rPr>
          <w:rFonts w:eastAsia="Times New Roman"/>
          <w:color w:val="000000"/>
          <w:sz w:val="20"/>
          <w:szCs w:val="20"/>
        </w:rPr>
        <w:t>, as well as creating growth for and goodwill towards military veterans. VET members include Active Duty, Reserve, and National Guard veterans of the Army, Navy, Marines, Coast Guard, and Air Force, their families, and partners committed to supporting mili</w:t>
      </w:r>
      <w:r>
        <w:rPr>
          <w:rFonts w:eastAsia="Times New Roman"/>
          <w:color w:val="000000"/>
          <w:sz w:val="20"/>
          <w:szCs w:val="20"/>
        </w:rPr>
        <w:t xml:space="preserve">tary veteran employees.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Diversity in Our Leadership</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believe that diversity in our Board of Directors (the “Board”) is critical to effective governance. In assessing Board composition, UGI ensures that our Board has the right mix of background, expe</w:t>
      </w:r>
      <w:r>
        <w:rPr>
          <w:rFonts w:eastAsia="Times New Roman"/>
          <w:color w:val="000000"/>
          <w:sz w:val="20"/>
          <w:szCs w:val="20"/>
        </w:rPr>
        <w:t>rience, and diversity of perspectives to support our business. In assessing director candidates, UGI considers a number of qualifications, including independence, knowledge, judgment, character, leadership skills, education, experience, financial literacy,</w:t>
      </w:r>
      <w:r>
        <w:rPr>
          <w:rFonts w:eastAsia="Times New Roman"/>
          <w:color w:val="000000"/>
          <w:sz w:val="20"/>
          <w:szCs w:val="20"/>
        </w:rPr>
        <w:t xml:space="preserve"> standing in the community and diversity of backgrounds and views, including, but not limited to, gender, race, ethnicity and national origin. We look to complement the Board’s existing strengths, recognizing that diversity is a critical element to enhanci</w:t>
      </w:r>
      <w:r>
        <w:rPr>
          <w:rFonts w:eastAsia="Times New Roman"/>
          <w:color w:val="000000"/>
          <w:sz w:val="20"/>
          <w:szCs w:val="20"/>
        </w:rPr>
        <w:t xml:space="preserve">ng board effectiveness. Our current Board composition includes three female directors and one racially diverse director out of a total of nine independent directors.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Similarly, we believe diversity of management is crucial to position our business for c</w:t>
      </w:r>
      <w:r>
        <w:rPr>
          <w:rFonts w:eastAsia="Times New Roman"/>
          <w:color w:val="000000"/>
          <w:sz w:val="20"/>
          <w:szCs w:val="20"/>
        </w:rPr>
        <w:t>ontinued success. UGI is proactive in ensuring consideration of diverse candidates for all leadership positions and continues to be committed to ensuring that we are considering all qualified applicants in our hiring process. Females and racially/ethnicall</w:t>
      </w:r>
      <w:r>
        <w:rPr>
          <w:rFonts w:eastAsia="Times New Roman"/>
          <w:color w:val="000000"/>
          <w:sz w:val="20"/>
          <w:szCs w:val="20"/>
        </w:rPr>
        <w:t>y diverse individuals represent more than 25% and approximately 20%, respectively, of UGI’s corporate officers.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As part of our continued commitment to enhancing opportunities for diversity in our workforce, all executives have a diversity and inclusion (</w:t>
      </w:r>
      <w:r>
        <w:rPr>
          <w:rFonts w:eastAsia="Times New Roman"/>
          <w:color w:val="000000"/>
          <w:sz w:val="20"/>
          <w:szCs w:val="20"/>
        </w:rPr>
        <w:t>“D&amp;I”) component in their annual bonus plan effective Fiscal 2021. The executive team will be evaluated on the effectiveness of the Company’s development of a multi-dimensional strategy to deepen and improve the organization’s commitment to D&amp;I, supporting</w:t>
      </w:r>
      <w:r>
        <w:rPr>
          <w:rFonts w:eastAsia="Times New Roman"/>
          <w:color w:val="000000"/>
          <w:sz w:val="20"/>
          <w:szCs w:val="20"/>
        </w:rPr>
        <w:t xml:space="preserve"> the Company’s BIDE Initiative and establishing a roadmap to achieve excellence in D&amp;I and brand UGI as an employer of choice for diverse candidates.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Diversity in Our Workforce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strives for diverse representation at all levels of our business. Durin</w:t>
      </w:r>
      <w:r>
        <w:rPr>
          <w:rFonts w:eastAsia="Times New Roman"/>
          <w:color w:val="000000"/>
          <w:sz w:val="20"/>
          <w:szCs w:val="20"/>
        </w:rPr>
        <w:t>g Fiscal 2021, for the first time, we published our workforce demographics (which reflects our EEO-1 reporting data) in our 2020 Sustainability Report. We believe that, by publicly disclosing our workforce demographics, we increase transparency in the comp</w:t>
      </w:r>
      <w:r>
        <w:rPr>
          <w:rFonts w:eastAsia="Times New Roman"/>
          <w:color w:val="000000"/>
          <w:sz w:val="20"/>
          <w:szCs w:val="20"/>
        </w:rPr>
        <w:t>osition of our workforce as well as facilitate accountability in ensuring that minority candidates are actively considered for roles throughout the organization. We will continue to report on our progress annually.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Diversity as Part of Our Employee Devel</w:t>
      </w:r>
      <w:r>
        <w:rPr>
          <w:rFonts w:eastAsia="Times New Roman"/>
          <w:b/>
          <w:bCs/>
          <w:i/>
          <w:iCs/>
          <w:color w:val="000000"/>
          <w:sz w:val="20"/>
          <w:szCs w:val="20"/>
        </w:rPr>
        <w:t>opment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Fiscal 2021, UGI established a global partnership with the Human Library Organization (the “Human Library”</w:t>
      </w:r>
      <w:r>
        <w:rPr>
          <w:rFonts w:eastAsia="Times New Roman"/>
          <w:color w:val="000000"/>
          <w:sz w:val="20"/>
          <w:szCs w:val="20"/>
        </w:rPr>
        <w:t>), a global not-for-profit learning platform that hosts personal conversations designed to challenge stigma and stereotypes and create a safe space for dialogue where topics are discussed openly between individuals. The Human Library promotes workplace div</w:t>
      </w:r>
      <w:r>
        <w:rPr>
          <w:rFonts w:eastAsia="Times New Roman"/>
          <w:color w:val="000000"/>
          <w:sz w:val="20"/>
          <w:szCs w:val="20"/>
        </w:rPr>
        <w:t>ersity and inclusion by partnering with companies that are committed to incorporating social understanding and cultural awareness as part of their business model.</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shd w:val="clear" w:color="auto" w:fill="FFFFFF"/>
        </w:rPr>
        <w:t xml:space="preserve">UGI has committed to a sponsorship role with the </w:t>
      </w:r>
      <w:r>
        <w:rPr>
          <w:rFonts w:eastAsia="Times New Roman"/>
          <w:color w:val="000000"/>
          <w:sz w:val="20"/>
          <w:szCs w:val="20"/>
        </w:rPr>
        <w:t>Human Library</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for the creation of a digital learning platform that will expand the reach of the Human Library’s diversity experiences across the globe. UGI began working with the </w:t>
      </w:r>
      <w:r>
        <w:rPr>
          <w:rFonts w:eastAsia="Times New Roman"/>
          <w:color w:val="000000"/>
          <w:sz w:val="20"/>
          <w:szCs w:val="20"/>
        </w:rPr>
        <w:t>Human Library</w:t>
      </w:r>
      <w:r>
        <w:rPr>
          <w:rFonts w:eastAsia="Times New Roman"/>
          <w:color w:val="000000"/>
          <w:sz w:val="20"/>
          <w:szCs w:val="20"/>
          <w:shd w:val="clear" w:color="auto" w:fill="FFFFFF"/>
        </w:rPr>
        <w:t xml:space="preserve"> in Fiscal 2020 for diversity and inclusion education for its leadership devel</w:t>
      </w:r>
      <w:r>
        <w:rPr>
          <w:rFonts w:eastAsia="Times New Roman"/>
          <w:color w:val="000000"/>
          <w:sz w:val="20"/>
          <w:szCs w:val="20"/>
          <w:shd w:val="clear" w:color="auto" w:fill="FFFFFF"/>
        </w:rPr>
        <w:t xml:space="preserve">opment, supervisor training and new hire onboarding programs. Many of our employees participated in the </w:t>
      </w:r>
      <w:r>
        <w:rPr>
          <w:rFonts w:eastAsia="Times New Roman"/>
          <w:color w:val="000000"/>
          <w:sz w:val="20"/>
          <w:szCs w:val="20"/>
        </w:rPr>
        <w:t>Human Library</w:t>
      </w:r>
      <w:r>
        <w:rPr>
          <w:rFonts w:eastAsia="Times New Roman"/>
          <w:color w:val="000000"/>
          <w:sz w:val="20"/>
          <w:szCs w:val="20"/>
          <w:shd w:val="clear" w:color="auto" w:fill="FFFFFF"/>
        </w:rPr>
        <w:t xml:space="preserve"> “reader sessions” over the past year and we expect that more will participate in the coming year.</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Talent Development and Support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Maint</w:t>
      </w:r>
      <w:r>
        <w:rPr>
          <w:rFonts w:eastAsia="Times New Roman"/>
          <w:color w:val="000000"/>
          <w:sz w:val="20"/>
          <w:szCs w:val="20"/>
        </w:rPr>
        <w:t>aining a robust pipeline of talent is crucial to UGI’s ongoing success and is a key aspect of succession planning efforts across the organization. Our leadership and human resources teams are responsible for attracting and retaining top talent by facilitat</w:t>
      </w:r>
      <w:r>
        <w:rPr>
          <w:rFonts w:eastAsia="Times New Roman"/>
          <w:color w:val="000000"/>
          <w:sz w:val="20"/>
          <w:szCs w:val="20"/>
        </w:rPr>
        <w:t xml:space="preserve">ing an environment where employees feel supported and encouraged in their professional and personal development. </w:t>
      </w:r>
    </w:p>
    <w:p w:rsidR="00000000" w:rsidRDefault="00DF5BC2">
      <w:pPr>
        <w:jc w:val="center"/>
        <w:divId w:val="1147163880"/>
        <w:rPr>
          <w:rFonts w:eastAsia="Times New Roman"/>
        </w:rPr>
      </w:pPr>
      <w:r>
        <w:rPr>
          <w:rFonts w:eastAsia="Times New Roman"/>
          <w:color w:val="000000"/>
          <w:sz w:val="20"/>
          <w:szCs w:val="20"/>
        </w:rPr>
        <w:t>32</w:t>
      </w:r>
    </w:p>
    <w:p w:rsidR="00000000" w:rsidRDefault="00DF5BC2">
      <w:pPr>
        <w:rPr>
          <w:rFonts w:eastAsia="Times New Roman"/>
        </w:rPr>
      </w:pPr>
      <w:r>
        <w:rPr>
          <w:rFonts w:eastAsia="Times New Roman"/>
        </w:rPr>
        <w:pict>
          <v:rect id="_x0000_i1058" style="width:0;height:1.5pt" o:hralign="center" o:hrstd="t" o:hr="t" fillcolor="#a0a0a0" stroked="f"/>
        </w:pict>
      </w:r>
    </w:p>
    <w:p w:rsidR="00000000" w:rsidRDefault="00DF5BC2">
      <w:pPr>
        <w:divId w:val="50701646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Competition for attracting</w:t>
      </w:r>
      <w:r>
        <w:rPr>
          <w:rFonts w:eastAsia="Times New Roman"/>
          <w:color w:val="000000"/>
          <w:sz w:val="20"/>
          <w:szCs w:val="20"/>
        </w:rPr>
        <w:t xml:space="preserve"> and retaining talent has increased in recent years, and UGI understands this challenge and the importance of maintaining competitive compensation, benefits and training that provides growth, developmental opportunities and multiple career paths within our</w:t>
      </w:r>
      <w:r>
        <w:rPr>
          <w:rFonts w:eastAsia="Times New Roman"/>
          <w:color w:val="000000"/>
          <w:sz w:val="20"/>
          <w:szCs w:val="20"/>
        </w:rPr>
        <w:t xml:space="preserve"> company. Specifically, we promote employee development by reviewing strategic positions regularly and identifying potential internal candidates to fill those positions, evaluating critical job skill sets to identify competency gaps and creating developmen</w:t>
      </w:r>
      <w:r>
        <w:rPr>
          <w:rFonts w:eastAsia="Times New Roman"/>
          <w:color w:val="000000"/>
          <w:sz w:val="20"/>
          <w:szCs w:val="20"/>
        </w:rPr>
        <w:t xml:space="preserve">tal plans to facilitate employee professional growth. We commit to investing in our employees through training and development programs as well as tuition reimbursement to promote continued professional growth.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following programs are examples of how</w:t>
      </w:r>
      <w:r>
        <w:rPr>
          <w:rFonts w:eastAsia="Times New Roman"/>
          <w:color w:val="000000"/>
          <w:sz w:val="20"/>
          <w:szCs w:val="20"/>
        </w:rPr>
        <w:t xml:space="preserve"> we promote the professional development of our employees. </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•UGI University is a leadership development program for emerging leaders across all domestic and international business units. In addition to completing personal assessments and leadership and t</w:t>
      </w:r>
      <w:r>
        <w:rPr>
          <w:rFonts w:eastAsia="Times New Roman"/>
          <w:color w:val="000000"/>
          <w:sz w:val="20"/>
          <w:szCs w:val="20"/>
        </w:rPr>
        <w:t>eam effectiveness training, participants engage directly with executive leaders of each business, gaining a broader understanding of UGI and the stakeholders it serves.</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•UGI Academy is a leadership development program that provides UGI International’s em</w:t>
      </w:r>
      <w:r>
        <w:rPr>
          <w:rFonts w:eastAsia="Times New Roman"/>
          <w:color w:val="000000"/>
          <w:sz w:val="20"/>
          <w:szCs w:val="20"/>
        </w:rPr>
        <w:t xml:space="preserve">erging leaders the opportunity to learn more about UGI Corporation, including our culture, values and strategic direction. Participants engage in self-assessments, meet colleagues from across the business, engage with the UGI executive management team and </w:t>
      </w:r>
      <w:r>
        <w:rPr>
          <w:rFonts w:eastAsia="Times New Roman"/>
          <w:color w:val="000000"/>
          <w:sz w:val="20"/>
          <w:szCs w:val="20"/>
        </w:rPr>
        <w:t>sharpen skills that will equip them for future success.</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•AmeriGas Accelerated Leadership Program (“ALP”) establishes key leadership competencies, behavioral traits and skills required to be an effective leader at the director level. ALP is a full year pr</w:t>
      </w:r>
      <w:r>
        <w:rPr>
          <w:rFonts w:eastAsia="Times New Roman"/>
          <w:color w:val="000000"/>
          <w:sz w:val="20"/>
          <w:szCs w:val="20"/>
        </w:rPr>
        <w:t>ogram where participants complete a series of training experiences, action learning projects, job shadowing, and a detailed development plan which contributes to their readiness for a position at the director level.</w:t>
      </w:r>
    </w:p>
    <w:p w:rsidR="00000000" w:rsidRDefault="00DF5BC2">
      <w:pPr>
        <w:divId w:val="791750396"/>
        <w:rPr>
          <w:rFonts w:eastAsia="Times New Roman"/>
        </w:rPr>
      </w:pPr>
    </w:p>
    <w:p w:rsidR="00000000" w:rsidRDefault="00DF5BC2">
      <w:pPr>
        <w:jc w:val="center"/>
        <w:divId w:val="357970721"/>
        <w:rPr>
          <w:rFonts w:eastAsia="Times New Roman"/>
        </w:rPr>
      </w:pPr>
      <w:r>
        <w:rPr>
          <w:rFonts w:eastAsia="Times New Roman"/>
          <w:color w:val="000000"/>
          <w:sz w:val="20"/>
          <w:szCs w:val="20"/>
        </w:rPr>
        <w:t>33</w:t>
      </w:r>
    </w:p>
    <w:p w:rsidR="00000000" w:rsidRDefault="00DF5BC2">
      <w:pPr>
        <w:rPr>
          <w:rFonts w:eastAsia="Times New Roman"/>
        </w:rPr>
      </w:pPr>
      <w:r>
        <w:rPr>
          <w:rFonts w:eastAsia="Times New Roman"/>
        </w:rPr>
        <w:pict>
          <v:rect id="_x0000_i1059" style="width:0;height:1.5pt" o:hralign="center" o:hrstd="t" o:hr="t" fillcolor="#a0a0a0" stroked="f"/>
        </w:pict>
      </w:r>
    </w:p>
    <w:p w:rsidR="00000000" w:rsidRDefault="00DF5BC2">
      <w:pPr>
        <w:divId w:val="499394619"/>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divId w:val="193663120"/>
        <w:rPr>
          <w:rFonts w:eastAsia="Times New Roman"/>
        </w:rPr>
      </w:pPr>
      <w:r>
        <w:rPr>
          <w:rFonts w:eastAsia="Times New Roman"/>
          <w:b/>
          <w:bCs/>
          <w:color w:val="000000"/>
          <w:sz w:val="20"/>
          <w:szCs w:val="20"/>
        </w:rPr>
        <w:t>ITEM 1A. RISK FACTORS</w:t>
      </w:r>
    </w:p>
    <w:p w:rsidR="00000000" w:rsidRDefault="00DF5BC2">
      <w:pPr>
        <w:ind w:firstLine="720"/>
        <w:jc w:val="both"/>
        <w:rPr>
          <w:rFonts w:eastAsia="Times New Roman"/>
        </w:rPr>
      </w:pPr>
    </w:p>
    <w:p w:rsidR="00000000" w:rsidRDefault="00DF5BC2">
      <w:pPr>
        <w:jc w:val="both"/>
        <w:rPr>
          <w:rFonts w:eastAsia="Times New Roman"/>
        </w:rPr>
      </w:pPr>
      <w:r>
        <w:rPr>
          <w:rFonts w:eastAsia="Times New Roman"/>
          <w:color w:val="000000"/>
          <w:sz w:val="20"/>
          <w:szCs w:val="20"/>
        </w:rPr>
        <w:t>There are many factors that may affect our business, financial condition and results of operations, including the following risks relating to: (1) the demand for our products and services and our ability to grow our customer base; (2) our business operatio</w:t>
      </w:r>
      <w:r>
        <w:rPr>
          <w:rFonts w:eastAsia="Times New Roman"/>
          <w:color w:val="000000"/>
          <w:sz w:val="20"/>
          <w:szCs w:val="20"/>
        </w:rPr>
        <w:t xml:space="preserve">ns, including internal and external factors that may impact our operational continuity; (3) our international operations; (4) our supply chain and our ability to obtain and transport adequate quantities of LPG; (5) government regulation and oversight; and </w:t>
      </w:r>
      <w:r>
        <w:rPr>
          <w:rFonts w:eastAsia="Times New Roman"/>
          <w:color w:val="000000"/>
          <w:sz w:val="20"/>
          <w:szCs w:val="20"/>
        </w:rPr>
        <w:t xml:space="preserve">(6) general factors that may impact our business and our shareholders.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Risks Relating to the Demand for Our Products and Services and Our Ability to Grow Our Customer Base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business is seasonal and decreases in the demand for our energy products an</w:t>
      </w:r>
      <w:r>
        <w:rPr>
          <w:rFonts w:eastAsia="Times New Roman"/>
          <w:b/>
          <w:bCs/>
          <w:i/>
          <w:iCs/>
          <w:color w:val="000000"/>
          <w:sz w:val="20"/>
          <w:szCs w:val="20"/>
        </w:rPr>
        <w:t>d services because of</w:t>
      </w:r>
      <w:r>
        <w:rPr>
          <w:rFonts w:eastAsia="Times New Roman"/>
          <w:color w:val="000000"/>
          <w:sz w:val="20"/>
          <w:szCs w:val="20"/>
        </w:rPr>
        <w:t xml:space="preserve"> </w:t>
      </w:r>
      <w:r>
        <w:rPr>
          <w:rFonts w:eastAsia="Times New Roman"/>
          <w:b/>
          <w:bCs/>
          <w:i/>
          <w:iCs/>
          <w:color w:val="000000"/>
          <w:sz w:val="20"/>
          <w:szCs w:val="20"/>
        </w:rPr>
        <w:t>warmer-than-normal heating season weather or unfavorable weather conditions may adversely affect our results</w:t>
      </w:r>
      <w:r>
        <w:rPr>
          <w:rFonts w:eastAsia="Times New Roman"/>
          <w:color w:val="000000"/>
          <w:sz w:val="20"/>
          <w:szCs w:val="20"/>
        </w:rPr>
        <w:t xml:space="preserve"> </w:t>
      </w:r>
      <w:r>
        <w:rPr>
          <w:rFonts w:eastAsia="Times New Roman"/>
          <w:b/>
          <w:bCs/>
          <w:i/>
          <w:iCs/>
          <w:color w:val="000000"/>
          <w:sz w:val="20"/>
          <w:szCs w:val="20"/>
        </w:rPr>
        <w:t>of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Because many of our customers rely on our energy products and services to heat their homes and businesses, and for agricultural purposes such as crop drying, our results of operations are adversely affected by warmer-than-normal heating season weather. Wea</w:t>
      </w:r>
      <w:r>
        <w:rPr>
          <w:rFonts w:eastAsia="Times New Roman"/>
          <w:color w:val="000000"/>
          <w:sz w:val="20"/>
          <w:szCs w:val="20"/>
        </w:rPr>
        <w:t>ther conditions have a significant impact on the demand for our energy products and services for both heating and agricultural purposes. Accordingly, the volume of our energy products sold is at its highest during the peak heating season of October through</w:t>
      </w:r>
      <w:r>
        <w:rPr>
          <w:rFonts w:eastAsia="Times New Roman"/>
          <w:color w:val="000000"/>
          <w:sz w:val="20"/>
          <w:szCs w:val="20"/>
        </w:rPr>
        <w:t xml:space="preserve"> March and is directly affected by the severity of the winter weather. For example, historically, approximately 60% to 70% of AmeriGas Propane’s annual retail propane volume, 60% to 70% of UGI International’s annual retail LPG volume, 60% to 70% of Energy </w:t>
      </w:r>
      <w:r>
        <w:rPr>
          <w:rFonts w:eastAsia="Times New Roman"/>
          <w:color w:val="000000"/>
          <w:sz w:val="20"/>
          <w:szCs w:val="20"/>
        </w:rPr>
        <w:t xml:space="preserve">Services’ retail natural gas volume and 60% to 70% of Gas Utility’s natural gas throughput (the total volume of gas sold to or transported for customers within our distribution system) has typically been sold during these months. Additionally, as a result </w:t>
      </w:r>
      <w:r>
        <w:rPr>
          <w:rFonts w:eastAsia="Times New Roman"/>
          <w:color w:val="000000"/>
          <w:sz w:val="20"/>
          <w:szCs w:val="20"/>
        </w:rPr>
        <w:t>of the AmeriGas Merger, an even greater portion of our earnings has been and will continue to be derived during the peak heating season of October through March. There can be no assurance that normal winter weather in our market areas will occur in the fut</w:t>
      </w:r>
      <w:r>
        <w:rPr>
          <w:rFonts w:eastAsia="Times New Roman"/>
          <w:color w:val="000000"/>
          <w:sz w:val="20"/>
          <w:szCs w:val="20"/>
        </w:rPr>
        <w:t>ure.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addition, our agricultural customers use LPG for purposes other than heating, including for crop drying, and unfavorable weather conditions, such as lack of precipitation, may impact the demand for LPG. Moreover, harsh weather conditions may at t</w:t>
      </w:r>
      <w:r>
        <w:rPr>
          <w:rFonts w:eastAsia="Times New Roman"/>
          <w:color w:val="000000"/>
          <w:sz w:val="20"/>
          <w:szCs w:val="20"/>
        </w:rPr>
        <w:t xml:space="preserve">imes impede the transportation and delivery of LPG, or restrict our ability to obtain LPG from suppliers. Spikes in demand caused by weather or other factors can stress the supply chain and limit our ability to obtain additional quantities of LPG. Changes </w:t>
      </w:r>
      <w:r>
        <w:rPr>
          <w:rFonts w:eastAsia="Times New Roman"/>
          <w:color w:val="000000"/>
          <w:sz w:val="20"/>
          <w:szCs w:val="20"/>
        </w:rPr>
        <w:t>in LPG supply costs are normally passed through to customers, but time lags (between when we purchase the LPG and when the customer purchases the LPG) may result in significant gross margin fluctuations that could adversely affect our results of operations</w:t>
      </w:r>
      <w:r>
        <w:rPr>
          <w:rFonts w:eastAsia="Times New Roman"/>
          <w:color w:val="000000"/>
          <w:sz w:val="20"/>
          <w:szCs w:val="20"/>
        </w:rPr>
        <w:t xml:space="preserve">.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The potential effects of climate change may affect our business, operations, supply chain and customers, which could adversely impact our financial condition and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Shifts and fluctuations in weather patterns and other environmen</w:t>
      </w:r>
      <w:r>
        <w:rPr>
          <w:rFonts w:eastAsia="Times New Roman"/>
          <w:color w:val="000000"/>
          <w:sz w:val="20"/>
          <w:szCs w:val="20"/>
        </w:rPr>
        <w:t>tal conditions, including temperature and precipitation levels, may affect consumer demand for our energy products and services. In addition, the potential physical effects of climate change, such as increased frequency and severity of storms, floods and o</w:t>
      </w:r>
      <w:r>
        <w:rPr>
          <w:rFonts w:eastAsia="Times New Roman"/>
          <w:color w:val="000000"/>
          <w:sz w:val="20"/>
          <w:szCs w:val="20"/>
        </w:rPr>
        <w:t>ther climatic events, could disrupt our operations and supply chain, and cause us to incur significant costs in preparing for or responding to these effects. These or other meteorological changes could lead to increased operating costs, capital expenses or</w:t>
      </w:r>
      <w:r>
        <w:rPr>
          <w:rFonts w:eastAsia="Times New Roman"/>
          <w:color w:val="000000"/>
          <w:sz w:val="20"/>
          <w:szCs w:val="20"/>
        </w:rPr>
        <w:t xml:space="preserve"> supply costs. Our commercial and residential customers may also experience the potential physical impacts of climate change and may incur significant costs in preparing for or responding to these efforts, including increasing the mix and resiliency of the</w:t>
      </w:r>
      <w:r>
        <w:rPr>
          <w:rFonts w:eastAsia="Times New Roman"/>
          <w:color w:val="000000"/>
          <w:sz w:val="20"/>
          <w:szCs w:val="20"/>
        </w:rPr>
        <w:t xml:space="preserve">ir energy solutions and supply. The impact of any one or all of the foregoing factors may adversely affect our financial condition and results of operations.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addition to the direct physical impact that climate change may have on our business, financi</w:t>
      </w:r>
      <w:r>
        <w:rPr>
          <w:rFonts w:eastAsia="Times New Roman"/>
          <w:color w:val="000000"/>
          <w:sz w:val="20"/>
          <w:szCs w:val="20"/>
        </w:rPr>
        <w:t>al condition and results of operations, we may also be adversely impacted by other environmental factors, including: (i) technological advances designed to promote energy efficiency and limit environmental impact; (ii) increased competition from alternativ</w:t>
      </w:r>
      <w:r>
        <w:rPr>
          <w:rFonts w:eastAsia="Times New Roman"/>
          <w:color w:val="000000"/>
          <w:sz w:val="20"/>
          <w:szCs w:val="20"/>
        </w:rPr>
        <w:t>e energy sources; (iii) regulatory responses aimed at decreasing GHG emissions; and (iv) litigation or regulatory actions that address the environmental impact of our energy products and services. For more information on these risks, please refer to the fo</w:t>
      </w:r>
      <w:r>
        <w:rPr>
          <w:rFonts w:eastAsia="Times New Roman"/>
          <w:color w:val="000000"/>
          <w:sz w:val="20"/>
          <w:szCs w:val="20"/>
        </w:rPr>
        <w:t xml:space="preserve">llowing risk factors included elsewhere in this section: </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“Energy efficiency and technology advances, as well as price induced customer conservation, may result in reduced demand for our energy products and services”; </w:t>
      </w:r>
    </w:p>
    <w:p w:rsidR="00000000" w:rsidRDefault="00DF5BC2">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“Our operations may be adversely </w:t>
      </w:r>
      <w:r>
        <w:rPr>
          <w:rFonts w:eastAsia="Times New Roman"/>
          <w:i/>
          <w:iCs/>
          <w:color w:val="000000"/>
          <w:sz w:val="20"/>
          <w:szCs w:val="20"/>
        </w:rPr>
        <w:t xml:space="preserve">affected by competition from other energy sources”; </w:t>
      </w:r>
    </w:p>
    <w:p w:rsidR="00000000" w:rsidRDefault="00DF5BC2">
      <w:pPr>
        <w:ind w:hanging="360"/>
        <w:jc w:val="both"/>
        <w:rPr>
          <w:rFonts w:eastAsia="Times New Roman"/>
        </w:rPr>
      </w:pPr>
      <w:r>
        <w:rPr>
          <w:rFonts w:eastAsia="Times New Roman"/>
          <w:color w:val="000000"/>
          <w:sz w:val="20"/>
          <w:szCs w:val="20"/>
        </w:rPr>
        <w:t>•</w:t>
      </w:r>
      <w:r>
        <w:rPr>
          <w:rFonts w:eastAsia="Times New Roman"/>
          <w:i/>
          <w:iCs/>
          <w:color w:val="000000"/>
          <w:sz w:val="20"/>
          <w:szCs w:val="20"/>
        </w:rPr>
        <w:t>“Our need to comply with, and respond to industry-wide changes resulting from, comprehensive, complex, and sometimes unpredictable governmental regulations, including regulatory initiatives aimed at inc</w:t>
      </w:r>
      <w:r>
        <w:rPr>
          <w:rFonts w:eastAsia="Times New Roman"/>
          <w:i/>
          <w:iCs/>
          <w:color w:val="000000"/>
          <w:sz w:val="20"/>
          <w:szCs w:val="20"/>
        </w:rPr>
        <w:t xml:space="preserve">reasing competition </w:t>
      </w:r>
    </w:p>
    <w:p w:rsidR="00000000" w:rsidRDefault="00DF5BC2">
      <w:pPr>
        <w:jc w:val="center"/>
        <w:divId w:val="1715306024"/>
        <w:rPr>
          <w:rFonts w:eastAsia="Times New Roman"/>
        </w:rPr>
      </w:pPr>
      <w:r>
        <w:rPr>
          <w:rFonts w:eastAsia="Times New Roman"/>
          <w:color w:val="000000"/>
          <w:sz w:val="20"/>
          <w:szCs w:val="20"/>
        </w:rPr>
        <w:t>34</w:t>
      </w:r>
    </w:p>
    <w:p w:rsidR="00000000" w:rsidRDefault="00DF5BC2">
      <w:pPr>
        <w:rPr>
          <w:rFonts w:eastAsia="Times New Roman"/>
        </w:rPr>
      </w:pPr>
      <w:r>
        <w:rPr>
          <w:rFonts w:eastAsia="Times New Roman"/>
        </w:rPr>
        <w:pict>
          <v:rect id="_x0000_i1060" style="width:0;height:1.5pt" o:hralign="center" o:hrstd="t" o:hr="t" fillcolor="#a0a0a0" stroked="f"/>
        </w:pict>
      </w:r>
    </w:p>
    <w:p w:rsidR="00000000" w:rsidRDefault="00DF5BC2">
      <w:pPr>
        <w:divId w:val="1792743044"/>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i/>
          <w:iCs/>
          <w:color w:val="000000"/>
          <w:sz w:val="20"/>
          <w:szCs w:val="20"/>
        </w:rPr>
        <w:t>within our industry, may increase our costs and limit our revenue growth, which may adversely affect our operating resul</w:t>
      </w:r>
      <w:r>
        <w:rPr>
          <w:rFonts w:eastAsia="Times New Roman"/>
          <w:i/>
          <w:iCs/>
          <w:color w:val="000000"/>
          <w:sz w:val="20"/>
          <w:szCs w:val="20"/>
        </w:rPr>
        <w:t xml:space="preserve">ts”; </w:t>
      </w:r>
    </w:p>
    <w:p w:rsidR="00000000" w:rsidRDefault="00DF5BC2">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“Our operations, financial results and cash flows may be adversely affected by existing and future global climate change laws and regulations, including with respect to GHG emission restrictions, as well as market responses thereto”; and </w:t>
      </w:r>
    </w:p>
    <w:p w:rsidR="00000000" w:rsidRDefault="00DF5BC2">
      <w:pPr>
        <w:ind w:hanging="360"/>
        <w:jc w:val="both"/>
        <w:rPr>
          <w:rFonts w:eastAsia="Times New Roman"/>
        </w:rPr>
      </w:pPr>
      <w:r>
        <w:rPr>
          <w:rFonts w:eastAsia="Times New Roman"/>
          <w:color w:val="000000"/>
          <w:sz w:val="20"/>
          <w:szCs w:val="20"/>
        </w:rPr>
        <w:t>•</w:t>
      </w:r>
      <w:r>
        <w:rPr>
          <w:rFonts w:eastAsia="Times New Roman"/>
          <w:i/>
          <w:iCs/>
          <w:color w:val="000000"/>
          <w:sz w:val="20"/>
          <w:szCs w:val="20"/>
        </w:rPr>
        <w:t>“We are s</w:t>
      </w:r>
      <w:r>
        <w:rPr>
          <w:rFonts w:eastAsia="Times New Roman"/>
          <w:i/>
          <w:iCs/>
          <w:color w:val="000000"/>
          <w:sz w:val="20"/>
          <w:szCs w:val="20"/>
        </w:rPr>
        <w:t>ubject to operating and litigation risks that may not be covered by insurance.”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potential to increase revenues may be affected by the decline in retail volumes of LPG and our ability to retain and grow our customer base.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retail LPG distribution industry in the U.S. and many of the European countries in which we operate is ma</w:t>
      </w:r>
      <w:r>
        <w:rPr>
          <w:rFonts w:eastAsia="Times New Roman"/>
          <w:color w:val="000000"/>
          <w:sz w:val="20"/>
          <w:szCs w:val="20"/>
        </w:rPr>
        <w:t>ture and has been declining over the past several years, with no or modest growth (or decline) in total demand foreseen in the near future. Accordingly, we expect that year-to-year industry volumes will be principally affected by weather patterns. Therefor</w:t>
      </w:r>
      <w:r>
        <w:rPr>
          <w:rFonts w:eastAsia="Times New Roman"/>
          <w:color w:val="000000"/>
          <w:sz w:val="20"/>
          <w:szCs w:val="20"/>
        </w:rPr>
        <w:t>e, our ability to grow within the LPG industry is dependent on our ability to acquire other retail distributors and to achieve internal growth, which includes expansion of the ACE, Cynch and National Accounts programs in the U.S. and expansion in Europe, a</w:t>
      </w:r>
      <w:r>
        <w:rPr>
          <w:rFonts w:eastAsia="Times New Roman"/>
          <w:color w:val="000000"/>
          <w:sz w:val="20"/>
          <w:szCs w:val="20"/>
        </w:rPr>
        <w:t>s well as the success of our sales and marketing programs designed to attract and retain customers. Any failure to retain and grow our customer base and successfully acquire other distributors would have an adverse impact on our results. Acquisitions in th</w:t>
      </w:r>
      <w:r>
        <w:rPr>
          <w:rFonts w:eastAsia="Times New Roman"/>
          <w:color w:val="000000"/>
          <w:sz w:val="20"/>
          <w:szCs w:val="20"/>
        </w:rPr>
        <w:t>e U.S. and Europe may require merger control filings with the Federal Trade Commission and the European Commission, as applicable, and commitments or divestments of assets may be required to obtain clearance. Such commitments or divestments may influence t</w:t>
      </w:r>
      <w:r>
        <w:rPr>
          <w:rFonts w:eastAsia="Times New Roman"/>
          <w:color w:val="000000"/>
          <w:sz w:val="20"/>
          <w:szCs w:val="20"/>
        </w:rPr>
        <w:t xml:space="preserve">he overall economics and risk profile of the transaction.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ability to grow our businesses will be adversely affected if we are not successful in identifying and completing business combinations, asset acquisitions or investments in joint ventures int</w:t>
      </w:r>
      <w:r>
        <w:rPr>
          <w:rFonts w:eastAsia="Times New Roman"/>
          <w:b/>
          <w:bCs/>
          <w:i/>
          <w:iCs/>
          <w:color w:val="000000"/>
          <w:sz w:val="20"/>
          <w:szCs w:val="20"/>
        </w:rPr>
        <w:t>ended to advance our business strategy, or if we are unable to realize the anticipated benefits from such transactions we have completed.</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One element of our business strategy is to grow through investments in the U.S. and in international markets, which </w:t>
      </w:r>
      <w:r>
        <w:rPr>
          <w:rFonts w:eastAsia="Times New Roman"/>
          <w:color w:val="000000"/>
          <w:sz w:val="20"/>
          <w:szCs w:val="20"/>
        </w:rPr>
        <w:t>includes our recent efforts to expand our presence in the renewable energy industry. We may choose to finance such future investments with debt, equity, cash or a combination of the three. We can give no assurances that we will find attractive investment o</w:t>
      </w:r>
      <w:r>
        <w:rPr>
          <w:rFonts w:eastAsia="Times New Roman"/>
          <w:color w:val="000000"/>
          <w:sz w:val="20"/>
          <w:szCs w:val="20"/>
        </w:rPr>
        <w:t xml:space="preserve">pportunities in the future (including renewable energy opportunities), that we will be able to complete and finance these transactions on economically acceptable terms, that any investments and related transactions will not be dilutive to earnings or that </w:t>
      </w:r>
      <w:r>
        <w:rPr>
          <w:rFonts w:eastAsia="Times New Roman"/>
          <w:color w:val="000000"/>
          <w:sz w:val="20"/>
          <w:szCs w:val="20"/>
        </w:rPr>
        <w:t xml:space="preserve">any additional debt incurred to finance such investment will not affect our ability to pay dividends. Moreover, certain investments, including some acquisitions, may require antitrust and other regulatory clearances. We may have to offer commitments (such </w:t>
      </w:r>
      <w:r>
        <w:rPr>
          <w:rFonts w:eastAsia="Times New Roman"/>
          <w:color w:val="000000"/>
          <w:sz w:val="20"/>
          <w:szCs w:val="20"/>
        </w:rPr>
        <w:t xml:space="preserve">as agreements not to compete for certain businesses) or divest assets in order to obtain clearance, which may adversely affect the overall economics and risk profile of the contemplated transaction.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To the extent we are successful in executing these tra</w:t>
      </w:r>
      <w:r>
        <w:rPr>
          <w:rFonts w:eastAsia="Times New Roman"/>
          <w:color w:val="000000"/>
          <w:sz w:val="20"/>
          <w:szCs w:val="20"/>
        </w:rPr>
        <w:t>nsactions, such transactions involve a number of risks. These risks include, but are not limited to, the assumption of material liabilities, environmental liabilities, the diversion of management’s attention from the management of daily operations to the i</w:t>
      </w:r>
      <w:r>
        <w:rPr>
          <w:rFonts w:eastAsia="Times New Roman"/>
          <w:color w:val="000000"/>
          <w:sz w:val="20"/>
          <w:szCs w:val="20"/>
        </w:rPr>
        <w:t>ntegration of acquired operations, difficulties in the assimilation and retention of employees and difficulties in the assimilation of different cultures and practices and internal controls, challenges with consolidating the operations of acquired companie</w:t>
      </w:r>
      <w:r>
        <w:rPr>
          <w:rFonts w:eastAsia="Times New Roman"/>
          <w:color w:val="000000"/>
          <w:sz w:val="20"/>
          <w:szCs w:val="20"/>
        </w:rPr>
        <w:t>s into our own, as well as in the assimilation of broad and geographically dispersed personnel and operations. Future investments could also result in, among other things, the failure to identify material issues during due diligence, the risk of overpaying</w:t>
      </w:r>
      <w:r>
        <w:rPr>
          <w:rFonts w:eastAsia="Times New Roman"/>
          <w:color w:val="000000"/>
          <w:sz w:val="20"/>
          <w:szCs w:val="20"/>
        </w:rPr>
        <w:t xml:space="preserve"> for assets, unanticipated capital expenditures, the failure to maintain effective internal control over financial reporting, recording goodwill and other intangible assets at values that ultimately may be subject to impairment charges and fluctuations in </w:t>
      </w:r>
      <w:r>
        <w:rPr>
          <w:rFonts w:eastAsia="Times New Roman"/>
          <w:color w:val="000000"/>
          <w:sz w:val="20"/>
          <w:szCs w:val="20"/>
        </w:rPr>
        <w:t>quarterly results. There can also be no assurance that our past and future investments, including our recent investments in renewable energy, will deliver the strategic, financial, operational and environmental benefits that we anticipate, nor can we be ce</w:t>
      </w:r>
      <w:r>
        <w:rPr>
          <w:rFonts w:eastAsia="Times New Roman"/>
          <w:color w:val="000000"/>
          <w:sz w:val="20"/>
          <w:szCs w:val="20"/>
        </w:rPr>
        <w:t xml:space="preserve">rtain that strategic investments will remain available in the future.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failure to successfully identify, complete, and implement investments intended to advance our business strategy could have an adverse impact on our business, cash flows, financial</w:t>
      </w:r>
      <w:r>
        <w:rPr>
          <w:rFonts w:eastAsia="Times New Roman"/>
          <w:color w:val="000000"/>
          <w:sz w:val="20"/>
          <w:szCs w:val="20"/>
        </w:rPr>
        <w:t xml:space="preserve"> condition and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Energy efficiency and technology advances, as well as price induced customer</w:t>
      </w:r>
      <w:r>
        <w:rPr>
          <w:rFonts w:eastAsia="Times New Roman"/>
          <w:color w:val="000000"/>
          <w:sz w:val="20"/>
          <w:szCs w:val="20"/>
        </w:rPr>
        <w:t xml:space="preserve"> </w:t>
      </w:r>
      <w:r>
        <w:rPr>
          <w:rFonts w:eastAsia="Times New Roman"/>
          <w:b/>
          <w:bCs/>
          <w:i/>
          <w:iCs/>
          <w:color w:val="000000"/>
          <w:sz w:val="20"/>
          <w:szCs w:val="20"/>
        </w:rPr>
        <w:t>conservation, may result in reduced demand for our energy products and</w:t>
      </w:r>
      <w:r>
        <w:rPr>
          <w:rFonts w:eastAsia="Times New Roman"/>
          <w:color w:val="000000"/>
          <w:sz w:val="20"/>
          <w:szCs w:val="20"/>
        </w:rPr>
        <w:t xml:space="preserve"> </w:t>
      </w:r>
      <w:r>
        <w:rPr>
          <w:rFonts w:eastAsia="Times New Roman"/>
          <w:b/>
          <w:bCs/>
          <w:i/>
          <w:iCs/>
          <w:color w:val="000000"/>
          <w:sz w:val="20"/>
          <w:szCs w:val="20"/>
        </w:rPr>
        <w:t>services.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trend toward increased energy efficiency and technol</w:t>
      </w:r>
      <w:r>
        <w:rPr>
          <w:rFonts w:eastAsia="Times New Roman"/>
          <w:color w:val="000000"/>
          <w:sz w:val="20"/>
          <w:szCs w:val="20"/>
        </w:rPr>
        <w:t>ogical advances, including installation of improved insulation and the development of more efficient boilers and other heating equipment, as well as conservation measures, may reduce the demand for our energy products. Prices for LPG and natural gas are su</w:t>
      </w:r>
      <w:r>
        <w:rPr>
          <w:rFonts w:eastAsia="Times New Roman"/>
          <w:color w:val="000000"/>
          <w:sz w:val="20"/>
          <w:szCs w:val="20"/>
        </w:rPr>
        <w:t xml:space="preserve">bject to volatile fluctuations as a result of changes in supply and demand as well as other market conditions. During periods of high energy commodity costs, our prices generally increase, which may lead to customer conservation and attrition. A reduction </w:t>
      </w:r>
      <w:r>
        <w:rPr>
          <w:rFonts w:eastAsia="Times New Roman"/>
          <w:color w:val="000000"/>
          <w:sz w:val="20"/>
          <w:szCs w:val="20"/>
        </w:rPr>
        <w:t xml:space="preserve">in demand could lower our revenues and, therefore, lower </w:t>
      </w:r>
    </w:p>
    <w:p w:rsidR="00000000" w:rsidRDefault="00DF5BC2">
      <w:pPr>
        <w:jc w:val="center"/>
        <w:divId w:val="1631785832"/>
        <w:rPr>
          <w:rFonts w:eastAsia="Times New Roman"/>
        </w:rPr>
      </w:pPr>
      <w:r>
        <w:rPr>
          <w:rFonts w:eastAsia="Times New Roman"/>
          <w:color w:val="000000"/>
          <w:sz w:val="20"/>
          <w:szCs w:val="20"/>
        </w:rPr>
        <w:t>35</w:t>
      </w:r>
    </w:p>
    <w:p w:rsidR="00000000" w:rsidRDefault="00DF5BC2">
      <w:pPr>
        <w:rPr>
          <w:rFonts w:eastAsia="Times New Roman"/>
        </w:rPr>
      </w:pPr>
      <w:r>
        <w:rPr>
          <w:rFonts w:eastAsia="Times New Roman"/>
        </w:rPr>
        <w:pict>
          <v:rect id="_x0000_i1061" style="width:0;height:1.5pt" o:hralign="center" o:hrstd="t" o:hr="t" fillcolor="#a0a0a0" stroked="f"/>
        </w:pict>
      </w:r>
    </w:p>
    <w:p w:rsidR="00000000" w:rsidRDefault="00DF5BC2">
      <w:pPr>
        <w:divId w:val="1007251722"/>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our net income and adversely affect our cash flows. State and/or federal regulation may require mandatory conservation measures, which would red</w:t>
      </w:r>
      <w:r>
        <w:rPr>
          <w:rFonts w:eastAsia="Times New Roman"/>
          <w:color w:val="000000"/>
          <w:sz w:val="20"/>
          <w:szCs w:val="20"/>
        </w:rPr>
        <w:t xml:space="preserve">uce the demand for our energy products. Additionally, at the international level, EU and local laws and regulations may require mandatory conservation measures, which would reduce the demand for our energy products. For example, in 2018 the EU revised the </w:t>
      </w:r>
      <w:r>
        <w:rPr>
          <w:rFonts w:eastAsia="Times New Roman"/>
          <w:color w:val="000000"/>
          <w:sz w:val="20"/>
          <w:szCs w:val="20"/>
        </w:rPr>
        <w:t>Energy Performance of Buildings Directive (the “EPBD”), with the goal to create a clear path towards a low and zero-emission and decarbonized building stock in the EU by 2050.  Due to delays resulting from the COVID-19 pandemic, EU countries will now be ad</w:t>
      </w:r>
      <w:r>
        <w:rPr>
          <w:rFonts w:eastAsia="Times New Roman"/>
          <w:color w:val="000000"/>
          <w:sz w:val="20"/>
          <w:szCs w:val="20"/>
        </w:rPr>
        <w:t>opting laws through 2021 to implement the EPBD.  The EU is also adopting further measures to decarbonize electricity generation in order to reduce dependence on fossil fuel imports and achieve its climate change objectives. Over time, these various measure</w:t>
      </w:r>
      <w:r>
        <w:rPr>
          <w:rFonts w:eastAsia="Times New Roman"/>
          <w:color w:val="000000"/>
          <w:sz w:val="20"/>
          <w:szCs w:val="20"/>
        </w:rPr>
        <w:t>s will impact fossil fuel consumption in Europe and the demand for our energy products. We cannot predict the materiality of the effect of future conservation measures or the effect that any technological advances in heating, conservation, energy generatio</w:t>
      </w:r>
      <w:r>
        <w:rPr>
          <w:rFonts w:eastAsia="Times New Roman"/>
          <w:color w:val="000000"/>
          <w:sz w:val="20"/>
          <w:szCs w:val="20"/>
        </w:rPr>
        <w:t>n or other devices might have on our operations.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operations may be adversely affected by competition from other energy</w:t>
      </w:r>
      <w:r>
        <w:rPr>
          <w:rFonts w:eastAsia="Times New Roman"/>
          <w:color w:val="000000"/>
          <w:sz w:val="20"/>
          <w:szCs w:val="20"/>
        </w:rPr>
        <w:t xml:space="preserve"> </w:t>
      </w:r>
      <w:r>
        <w:rPr>
          <w:rFonts w:eastAsia="Times New Roman"/>
          <w:b/>
          <w:bCs/>
          <w:i/>
          <w:iCs/>
          <w:color w:val="000000"/>
          <w:sz w:val="20"/>
          <w:szCs w:val="20"/>
        </w:rPr>
        <w:t>sources.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energy products and services face competition from other energy sources, some of which are less costly for equivalen</w:t>
      </w:r>
      <w:r>
        <w:rPr>
          <w:rFonts w:eastAsia="Times New Roman"/>
          <w:color w:val="000000"/>
          <w:sz w:val="20"/>
          <w:szCs w:val="20"/>
        </w:rPr>
        <w:t>t energy value. In addition, we cannot predict the effect that the development of alternative energy sources might have on our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LPG distribution businesses compete for customers against suppliers of electricity, fuel oil and natural gas. E</w:t>
      </w:r>
      <w:r>
        <w:rPr>
          <w:rFonts w:eastAsia="Times New Roman"/>
          <w:color w:val="000000"/>
          <w:sz w:val="20"/>
          <w:szCs w:val="20"/>
        </w:rPr>
        <w:t xml:space="preserve">lectricity is a major competitor of LPG but, except in France, is generally more expensive than LPG on a Btu equivalent basis for space heating, water heating and cooking. However, in Europe and elsewhere, climate change policies favoring electricity from </w:t>
      </w:r>
      <w:r>
        <w:rPr>
          <w:rFonts w:eastAsia="Times New Roman"/>
          <w:color w:val="000000"/>
          <w:sz w:val="20"/>
          <w:szCs w:val="20"/>
        </w:rPr>
        <w:t>renewable energy sources may cause changes in current relative price relationships. Moreover, notwithstanding cost, the convenience and efficiency of electricity make it an attractive energy source for consumers and developers of new homes. In addition, du</w:t>
      </w:r>
      <w:r>
        <w:rPr>
          <w:rFonts w:eastAsia="Times New Roman"/>
          <w:color w:val="000000"/>
          <w:sz w:val="20"/>
          <w:szCs w:val="20"/>
        </w:rPr>
        <w:t>e to the prevalence of nuclear electric generation in France, the cost of electricity is generally less expensive than that of LPG, particularly when the cost to install new equipment to convert to LPG is considered. Fuel oil, which is also a major competi</w:t>
      </w:r>
      <w:r>
        <w:rPr>
          <w:rFonts w:eastAsia="Times New Roman"/>
          <w:color w:val="000000"/>
          <w:sz w:val="20"/>
          <w:szCs w:val="20"/>
        </w:rPr>
        <w:t>tor of propane, is currently more expensive than propane and is a less environmentally attractive energy source. Furnaces and appliances that burn LPG will not operate on fuel oil and vice versa, and, therefore, a conversion from one fuel to the other requ</w:t>
      </w:r>
      <w:r>
        <w:rPr>
          <w:rFonts w:eastAsia="Times New Roman"/>
          <w:color w:val="000000"/>
          <w:sz w:val="20"/>
          <w:szCs w:val="20"/>
        </w:rPr>
        <w:t>ires the installation of new equipment. Our customers generally have an incentive to switch to fuel oil only if fuel oil becomes significantly less expensive than LPG. Except for certain industrial and commercial applications, LPG is generally not competit</w:t>
      </w:r>
      <w:r>
        <w:rPr>
          <w:rFonts w:eastAsia="Times New Roman"/>
          <w:color w:val="000000"/>
          <w:sz w:val="20"/>
          <w:szCs w:val="20"/>
        </w:rPr>
        <w:t xml:space="preserve">ive with natural gas in areas where natural gas pipelines already exist because natural gas is generally a significantly less expensive source of energy than LPG. The gradual expansion of natural gas distribution systems in our service areas has resulted, </w:t>
      </w:r>
      <w:r>
        <w:rPr>
          <w:rFonts w:eastAsia="Times New Roman"/>
          <w:color w:val="000000"/>
          <w:sz w:val="20"/>
          <w:szCs w:val="20"/>
        </w:rPr>
        <w:t>and may continue to result, in the availability of natural gas in some areas that previously depended upon LPG. As long as natural gas remains a less expensive energy source than LPG, our LPG business will lose customers in each region into which natural g</w:t>
      </w:r>
      <w:r>
        <w:rPr>
          <w:rFonts w:eastAsia="Times New Roman"/>
          <w:color w:val="000000"/>
          <w:sz w:val="20"/>
          <w:szCs w:val="20"/>
        </w:rPr>
        <w:t xml:space="preserve">as distribution systems are expanded. </w:t>
      </w:r>
    </w:p>
    <w:p w:rsidR="00000000" w:rsidRDefault="00DF5BC2">
      <w:pPr>
        <w:ind w:firstLine="270"/>
        <w:jc w:val="both"/>
        <w:rPr>
          <w:rFonts w:eastAsia="Times New Roman"/>
        </w:rPr>
      </w:pPr>
    </w:p>
    <w:p w:rsidR="00000000" w:rsidRDefault="00DF5BC2">
      <w:pPr>
        <w:jc w:val="both"/>
        <w:rPr>
          <w:rFonts w:eastAsia="Times New Roman"/>
        </w:rPr>
      </w:pPr>
      <w:r>
        <w:rPr>
          <w:rFonts w:eastAsia="Times New Roman"/>
          <w:color w:val="000000"/>
          <w:sz w:val="20"/>
          <w:szCs w:val="20"/>
        </w:rPr>
        <w:t>Our natural gas businesses compete primarily with electricity and fuel oil, and, to a lesser extent, with LPG and coal. Competition among these fuels is primarily a function of their comparative price and the relati</w:t>
      </w:r>
      <w:r>
        <w:rPr>
          <w:rFonts w:eastAsia="Times New Roman"/>
          <w:color w:val="000000"/>
          <w:sz w:val="20"/>
          <w:szCs w:val="20"/>
        </w:rPr>
        <w:t>ve cost and efficiency of fuel utilization equipment. There can be no assurance that our natural gas revenues will not be adversely affected by this competition.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The expansion, construction and development of our energy infrastructure assets subjects us to risks.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seek to grow our business through the expansion, construction and development of our energy infrastructure, including new pipelines, gathering system</w:t>
      </w:r>
      <w:r>
        <w:rPr>
          <w:rFonts w:eastAsia="Times New Roman"/>
          <w:color w:val="000000"/>
          <w:sz w:val="20"/>
          <w:szCs w:val="20"/>
        </w:rPr>
        <w:t>s, facilities and other assets. These projects are subject to state and federal regulatory oversight and require certain property rights, such as easements and rights-of-way from public and private owners, as well as regulatory approvals, including environ</w:t>
      </w:r>
      <w:r>
        <w:rPr>
          <w:rFonts w:eastAsia="Times New Roman"/>
          <w:color w:val="000000"/>
          <w:sz w:val="20"/>
          <w:szCs w:val="20"/>
        </w:rPr>
        <w:t>mental and other permits and licenses. There is no assurance that we or our project partners, as applicable, will be able to obtain the necessary property rights, permits and licenses in a timely and cost-efficient manner or at all, which may result in a d</w:t>
      </w:r>
      <w:r>
        <w:rPr>
          <w:rFonts w:eastAsia="Times New Roman"/>
          <w:color w:val="000000"/>
          <w:sz w:val="20"/>
          <w:szCs w:val="20"/>
        </w:rPr>
        <w:t>elay or failure to complete a project. We may face opposition to the expansion, construction or development of new or existing pipelines, gathering systems, facilities or other assets from environmental groups, landowners, local groups and other advocates.</w:t>
      </w:r>
      <w:r>
        <w:rPr>
          <w:rFonts w:eastAsia="Times New Roman"/>
          <w:color w:val="000000"/>
          <w:sz w:val="20"/>
          <w:szCs w:val="20"/>
        </w:rPr>
        <w:t xml:space="preserve"> This opposition could take many forms, including organized protests, attempts to block or sabotage our operations, intervention in regulatory or administrative proceedings involving our assets, or lawsuits or other actions designed to prevent, disrupt, or</w:t>
      </w:r>
      <w:r>
        <w:rPr>
          <w:rFonts w:eastAsia="Times New Roman"/>
          <w:color w:val="000000"/>
          <w:sz w:val="20"/>
          <w:szCs w:val="20"/>
        </w:rPr>
        <w:t xml:space="preserve"> delay the development or operation of our assets and business. Failure to complete any pending or future infrastructure project may have a materially adverse impact on our financial condition and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Even if we are able to successfull</w:t>
      </w:r>
      <w:r>
        <w:rPr>
          <w:rFonts w:eastAsia="Times New Roman"/>
          <w:color w:val="000000"/>
          <w:sz w:val="20"/>
          <w:szCs w:val="20"/>
        </w:rPr>
        <w:t>y complete any pending or future infrastructure project, our revenues may not increase immediately upon the expenditure of funds on a particular project or as anticipated during the lifespan of the project. As a result, there is the risk that new and expan</w:t>
      </w:r>
      <w:r>
        <w:rPr>
          <w:rFonts w:eastAsia="Times New Roman"/>
          <w:color w:val="000000"/>
          <w:sz w:val="20"/>
          <w:szCs w:val="20"/>
        </w:rPr>
        <w:t>ded energy infrastructure may not achieve our expected investment returns, which could have a material adverse effect on our business, financial condition and results of operations.</w:t>
      </w:r>
    </w:p>
    <w:p w:rsidR="00000000" w:rsidRDefault="00DF5BC2">
      <w:pPr>
        <w:jc w:val="center"/>
        <w:divId w:val="1014959161"/>
        <w:rPr>
          <w:rFonts w:eastAsia="Times New Roman"/>
        </w:rPr>
      </w:pPr>
      <w:r>
        <w:rPr>
          <w:rFonts w:eastAsia="Times New Roman"/>
          <w:color w:val="000000"/>
          <w:sz w:val="20"/>
          <w:szCs w:val="20"/>
        </w:rPr>
        <w:t>36</w:t>
      </w:r>
    </w:p>
    <w:p w:rsidR="00000000" w:rsidRDefault="00DF5BC2">
      <w:pPr>
        <w:rPr>
          <w:rFonts w:eastAsia="Times New Roman"/>
        </w:rPr>
      </w:pPr>
      <w:r>
        <w:rPr>
          <w:rFonts w:eastAsia="Times New Roman"/>
        </w:rPr>
        <w:pict>
          <v:rect id="_x0000_i1062" style="width:0;height:1.5pt" o:hralign="center" o:hrstd="t" o:hr="t" fillcolor="#a0a0a0" stroked="f"/>
        </w:pict>
      </w:r>
    </w:p>
    <w:p w:rsidR="00000000" w:rsidRDefault="00DF5BC2">
      <w:pPr>
        <w:divId w:val="1754426086"/>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Risks Relating to Our Business Operations, Including Internal and External Factors that May Impact Our Operational Continuity</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efforts to create operational benefits and cost efficiencies through business tr</w:t>
      </w:r>
      <w:r>
        <w:rPr>
          <w:rFonts w:eastAsia="Times New Roman"/>
          <w:b/>
          <w:bCs/>
          <w:i/>
          <w:iCs/>
          <w:color w:val="000000"/>
          <w:sz w:val="20"/>
          <w:szCs w:val="20"/>
        </w:rPr>
        <w:t>ansformation initiatives at our business units and various corporate services functions may be disruptive and adversely affect our business, financial condition and results of operations.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may make adjustments to our workforce in response to managemen</w:t>
      </w:r>
      <w:r>
        <w:rPr>
          <w:rFonts w:eastAsia="Times New Roman"/>
          <w:color w:val="000000"/>
          <w:sz w:val="20"/>
          <w:szCs w:val="20"/>
        </w:rPr>
        <w:t>t changes, product changes, performance issues, changes in strategy, acquisitions or other internal and external considerations. These adjustments may result in increased costs and temporarily reduced productivity, as well as a disruption in our ability to</w:t>
      </w:r>
      <w:r>
        <w:rPr>
          <w:rFonts w:eastAsia="Times New Roman"/>
          <w:color w:val="000000"/>
          <w:sz w:val="20"/>
          <w:szCs w:val="20"/>
        </w:rPr>
        <w:t xml:space="preserve"> perform functions critical to our strategy, including, but not limited to, disruptions in customer service. The effects of such adjustments could recur in connection with any current or future business transformation initiatives or we may not achieve or s</w:t>
      </w:r>
      <w:r>
        <w:rPr>
          <w:rFonts w:eastAsia="Times New Roman"/>
          <w:color w:val="000000"/>
          <w:sz w:val="20"/>
          <w:szCs w:val="20"/>
        </w:rPr>
        <w:t>ustain the expected growth or cost savings benefits of any such initiatives, or do so within the expected timeframe. As a result, our business, financial condition and results of operations could be negatively affected.</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have substantially completed tr</w:t>
      </w:r>
      <w:r>
        <w:rPr>
          <w:rFonts w:eastAsia="Times New Roman"/>
          <w:color w:val="000000"/>
          <w:sz w:val="20"/>
          <w:szCs w:val="20"/>
        </w:rPr>
        <w:t xml:space="preserve">ansformation initiatives at our AmeriGas and UGI International business units that are designed to achieve operational benefits and cost efficiencies and to leverage technology to provide an enhanced customer experience. Additional initiatives are ongoing </w:t>
      </w:r>
      <w:r>
        <w:rPr>
          <w:rFonts w:eastAsia="Times New Roman"/>
          <w:color w:val="000000"/>
          <w:sz w:val="20"/>
          <w:szCs w:val="20"/>
        </w:rPr>
        <w:t>in certain of our corporate services functions, including finance, human resources, procurement and information technology, that are designed to standardize processes and activities across our global platform, while leveraging the use of best practices and</w:t>
      </w:r>
      <w:r>
        <w:rPr>
          <w:rFonts w:eastAsia="Times New Roman"/>
          <w:color w:val="000000"/>
          <w:sz w:val="20"/>
          <w:szCs w:val="20"/>
        </w:rPr>
        <w:t xml:space="preserve"> efficiencies between our businesses. If we are unable to deliver the strategic and financial benefits that we anticipate, the achievement of these benefits is delayed, or the volume and nature of change challenges our available resources, then our busines</w:t>
      </w:r>
      <w:r>
        <w:rPr>
          <w:rFonts w:eastAsia="Times New Roman"/>
          <w:color w:val="000000"/>
          <w:sz w:val="20"/>
          <w:szCs w:val="20"/>
        </w:rPr>
        <w:t>s operations and financial results could be materially and adversely impacted. Our ability to successfully manage and execute these initiatives and realize expected savings and benefits in the amounts and at the times anticipated is important to our busine</w:t>
      </w:r>
      <w:r>
        <w:rPr>
          <w:rFonts w:eastAsia="Times New Roman"/>
          <w:color w:val="000000"/>
          <w:sz w:val="20"/>
          <w:szCs w:val="20"/>
        </w:rPr>
        <w:t xml:space="preserve">ss success. Any failure to do so, which could result from our inability to successfully execute organizational change and business transformation initiatives, unanticipated costs or charges, loss of key personnel, customer loss and other factors described </w:t>
      </w:r>
      <w:r>
        <w:rPr>
          <w:rFonts w:eastAsia="Times New Roman"/>
          <w:color w:val="000000"/>
          <w:sz w:val="20"/>
          <w:szCs w:val="20"/>
        </w:rPr>
        <w:t>herein, could have a material adverse effect on our business, financial condition and results of operations. For further information on these initiatives, see “Management’s Discussion and Analysis of Financial Condition and Results of Operations - Executiv</w:t>
      </w:r>
      <w:r>
        <w:rPr>
          <w:rFonts w:eastAsia="Times New Roman"/>
          <w:color w:val="000000"/>
          <w:sz w:val="20"/>
          <w:szCs w:val="20"/>
        </w:rPr>
        <w:t>e Overview - Strategic Initiatives.”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information technology systems and those of our third-party vendors have been the target of cyber-security attacks in the past. If we are unable to protect our information technology systems against future service</w:t>
      </w:r>
      <w:r>
        <w:rPr>
          <w:rFonts w:eastAsia="Times New Roman"/>
          <w:b/>
          <w:bCs/>
          <w:i/>
          <w:iCs/>
          <w:color w:val="000000"/>
          <w:sz w:val="20"/>
          <w:szCs w:val="20"/>
        </w:rPr>
        <w:t xml:space="preserve"> interruption, misappropriation of data, or breaches of security resulting from cyber-security attacks or other events, or if we encounter other unforeseen difficulties in the design, implementation or operation of our information technology systems, or if</w:t>
      </w:r>
      <w:r>
        <w:rPr>
          <w:rFonts w:eastAsia="Times New Roman"/>
          <w:b/>
          <w:bCs/>
          <w:i/>
          <w:iCs/>
          <w:color w:val="000000"/>
          <w:sz w:val="20"/>
          <w:szCs w:val="20"/>
        </w:rPr>
        <w:t xml:space="preserve"> our third-party vendors or service providers experience compromises to their information technology systems, our operations could be disrupted, our business and reputation may suffer, and our internal controls could be adversely affected.</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the ordinar</w:t>
      </w:r>
      <w:r>
        <w:rPr>
          <w:rFonts w:eastAsia="Times New Roman"/>
          <w:color w:val="000000"/>
          <w:sz w:val="20"/>
          <w:szCs w:val="20"/>
        </w:rPr>
        <w:t>y course of business, we rely on information technology systems, including the Internet and third-party hosted services, to support a variety of business processes and activities and to store sensitive data, including (i) intellectual property, (ii) our pr</w:t>
      </w:r>
      <w:r>
        <w:rPr>
          <w:rFonts w:eastAsia="Times New Roman"/>
          <w:color w:val="000000"/>
          <w:sz w:val="20"/>
          <w:szCs w:val="20"/>
        </w:rPr>
        <w:t>oprietary business information and that of our suppliers and business partners, (iii) personally identifiable information of our customers and employees, and (iv) data with respect to invoicing and the collection of payments, accounting, procurement, and s</w:t>
      </w:r>
      <w:r>
        <w:rPr>
          <w:rFonts w:eastAsia="Times New Roman"/>
          <w:color w:val="000000"/>
          <w:sz w:val="20"/>
          <w:szCs w:val="20"/>
        </w:rPr>
        <w:t xml:space="preserve">upply chain activities. In addition, we rely on our information technology systems to process financial information and results of operations for internal reporting purposes and to comply with financial reporting, legal, and tax requirements.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shd w:val="clear" w:color="auto" w:fill="FFFFFF"/>
        </w:rPr>
        <w:t>Cyber-secu</w:t>
      </w:r>
      <w:r>
        <w:rPr>
          <w:rFonts w:eastAsia="Times New Roman"/>
          <w:color w:val="000000"/>
          <w:sz w:val="20"/>
          <w:szCs w:val="20"/>
          <w:shd w:val="clear" w:color="auto" w:fill="FFFFFF"/>
        </w:rPr>
        <w:t>rity incidents have recently increased in both frequency and magnitude and have involved malicious software and attempts to gain unauthorized access to data and systems, including ransomware attacks where a target’s access to its information systems is blo</w:t>
      </w:r>
      <w:r>
        <w:rPr>
          <w:rFonts w:eastAsia="Times New Roman"/>
          <w:color w:val="000000"/>
          <w:sz w:val="20"/>
          <w:szCs w:val="20"/>
          <w:shd w:val="clear" w:color="auto" w:fill="FFFFFF"/>
        </w:rPr>
        <w:t>cked until a ransom has been paid.</w:t>
      </w:r>
      <w:r>
        <w:rPr>
          <w:rFonts w:eastAsia="Times New Roman"/>
          <w:color w:val="000000"/>
          <w:sz w:val="20"/>
          <w:szCs w:val="20"/>
        </w:rPr>
        <w:t xml:space="preserve"> </w:t>
      </w:r>
      <w:r>
        <w:rPr>
          <w:rFonts w:eastAsia="Times New Roman"/>
          <w:color w:val="000000"/>
          <w:sz w:val="20"/>
          <w:szCs w:val="20"/>
          <w:shd w:val="clear" w:color="auto" w:fill="FFFFFF"/>
        </w:rPr>
        <w:t>The White House and various regulators, including the SEC, have accordingly increased their focus on companies’ cybersecurity vulnerabilities and risks.</w:t>
      </w:r>
      <w:r>
        <w:rPr>
          <w:rFonts w:eastAsia="Times New Roman"/>
          <w:color w:val="000000"/>
          <w:sz w:val="20"/>
          <w:szCs w:val="20"/>
        </w:rPr>
        <w:t xml:space="preserve"> </w:t>
      </w:r>
      <w:r>
        <w:rPr>
          <w:rFonts w:eastAsia="Times New Roman"/>
          <w:color w:val="000000"/>
          <w:sz w:val="20"/>
          <w:szCs w:val="20"/>
          <w:shd w:val="clear" w:color="auto" w:fill="FFFFFF"/>
        </w:rPr>
        <w:t>Despite our security measures, our technologies, systems, and networks have been and may continue to be the target of cyber-security attacks or information security breaches that could result in the unauthorized release, misuse, loss or destruction of prop</w:t>
      </w:r>
      <w:r>
        <w:rPr>
          <w:rFonts w:eastAsia="Times New Roman"/>
          <w:color w:val="000000"/>
          <w:sz w:val="20"/>
          <w:szCs w:val="20"/>
          <w:shd w:val="clear" w:color="auto" w:fill="FFFFFF"/>
        </w:rPr>
        <w:t>rietary and other information, or other disruption of our business operations.</w:t>
      </w:r>
      <w:r>
        <w:rPr>
          <w:rFonts w:eastAsia="Times New Roman"/>
          <w:color w:val="000000"/>
          <w:sz w:val="20"/>
          <w:szCs w:val="20"/>
        </w:rPr>
        <w:t xml:space="preserve"> </w:t>
      </w:r>
      <w:r>
        <w:rPr>
          <w:rFonts w:eastAsia="Times New Roman"/>
          <w:color w:val="000000"/>
          <w:sz w:val="20"/>
          <w:szCs w:val="20"/>
          <w:shd w:val="clear" w:color="auto" w:fill="FFFFFF"/>
        </w:rPr>
        <w:t xml:space="preserve">Due to increasingly sophisticated threat actors, we may be unable to detect, identify or prevent attacks, and even if detected, we may be unable to adequately stop, investigate </w:t>
      </w:r>
      <w:r>
        <w:rPr>
          <w:rFonts w:eastAsia="Times New Roman"/>
          <w:color w:val="000000"/>
          <w:sz w:val="20"/>
          <w:szCs w:val="20"/>
          <w:shd w:val="clear" w:color="auto" w:fill="FFFFFF"/>
        </w:rPr>
        <w:t>or remediate our systems given the tools and techniques being used by threat actors to circumvent controls and to remove or obfuscate forensic evidence.</w:t>
      </w:r>
      <w:r>
        <w:rPr>
          <w:rFonts w:eastAsia="Times New Roman"/>
          <w:color w:val="000000"/>
          <w:sz w:val="20"/>
          <w:szCs w:val="20"/>
        </w:rPr>
        <w:t xml:space="preserve"> </w:t>
      </w:r>
      <w:r>
        <w:rPr>
          <w:rFonts w:eastAsia="Times New Roman"/>
          <w:color w:val="000000"/>
          <w:sz w:val="20"/>
          <w:szCs w:val="20"/>
          <w:shd w:val="clear" w:color="auto" w:fill="FFFFFF"/>
        </w:rPr>
        <w:t>Attacks and incidents may also occur due to malfeasance by employees or contractors, as well as human e</w:t>
      </w:r>
      <w:r>
        <w:rPr>
          <w:rFonts w:eastAsia="Times New Roman"/>
          <w:color w:val="000000"/>
          <w:sz w:val="20"/>
          <w:szCs w:val="20"/>
          <w:shd w:val="clear" w:color="auto" w:fill="FFFFFF"/>
        </w:rPr>
        <w:t>rror as in the case of social engineering and phishing campaigns.</w:t>
      </w:r>
      <w:r>
        <w:rPr>
          <w:rFonts w:eastAsia="Times New Roman"/>
          <w:color w:val="000000"/>
          <w:sz w:val="20"/>
          <w:szCs w:val="20"/>
        </w:rPr>
        <w:t xml:space="preserve"> As a result of the COVID-19 pandemic, a number of our employees have transitioned to working remotely; as a result, more of our employees are working from locations where our cyber-security </w:t>
      </w:r>
      <w:r>
        <w:rPr>
          <w:rFonts w:eastAsia="Times New Roman"/>
          <w:color w:val="000000"/>
          <w:sz w:val="20"/>
          <w:szCs w:val="20"/>
        </w:rPr>
        <w:t xml:space="preserve">program may be less effective and information technology security may be less robust. Similarly, our third-party vendors or service providers have been impacted by cyber-security attacks and incidents and are subject to many if not all of the same risks </w:t>
      </w:r>
    </w:p>
    <w:p w:rsidR="00000000" w:rsidRDefault="00DF5BC2">
      <w:pPr>
        <w:jc w:val="center"/>
        <w:divId w:val="543175785"/>
        <w:rPr>
          <w:rFonts w:eastAsia="Times New Roman"/>
        </w:rPr>
      </w:pPr>
      <w:r>
        <w:rPr>
          <w:rFonts w:eastAsia="Times New Roman"/>
          <w:color w:val="000000"/>
          <w:sz w:val="20"/>
          <w:szCs w:val="20"/>
        </w:rPr>
        <w:t>3</w:t>
      </w:r>
      <w:r>
        <w:rPr>
          <w:rFonts w:eastAsia="Times New Roman"/>
          <w:color w:val="000000"/>
          <w:sz w:val="20"/>
          <w:szCs w:val="20"/>
        </w:rPr>
        <w:t>7</w:t>
      </w:r>
    </w:p>
    <w:p w:rsidR="00000000" w:rsidRDefault="00DF5BC2">
      <w:pPr>
        <w:rPr>
          <w:rFonts w:eastAsia="Times New Roman"/>
        </w:rPr>
      </w:pPr>
      <w:r>
        <w:rPr>
          <w:rFonts w:eastAsia="Times New Roman"/>
        </w:rPr>
        <w:pict>
          <v:rect id="_x0000_i1063" style="width:0;height:1.5pt" o:hralign="center" o:hrstd="t" o:hr="t" fillcolor="#a0a0a0" stroked="f"/>
        </w:pict>
      </w:r>
    </w:p>
    <w:p w:rsidR="00000000" w:rsidRDefault="00DF5BC2">
      <w:pPr>
        <w:divId w:val="44064964"/>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and disruptions as described above. A loss of our information technology systems, or temporary interruptions in the operation of our informati</w:t>
      </w:r>
      <w:r>
        <w:rPr>
          <w:rFonts w:eastAsia="Times New Roman"/>
          <w:color w:val="000000"/>
          <w:sz w:val="20"/>
          <w:szCs w:val="20"/>
        </w:rPr>
        <w:t>on technology systems, or those of our third-party vendors or service providers, or any other misappropriation of data, or breaches of security could lead to investigations and fines or penalties, litigation, increased costs for compliance and for remediat</w:t>
      </w:r>
      <w:r>
        <w:rPr>
          <w:rFonts w:eastAsia="Times New Roman"/>
          <w:color w:val="000000"/>
          <w:sz w:val="20"/>
          <w:szCs w:val="20"/>
        </w:rPr>
        <w:t>ion or rebuilding of our systems, and could have a material adverse effect on our business, financial condition, results of operations, and reputation. In addition, a cyber-security attack could provide a cyber-intruder with the ability to control or alter</w:t>
      </w:r>
      <w:r>
        <w:rPr>
          <w:rFonts w:eastAsia="Times New Roman"/>
          <w:color w:val="000000"/>
          <w:sz w:val="20"/>
          <w:szCs w:val="20"/>
        </w:rPr>
        <w:t xml:space="preserve"> our pipeline operations. Such an act could result in critical pipeline failures.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efficient execution of our businesses is dependent upon the proper design, implementation and functioning of its current and future internal systems, such as the information technology systems that support our underlying business processes. Any signifi</w:t>
      </w:r>
      <w:r>
        <w:rPr>
          <w:rFonts w:eastAsia="Times New Roman"/>
          <w:color w:val="000000"/>
          <w:sz w:val="20"/>
          <w:szCs w:val="20"/>
        </w:rPr>
        <w:t>cant failure or malfunction of such information technology systems may result in disruptions of our operations. In addition, the effectiveness of our internal controls could be adversely affected if we encounter unforeseen problems with respect to the oper</w:t>
      </w:r>
      <w:r>
        <w:rPr>
          <w:rFonts w:eastAsia="Times New Roman"/>
          <w:color w:val="000000"/>
          <w:sz w:val="20"/>
          <w:szCs w:val="20"/>
        </w:rPr>
        <w:t xml:space="preserve">ation of our information technology systems.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Moreover, as cyber incidents increase in frequency and magnitude, we may be unable to obtain cyber-security insurance in amounts and on terms we view as adequate for our operations, including the agreement to</w:t>
      </w:r>
      <w:r>
        <w:rPr>
          <w:rFonts w:eastAsia="Times New Roman"/>
          <w:color w:val="000000"/>
          <w:sz w:val="20"/>
          <w:szCs w:val="20"/>
        </w:rPr>
        <w:t xml:space="preserve"> certain indemnification provisions by our insurance providers.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utility transmission and distribution systems, our non-utility midstream assets, and the assets of upstream interstate pipelines and other midstream providers may not operate as planned,</w:t>
      </w:r>
      <w:r>
        <w:rPr>
          <w:rFonts w:eastAsia="Times New Roman"/>
          <w:b/>
          <w:bCs/>
          <w:i/>
          <w:iCs/>
          <w:color w:val="000000"/>
          <w:sz w:val="20"/>
          <w:szCs w:val="20"/>
        </w:rPr>
        <w:t xml:space="preserve"> which may increase our expenses or decrease our revenues and, thus, have an adverse impact on our financial results.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ability to manage operational risk with respect to utility distribution and transmission and non-utility midstream assets, and the a</w:t>
      </w:r>
      <w:r>
        <w:rPr>
          <w:rFonts w:eastAsia="Times New Roman"/>
          <w:color w:val="000000"/>
          <w:sz w:val="20"/>
          <w:szCs w:val="20"/>
        </w:rPr>
        <w:t>vailability of natural gas delivered by interstate natural gas pipelines and midstream gathering assets is critical to our financial results.  We obtain our supply from local Marcellus and Utica Shale sources, as well as other trading points in the U.S.  I</w:t>
      </w:r>
      <w:r>
        <w:rPr>
          <w:rFonts w:eastAsia="Times New Roman"/>
          <w:color w:val="000000"/>
          <w:sz w:val="20"/>
          <w:szCs w:val="20"/>
        </w:rPr>
        <w:t>f we experience physical capacity constraints on one or more of the interstate or intrastate natural gas pipelines that supply our businesses, we may not be able to supply our customers, which could have an adverse impact on our financial results.  Our bus</w:t>
      </w:r>
      <w:r>
        <w:rPr>
          <w:rFonts w:eastAsia="Times New Roman"/>
          <w:color w:val="000000"/>
          <w:sz w:val="20"/>
          <w:szCs w:val="20"/>
        </w:rPr>
        <w:t>inesses also face several risks, including the breakdown or failure of or damage to equipment or processes (especially due to severe weather or natural disasters), accidents and other factors, including as a result of overpressurization of or damage to nat</w:t>
      </w:r>
      <w:r>
        <w:rPr>
          <w:rFonts w:eastAsia="Times New Roman"/>
          <w:color w:val="000000"/>
          <w:sz w:val="20"/>
          <w:szCs w:val="20"/>
        </w:rPr>
        <w:t>ural gas pipelines.  Operation of our transmission and distribution systems or our midstream assets below our expectations may result in lost revenues or increased expenses, including higher maintenance costs, civil litigation and the risk of regulatory pe</w:t>
      </w:r>
      <w:r>
        <w:rPr>
          <w:rFonts w:eastAsia="Times New Roman"/>
          <w:color w:val="000000"/>
          <w:sz w:val="20"/>
          <w:szCs w:val="20"/>
        </w:rPr>
        <w:t>nalties.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Risks Relating to Our International Operations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international operations could be subject to increased risks, which may</w:t>
      </w:r>
      <w:r>
        <w:rPr>
          <w:rFonts w:eastAsia="Times New Roman"/>
          <w:color w:val="000000"/>
          <w:sz w:val="20"/>
          <w:szCs w:val="20"/>
        </w:rPr>
        <w:t xml:space="preserve"> </w:t>
      </w:r>
      <w:r>
        <w:rPr>
          <w:rFonts w:eastAsia="Times New Roman"/>
          <w:b/>
          <w:bCs/>
          <w:i/>
          <w:iCs/>
          <w:color w:val="000000"/>
          <w:sz w:val="20"/>
          <w:szCs w:val="20"/>
        </w:rPr>
        <w:t>negatively affect our business results.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We operate LPG distribution and energy marketing businesses in Europe through </w:t>
      </w:r>
      <w:r>
        <w:rPr>
          <w:rFonts w:eastAsia="Times New Roman"/>
          <w:color w:val="000000"/>
          <w:sz w:val="20"/>
          <w:szCs w:val="20"/>
        </w:rPr>
        <w:t>our subsidiaries and we continue to explore the expansion of our international businesses. As a result, we face risks in conducting business abroad that we do not face domestically. Certain aspects inherent in transacting business internationally could neg</w:t>
      </w:r>
      <w:r>
        <w:rPr>
          <w:rFonts w:eastAsia="Times New Roman"/>
          <w:color w:val="000000"/>
          <w:sz w:val="20"/>
          <w:szCs w:val="20"/>
        </w:rPr>
        <w:t>atively impact our operating results, including:</w:t>
      </w:r>
    </w:p>
    <w:p w:rsidR="00000000" w:rsidRDefault="00DF5BC2">
      <w:pPr>
        <w:ind w:hanging="180"/>
        <w:jc w:val="both"/>
        <w:rPr>
          <w:rFonts w:eastAsia="Times New Roman"/>
        </w:rPr>
      </w:pPr>
    </w:p>
    <w:p w:rsidR="00000000" w:rsidRDefault="00DF5BC2">
      <w:pPr>
        <w:ind w:hanging="180"/>
        <w:jc w:val="both"/>
        <w:rPr>
          <w:rFonts w:eastAsia="Times New Roman"/>
        </w:rPr>
      </w:pPr>
      <w:r>
        <w:rPr>
          <w:rFonts w:eastAsia="Times New Roman"/>
          <w:color w:val="000000"/>
          <w:sz w:val="20"/>
          <w:szCs w:val="20"/>
        </w:rPr>
        <w:t>•costs and difficulties in staffing and managing international operations;</w:t>
      </w:r>
    </w:p>
    <w:p w:rsidR="00000000" w:rsidRDefault="00DF5BC2">
      <w:pPr>
        <w:ind w:hanging="180"/>
        <w:jc w:val="both"/>
        <w:rPr>
          <w:rFonts w:eastAsia="Times New Roman"/>
        </w:rPr>
      </w:pPr>
      <w:r>
        <w:rPr>
          <w:rFonts w:eastAsia="Times New Roman"/>
          <w:color w:val="000000"/>
          <w:sz w:val="20"/>
          <w:szCs w:val="20"/>
        </w:rPr>
        <w:t>•potentially adverse tax consequences, including restrictions on repatriating earnings, the threat of “double taxation,” and poten</w:t>
      </w:r>
      <w:r>
        <w:rPr>
          <w:rFonts w:eastAsia="Times New Roman"/>
          <w:color w:val="000000"/>
          <w:sz w:val="20"/>
          <w:szCs w:val="20"/>
        </w:rPr>
        <w:t>tial increases to corporate income taxes (including the proposed OECD framework that aims to reform international taxation rules with the goal of ensuring that multinational corporations pay adequate taxes in the jurisdictions in which they operate and oth</w:t>
      </w:r>
      <w:r>
        <w:rPr>
          <w:rFonts w:eastAsia="Times New Roman"/>
          <w:color w:val="000000"/>
          <w:sz w:val="20"/>
          <w:szCs w:val="20"/>
        </w:rPr>
        <w:t>er similar proposals);</w:t>
      </w:r>
    </w:p>
    <w:p w:rsidR="00000000" w:rsidRDefault="00DF5BC2">
      <w:pPr>
        <w:ind w:hanging="180"/>
        <w:jc w:val="both"/>
        <w:rPr>
          <w:rFonts w:eastAsia="Times New Roman"/>
        </w:rPr>
      </w:pPr>
      <w:r>
        <w:rPr>
          <w:rFonts w:eastAsia="Times New Roman"/>
          <w:color w:val="000000"/>
          <w:sz w:val="20"/>
          <w:szCs w:val="20"/>
        </w:rPr>
        <w:t>•fluctuations in currency exchange rates, particularly the euro, which can affect demand for our products, increase our costs and adversely affect our profitability and reported results;</w:t>
      </w:r>
    </w:p>
    <w:p w:rsidR="00000000" w:rsidRDefault="00DF5BC2">
      <w:pPr>
        <w:ind w:hanging="180"/>
        <w:jc w:val="both"/>
        <w:rPr>
          <w:rFonts w:eastAsia="Times New Roman"/>
        </w:rPr>
      </w:pPr>
      <w:r>
        <w:rPr>
          <w:rFonts w:eastAsia="Times New Roman"/>
          <w:color w:val="000000"/>
          <w:sz w:val="20"/>
          <w:szCs w:val="20"/>
        </w:rPr>
        <w:t>•new or revised regulatory requirements, inclu</w:t>
      </w:r>
      <w:r>
        <w:rPr>
          <w:rFonts w:eastAsia="Times New Roman"/>
          <w:color w:val="000000"/>
          <w:sz w:val="20"/>
          <w:szCs w:val="20"/>
        </w:rPr>
        <w:t>ding European competition laws that may adversely affect the terms of contracts with customers, including with respect to exclusive supply rights, and stricter regulations applicable to the storage and handling of LPG;</w:t>
      </w:r>
    </w:p>
    <w:p w:rsidR="00000000" w:rsidRDefault="00DF5BC2">
      <w:pPr>
        <w:ind w:hanging="180"/>
        <w:jc w:val="both"/>
        <w:rPr>
          <w:rFonts w:eastAsia="Times New Roman"/>
        </w:rPr>
      </w:pPr>
      <w:r>
        <w:rPr>
          <w:rFonts w:eastAsia="Times New Roman"/>
          <w:color w:val="000000"/>
          <w:sz w:val="20"/>
          <w:szCs w:val="20"/>
        </w:rPr>
        <w:t>•economic and political uncertainty r</w:t>
      </w:r>
      <w:r>
        <w:rPr>
          <w:rFonts w:eastAsia="Times New Roman"/>
          <w:color w:val="000000"/>
          <w:sz w:val="20"/>
          <w:szCs w:val="20"/>
        </w:rPr>
        <w:t>elating to the United Kingdom’s withdrawal from the EU, commonly known as “Brexit,” which may result in, among other things, increased regulatory costs and challenges, greater volatility in the British pound sterling and euro, business disruptions and incr</w:t>
      </w:r>
      <w:r>
        <w:rPr>
          <w:rFonts w:eastAsia="Times New Roman"/>
          <w:color w:val="000000"/>
          <w:sz w:val="20"/>
          <w:szCs w:val="20"/>
        </w:rPr>
        <w:t>eased tariffs;</w:t>
      </w:r>
    </w:p>
    <w:p w:rsidR="00000000" w:rsidRDefault="00DF5BC2">
      <w:pPr>
        <w:ind w:hanging="180"/>
        <w:jc w:val="both"/>
        <w:rPr>
          <w:rFonts w:eastAsia="Times New Roman"/>
        </w:rPr>
      </w:pPr>
      <w:r>
        <w:rPr>
          <w:rFonts w:eastAsia="Times New Roman"/>
          <w:color w:val="000000"/>
          <w:sz w:val="20"/>
          <w:szCs w:val="20"/>
        </w:rPr>
        <w:t>•new and inconsistently enforced industry regulatory requirements, which can have an adverse effect on our competitive position;</w:t>
      </w:r>
    </w:p>
    <w:p w:rsidR="00000000" w:rsidRDefault="00DF5BC2">
      <w:pPr>
        <w:ind w:hanging="180"/>
        <w:jc w:val="both"/>
        <w:rPr>
          <w:rFonts w:eastAsia="Times New Roman"/>
        </w:rPr>
      </w:pPr>
      <w:r>
        <w:rPr>
          <w:rFonts w:eastAsia="Times New Roman"/>
          <w:color w:val="000000"/>
          <w:sz w:val="20"/>
          <w:szCs w:val="20"/>
        </w:rPr>
        <w:t>•tariffs and other trade barriers;</w:t>
      </w:r>
    </w:p>
    <w:p w:rsidR="00000000" w:rsidRDefault="00DF5BC2">
      <w:pPr>
        <w:ind w:hanging="180"/>
        <w:jc w:val="both"/>
        <w:rPr>
          <w:rFonts w:eastAsia="Times New Roman"/>
        </w:rPr>
      </w:pPr>
      <w:r>
        <w:rPr>
          <w:rFonts w:eastAsia="Times New Roman"/>
          <w:color w:val="000000"/>
          <w:sz w:val="20"/>
          <w:szCs w:val="20"/>
        </w:rPr>
        <w:t>•</w:t>
      </w:r>
      <w:r>
        <w:rPr>
          <w:rFonts w:eastAsia="Times New Roman"/>
          <w:color w:val="000000"/>
          <w:sz w:val="20"/>
          <w:szCs w:val="20"/>
        </w:rPr>
        <w:t>difficulties in enforcing contractual rights;</w:t>
      </w:r>
    </w:p>
    <w:p w:rsidR="00000000" w:rsidRDefault="00DF5BC2">
      <w:pPr>
        <w:ind w:hanging="180"/>
        <w:jc w:val="both"/>
        <w:rPr>
          <w:rFonts w:eastAsia="Times New Roman"/>
        </w:rPr>
      </w:pPr>
      <w:r>
        <w:rPr>
          <w:rFonts w:eastAsia="Times New Roman"/>
          <w:color w:val="000000"/>
          <w:sz w:val="20"/>
          <w:szCs w:val="20"/>
        </w:rPr>
        <w:t>•longer payment cycles;</w:t>
      </w:r>
    </w:p>
    <w:p w:rsidR="00000000" w:rsidRDefault="00DF5BC2">
      <w:pPr>
        <w:jc w:val="center"/>
        <w:divId w:val="2146193015"/>
        <w:rPr>
          <w:rFonts w:eastAsia="Times New Roman"/>
        </w:rPr>
      </w:pPr>
      <w:r>
        <w:rPr>
          <w:rFonts w:eastAsia="Times New Roman"/>
          <w:color w:val="000000"/>
          <w:sz w:val="20"/>
          <w:szCs w:val="20"/>
        </w:rPr>
        <w:t>38</w:t>
      </w:r>
    </w:p>
    <w:p w:rsidR="00000000" w:rsidRDefault="00DF5BC2">
      <w:pPr>
        <w:rPr>
          <w:rFonts w:eastAsia="Times New Roman"/>
        </w:rPr>
      </w:pPr>
      <w:r>
        <w:rPr>
          <w:rFonts w:eastAsia="Times New Roman"/>
        </w:rPr>
        <w:pict>
          <v:rect id="_x0000_i1064" style="width:0;height:1.5pt" o:hralign="center" o:hrstd="t" o:hr="t" fillcolor="#a0a0a0" stroked="f"/>
        </w:pict>
      </w:r>
    </w:p>
    <w:p w:rsidR="00000000" w:rsidRDefault="00DF5BC2">
      <w:pPr>
        <w:divId w:val="1961372810"/>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ind w:hanging="180"/>
        <w:jc w:val="both"/>
        <w:rPr>
          <w:rFonts w:eastAsia="Times New Roman"/>
        </w:rPr>
      </w:pPr>
      <w:r>
        <w:rPr>
          <w:rFonts w:eastAsia="Times New Roman"/>
          <w:color w:val="000000"/>
          <w:sz w:val="20"/>
          <w:szCs w:val="20"/>
        </w:rPr>
        <w:t>•local political and economic conditions; and</w:t>
      </w:r>
    </w:p>
    <w:p w:rsidR="00000000" w:rsidRDefault="00DF5BC2">
      <w:pPr>
        <w:ind w:hanging="180"/>
        <w:jc w:val="both"/>
        <w:rPr>
          <w:rFonts w:eastAsia="Times New Roman"/>
        </w:rPr>
      </w:pPr>
      <w:r>
        <w:rPr>
          <w:rFonts w:eastAsia="Times New Roman"/>
          <w:color w:val="000000"/>
          <w:sz w:val="20"/>
          <w:szCs w:val="20"/>
        </w:rPr>
        <w:t>•</w:t>
      </w:r>
      <w:r>
        <w:rPr>
          <w:rFonts w:eastAsia="Times New Roman"/>
          <w:color w:val="000000"/>
          <w:sz w:val="20"/>
          <w:szCs w:val="20"/>
        </w:rPr>
        <w:t>potential violations of federal regulatory requirements, including anti-bribery, anti-corruption, and anti-money laundering law, economic sanctions, the Foreign Corrupt Practices Act of 1977, as amended, and EU regulatory requirements, including the GDPR a</w:t>
      </w:r>
      <w:r>
        <w:rPr>
          <w:rFonts w:eastAsia="Times New Roman"/>
          <w:color w:val="000000"/>
          <w:sz w:val="20"/>
          <w:szCs w:val="20"/>
        </w:rPr>
        <w:t xml:space="preserve">nd Sapin II.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particular, certain legal and regulatory risks are associated with international business operations. We are subject to various anti-corruption, economic sanctions and trade compliance laws, rules and regulations. For example, the U.S. g</w:t>
      </w:r>
      <w:r>
        <w:rPr>
          <w:rFonts w:eastAsia="Times New Roman"/>
          <w:color w:val="000000"/>
          <w:sz w:val="20"/>
          <w:szCs w:val="20"/>
        </w:rPr>
        <w:t xml:space="preserve">overnment imposes restrictions and prohibitions on transactions in certain foreign countries, including restrictions directed at oil and gas activities in Russia. U.S. laws also prohibit the improper offer, payment, promise to pay, or authorization of the </w:t>
      </w:r>
      <w:r>
        <w:rPr>
          <w:rFonts w:eastAsia="Times New Roman"/>
          <w:color w:val="000000"/>
          <w:sz w:val="20"/>
          <w:szCs w:val="20"/>
        </w:rPr>
        <w:t xml:space="preserve">payment of money or anything of value to any foreign official or political party, or to any person, knowing that all or a portion of it will be used to influence a foreign official in his or her official duties or to secure an improper advantage. Ensuring </w:t>
      </w:r>
      <w:r>
        <w:rPr>
          <w:rFonts w:eastAsia="Times New Roman"/>
          <w:color w:val="000000"/>
          <w:sz w:val="20"/>
          <w:szCs w:val="20"/>
        </w:rPr>
        <w:t>compliance with all relevant laws, rules and regulations is a complex task. Violation of one or more of these laws, rules or regulations could lead to loss of import or export privileges, civil or criminal penalties for us or our employees, or potential re</w:t>
      </w:r>
      <w:r>
        <w:rPr>
          <w:rFonts w:eastAsia="Times New Roman"/>
          <w:color w:val="000000"/>
          <w:sz w:val="20"/>
          <w:szCs w:val="20"/>
        </w:rPr>
        <w:t xml:space="preserve">putational harm, which could have a material adverse impact on earnings, cash flows and financial condition.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Risks Relating to Our Supply Chain and Our Ability to Obtain Adequate Quantities of LPG</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We are dependent on our principal LPG suppliers, which</w:t>
      </w:r>
      <w:r>
        <w:rPr>
          <w:rFonts w:eastAsia="Times New Roman"/>
          <w:b/>
          <w:bCs/>
          <w:i/>
          <w:iCs/>
          <w:color w:val="000000"/>
          <w:sz w:val="20"/>
          <w:szCs w:val="20"/>
        </w:rPr>
        <w:t xml:space="preserve"> increases the</w:t>
      </w:r>
      <w:r>
        <w:rPr>
          <w:rFonts w:eastAsia="Times New Roman"/>
          <w:color w:val="000000"/>
          <w:sz w:val="20"/>
          <w:szCs w:val="20"/>
        </w:rPr>
        <w:t xml:space="preserve"> </w:t>
      </w:r>
      <w:r>
        <w:rPr>
          <w:rFonts w:eastAsia="Times New Roman"/>
          <w:b/>
          <w:bCs/>
          <w:i/>
          <w:iCs/>
          <w:color w:val="000000"/>
          <w:sz w:val="20"/>
          <w:szCs w:val="20"/>
        </w:rPr>
        <w:t>risks from an interruption in supply and transportation.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During Fiscal 2021, AmeriGas Propane purchased approximately 83% of its propane needs from 20 suppliers. If supplies from these sources were interrupted, the cost of procuring replac</w:t>
      </w:r>
      <w:r>
        <w:rPr>
          <w:rFonts w:eastAsia="Times New Roman"/>
          <w:color w:val="000000"/>
          <w:sz w:val="20"/>
          <w:szCs w:val="20"/>
        </w:rPr>
        <w:t>ement supplies and transporting those supplies from alternative locations might be materially higher and, at least on a short-term basis, our earnings could be affected. Additionally, in certain geographic areas, a single supplier may provide more than 50%</w:t>
      </w:r>
      <w:r>
        <w:rPr>
          <w:rFonts w:eastAsia="Times New Roman"/>
          <w:color w:val="000000"/>
          <w:sz w:val="20"/>
          <w:szCs w:val="20"/>
        </w:rPr>
        <w:t xml:space="preserve"> of AmeriGas Propane’s propane requirements. Disruptions in supply in these geographic areas could also have an adverse impact on our earnings. Our international businesses are similarly dependent upon their LPG suppliers. For example, during Fiscal 2021, </w:t>
      </w:r>
      <w:r>
        <w:rPr>
          <w:rFonts w:eastAsia="Times New Roman"/>
          <w:color w:val="000000"/>
          <w:sz w:val="20"/>
          <w:szCs w:val="20"/>
        </w:rPr>
        <w:t>UGI International’s business in the United Kingdom purchased approximately 87% of its LPG needs from two suppliers and, in Italy, approximately 52% of its supply was sourced from a single supplier. If supplies from UGI International’s principal LPG sources</w:t>
      </w:r>
      <w:r>
        <w:rPr>
          <w:rFonts w:eastAsia="Times New Roman"/>
          <w:color w:val="000000"/>
          <w:sz w:val="20"/>
          <w:szCs w:val="20"/>
        </w:rPr>
        <w:t xml:space="preserve"> are interrupted, the cost of procuring replacement supplies and transporting those supplies from alternative locations might be materially higher and our earnings could be adversely affected. There is no assurance that our international businesses will be</w:t>
      </w:r>
      <w:r>
        <w:rPr>
          <w:rFonts w:eastAsia="Times New Roman"/>
          <w:color w:val="000000"/>
          <w:sz w:val="20"/>
          <w:szCs w:val="20"/>
        </w:rPr>
        <w:t xml:space="preserve"> able to continue to acquire sufficient supplies of LPG to meet demand at prices or within time periods that would allow them to remain competitive.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ability to obtain sufficient quantities of LPG is dependent on transportation facilities and provide</w:t>
      </w:r>
      <w:r>
        <w:rPr>
          <w:rFonts w:eastAsia="Times New Roman"/>
          <w:b/>
          <w:bCs/>
          <w:i/>
          <w:iCs/>
          <w:color w:val="000000"/>
          <w:sz w:val="20"/>
          <w:szCs w:val="20"/>
        </w:rPr>
        <w:t>rs.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Spikes in demand caused by weather or other factors can limit our access to port terminals and other transportation and storage facilities, disrupt transportation and limit our ability to obtain sufficient quantities of LPG. A significant increase in</w:t>
      </w:r>
      <w:r>
        <w:rPr>
          <w:rFonts w:eastAsia="Times New Roman"/>
          <w:color w:val="000000"/>
          <w:sz w:val="20"/>
          <w:szCs w:val="20"/>
        </w:rPr>
        <w:t xml:space="preserve"> port and similar fees and fuel prices may also adversely affect our transportation costs and business. Transportation providers (rail and truck) in some circumstances have limited ability to provide additional resources in times of peak demand. Moreover, </w:t>
      </w:r>
      <w:r>
        <w:rPr>
          <w:rFonts w:eastAsia="Times New Roman"/>
          <w:color w:val="000000"/>
          <w:sz w:val="20"/>
          <w:szCs w:val="20"/>
        </w:rPr>
        <w:t>the ability of our transportation providers to maintain a staff of qualified truck drivers is critical to the success of our business. Regulatory requirements and an improvement in the economy could reduce the number of eligible drivers or require us to pa</w:t>
      </w:r>
      <w:r>
        <w:rPr>
          <w:rFonts w:eastAsia="Times New Roman"/>
          <w:color w:val="000000"/>
          <w:sz w:val="20"/>
          <w:szCs w:val="20"/>
        </w:rPr>
        <w:t>y higher transportation fees as our transportation providers seek to pass on additional labor costs associated with attracting and retaining drivers.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profitability is subject to LPG pricing and inventory risk.</w:t>
      </w:r>
      <w:r>
        <w:rPr>
          <w:rFonts w:eastAsia="Times New Roman"/>
          <w:color w:val="000000"/>
          <w:sz w:val="20"/>
          <w:szCs w:val="20"/>
        </w:rPr>
        <w:t xml:space="preserv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retail LPG business is a “margin-</w:t>
      </w:r>
      <w:r>
        <w:rPr>
          <w:rFonts w:eastAsia="Times New Roman"/>
          <w:color w:val="000000"/>
          <w:sz w:val="20"/>
          <w:szCs w:val="20"/>
        </w:rPr>
        <w:t xml:space="preserve">based” business in which gross profits are dependent upon the excess of the sales price over LPG supply costs. LPG is a commodity, and, as such, its unit price is subject to fluctuations in response to changes in supply or other market conditions. We have </w:t>
      </w:r>
      <w:r>
        <w:rPr>
          <w:rFonts w:eastAsia="Times New Roman"/>
          <w:color w:val="000000"/>
          <w:sz w:val="20"/>
          <w:szCs w:val="20"/>
        </w:rPr>
        <w:t>no control over supplies, commodity prices or market conditions. Consequently, the unit price of the LPG that our subsidiaries and other distributors and marketers purchase can change rapidly over a short period of time. Most of our domestic LPG product su</w:t>
      </w:r>
      <w:r>
        <w:rPr>
          <w:rFonts w:eastAsia="Times New Roman"/>
          <w:color w:val="000000"/>
          <w:sz w:val="20"/>
          <w:szCs w:val="20"/>
        </w:rPr>
        <w:t>pply contracts permit suppliers to charge posted prices at the time of delivery or the current prices established at major U.S. storage points such as Mont Belvieu, Texas or Conway, Kansas. Most of our international LPG supply contracts are based on intern</w:t>
      </w:r>
      <w:r>
        <w:rPr>
          <w:rFonts w:eastAsia="Times New Roman"/>
          <w:color w:val="000000"/>
          <w:sz w:val="20"/>
          <w:szCs w:val="20"/>
        </w:rPr>
        <w:t>ationally quoted market prices. We also purchase a portion of our supplies in the spot market. Because our subsidiaries’ profitability is sensitive to changes in wholesale LPG supply costs, it will be adversely affected if we cannot pass on increases in th</w:t>
      </w:r>
      <w:r>
        <w:rPr>
          <w:rFonts w:eastAsia="Times New Roman"/>
          <w:color w:val="000000"/>
          <w:sz w:val="20"/>
          <w:szCs w:val="20"/>
        </w:rPr>
        <w:t>e cost of LPG to our customers, or if there is a delay in passing on such cost increases. Due to competitive pricing in the industry, our subsidiaries may not fully be able to pass on product cost increases to our customers when product costs rise, or when</w:t>
      </w:r>
      <w:r>
        <w:rPr>
          <w:rFonts w:eastAsia="Times New Roman"/>
          <w:color w:val="000000"/>
          <w:sz w:val="20"/>
          <w:szCs w:val="20"/>
        </w:rPr>
        <w:t xml:space="preserve"> our competitors do not raise their product prices in a timely manner. Finally, market volatility may cause our subsidiaries to sell LPG at less than the price at which they purchased it, </w:t>
      </w:r>
    </w:p>
    <w:p w:rsidR="00000000" w:rsidRDefault="00DF5BC2">
      <w:pPr>
        <w:jc w:val="center"/>
        <w:divId w:val="183835981"/>
        <w:rPr>
          <w:rFonts w:eastAsia="Times New Roman"/>
        </w:rPr>
      </w:pPr>
      <w:r>
        <w:rPr>
          <w:rFonts w:eastAsia="Times New Roman"/>
          <w:color w:val="000000"/>
          <w:sz w:val="20"/>
          <w:szCs w:val="20"/>
        </w:rPr>
        <w:t>39</w:t>
      </w:r>
    </w:p>
    <w:p w:rsidR="00000000" w:rsidRDefault="00DF5BC2">
      <w:pPr>
        <w:rPr>
          <w:rFonts w:eastAsia="Times New Roman"/>
        </w:rPr>
      </w:pPr>
      <w:r>
        <w:rPr>
          <w:rFonts w:eastAsia="Times New Roman"/>
        </w:rPr>
        <w:pict>
          <v:rect id="_x0000_i1065" style="width:0;height:1.5pt" o:hralign="center" o:hrstd="t" o:hr="t" fillcolor="#a0a0a0" stroked="f"/>
        </w:pict>
      </w:r>
    </w:p>
    <w:p w:rsidR="00000000" w:rsidRDefault="00DF5BC2">
      <w:pPr>
        <w:divId w:val="1499809981"/>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which would adversely affect our operating results.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offer our customers various fixed-price LPG programs, and a significant number of our customers utilize our fixed-price programs. In order to manage th</w:t>
      </w:r>
      <w:r>
        <w:rPr>
          <w:rFonts w:eastAsia="Times New Roman"/>
          <w:color w:val="000000"/>
          <w:sz w:val="20"/>
          <w:szCs w:val="20"/>
        </w:rPr>
        <w:t>e price risk from offering these services, we utilize our physical inventory position, supplemented by forward commodity transactions with various third parties having terms and volumes substantially the same as our customer’s contracts, but there can be n</w:t>
      </w:r>
      <w:r>
        <w:rPr>
          <w:rFonts w:eastAsia="Times New Roman"/>
          <w:color w:val="000000"/>
          <w:sz w:val="20"/>
          <w:szCs w:val="20"/>
        </w:rPr>
        <w:t>o assurance that such measures will be effective. In periods of high LPG price volatility, the fixed-price programs create exposure to over or under-supply positions as the demand from customers may significantly exceed or fall short of supply procured. In</w:t>
      </w:r>
      <w:r>
        <w:rPr>
          <w:rFonts w:eastAsia="Times New Roman"/>
          <w:color w:val="000000"/>
          <w:sz w:val="20"/>
          <w:szCs w:val="20"/>
        </w:rPr>
        <w:t xml:space="preserve"> addition, if LPG prices decline significantly subsequent to customers signing up for a fixed-price program, there is a risk that customers will default on their commitments, adversely affecting our results of operations.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Changes in commodity market pri</w:t>
      </w:r>
      <w:r>
        <w:rPr>
          <w:rFonts w:eastAsia="Times New Roman"/>
          <w:b/>
          <w:bCs/>
          <w:i/>
          <w:iCs/>
          <w:color w:val="000000"/>
          <w:sz w:val="20"/>
          <w:szCs w:val="20"/>
        </w:rPr>
        <w:t>ces may have a significant negative effect on our</w:t>
      </w:r>
      <w:r>
        <w:rPr>
          <w:rFonts w:eastAsia="Times New Roman"/>
          <w:color w:val="000000"/>
          <w:sz w:val="20"/>
          <w:szCs w:val="20"/>
        </w:rPr>
        <w:t xml:space="preserve"> </w:t>
      </w:r>
      <w:r>
        <w:rPr>
          <w:rFonts w:eastAsia="Times New Roman"/>
          <w:b/>
          <w:bCs/>
          <w:i/>
          <w:iCs/>
          <w:color w:val="000000"/>
          <w:sz w:val="20"/>
          <w:szCs w:val="20"/>
        </w:rPr>
        <w:t>liquidity.</w:t>
      </w:r>
    </w:p>
    <w:p w:rsidR="00000000" w:rsidRDefault="00DF5BC2">
      <w:pPr>
        <w:jc w:val="both"/>
        <w:divId w:val="1875842329"/>
        <w:rPr>
          <w:rFonts w:eastAsia="Times New Roman"/>
        </w:rPr>
      </w:pPr>
      <w:r>
        <w:rPr>
          <w:rFonts w:eastAsia="Times New Roman"/>
          <w:color w:val="000000"/>
          <w:sz w:val="20"/>
          <w:szCs w:val="20"/>
        </w:rPr>
        <w:t xml:space="preserve">Depending on the terms of our contracts with suppliers as well as our use of financial instruments to reduce volatility in the cost of LPG and natural gas, changes in the market price of LPG and </w:t>
      </w:r>
      <w:r>
        <w:rPr>
          <w:rFonts w:eastAsia="Times New Roman"/>
          <w:color w:val="000000"/>
          <w:sz w:val="20"/>
          <w:szCs w:val="20"/>
        </w:rPr>
        <w:t>natural gas can create margin payment obligations for us and expose us to increased liquidity risk. In addition, increased demand for domestically produced LPG and natural gas overseas may, depending on production volumes in the U.S., result in higher dome</w:t>
      </w:r>
      <w:r>
        <w:rPr>
          <w:rFonts w:eastAsia="Times New Roman"/>
          <w:color w:val="000000"/>
          <w:sz w:val="20"/>
          <w:szCs w:val="20"/>
        </w:rPr>
        <w:t>stic prices and expose us to additional liquidity risks.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Supplier and derivative counterparty defaults may have a negative effect on our operating results.</w:t>
      </w:r>
      <w:r>
        <w:rPr>
          <w:rFonts w:eastAsia="Times New Roman"/>
          <w:color w:val="000000"/>
          <w:sz w:val="20"/>
          <w:szCs w:val="20"/>
        </w:rPr>
        <w:t xml:space="preserv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When we enter into fixed-price sales contracts with customers, we typically enter into fixed-price purchase contracts with suppliers. Depending on changes in the market prices of products compared to the prices secured in our contracts with suppliers of LP</w:t>
      </w:r>
      <w:r>
        <w:rPr>
          <w:rFonts w:eastAsia="Times New Roman"/>
          <w:color w:val="000000"/>
          <w:sz w:val="20"/>
          <w:szCs w:val="20"/>
        </w:rPr>
        <w:t>G, natural gas and electricity, a default of or force majeure by one or more of our suppliers under such contracts could cause us to purchase those commodities at higher prices from alternate suppliers, which would have a negative impact on our operating r</w:t>
      </w:r>
      <w:r>
        <w:rPr>
          <w:rFonts w:eastAsia="Times New Roman"/>
          <w:color w:val="000000"/>
          <w:sz w:val="20"/>
          <w:szCs w:val="20"/>
        </w:rPr>
        <w:t>esults.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Additionally, we economically hedge the market risk associated with a substantial portion of our supply purchases using certain derivative instruments. Such changes in market prices of the aforementioned commodities could result in material expos</w:t>
      </w:r>
      <w:r>
        <w:rPr>
          <w:rFonts w:eastAsia="Times New Roman"/>
          <w:color w:val="000000"/>
          <w:sz w:val="20"/>
          <w:szCs w:val="20"/>
        </w:rPr>
        <w:t>ures or significant concentrations of balances with derivative counterparties. If certain counterparties were unable to meet the obligations set forth in these derivative contracts and we were unable to fully mitigate this exposure via collateral deposit r</w:t>
      </w:r>
      <w:r>
        <w:rPr>
          <w:rFonts w:eastAsia="Times New Roman"/>
          <w:color w:val="000000"/>
          <w:sz w:val="20"/>
          <w:szCs w:val="20"/>
        </w:rPr>
        <w:t>equirements and master netting arrangements, such outcomes could also result in a negative effect on our operating results.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business is dependent on the global supply chain to ensure that equipment, materials and other resources are available to both</w:t>
      </w:r>
      <w:r>
        <w:rPr>
          <w:rFonts w:eastAsia="Times New Roman"/>
          <w:b/>
          <w:bCs/>
          <w:i/>
          <w:iCs/>
          <w:color w:val="000000"/>
          <w:sz w:val="20"/>
          <w:szCs w:val="20"/>
        </w:rPr>
        <w:t xml:space="preserve"> expand and maintain services in a safe and reliable manner. Moreover, prices of equipment, materials and other resources have increased recently and may continue to increase in the future. Failure to secure equipment, materials and other resources on econ</w:t>
      </w:r>
      <w:r>
        <w:rPr>
          <w:rFonts w:eastAsia="Times New Roman"/>
          <w:b/>
          <w:bCs/>
          <w:i/>
          <w:iCs/>
          <w:color w:val="000000"/>
          <w:sz w:val="20"/>
          <w:szCs w:val="20"/>
        </w:rPr>
        <w:t>omically acceptable terms may adversely impact our financial condition and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Current domestic and global supply chain issues are delaying the delivery, and in some cases resulting in shortages of, materials, equipment and other resou</w:t>
      </w:r>
      <w:r>
        <w:rPr>
          <w:rFonts w:eastAsia="Times New Roman"/>
          <w:color w:val="000000"/>
          <w:sz w:val="20"/>
          <w:szCs w:val="20"/>
        </w:rPr>
        <w:t>rces that are critical to our business operations. Failure to eliminate or manage the constraints in the supply chain may eventually impact the availability of items that are necessary to support normal operations as well as materials that are required for</w:t>
      </w:r>
      <w:r>
        <w:rPr>
          <w:rFonts w:eastAsia="Times New Roman"/>
          <w:color w:val="000000"/>
          <w:sz w:val="20"/>
          <w:szCs w:val="20"/>
        </w:rPr>
        <w:t xml:space="preserve"> continued infrastructure growth, including the replacement of end-of-life assets.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Moreover, inflation has recently become an area of increasing economic concern, both domestically and internationally. Changes in the costs of providing our energy produc</w:t>
      </w:r>
      <w:r>
        <w:rPr>
          <w:rFonts w:eastAsia="Times New Roman"/>
          <w:color w:val="000000"/>
          <w:sz w:val="20"/>
          <w:szCs w:val="20"/>
        </w:rPr>
        <w:t>ts and services, including price increases in equipment and materials as well as increases in labor costs, may negatively impact our financial condition and results of operations and/or result in corresponding price increases for the energy products and se</w:t>
      </w:r>
      <w:r>
        <w:rPr>
          <w:rFonts w:eastAsia="Times New Roman"/>
          <w:color w:val="000000"/>
          <w:sz w:val="20"/>
          <w:szCs w:val="20"/>
        </w:rPr>
        <w:t>rvices we offer our customers.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Risks Relating to Government Regulation and Oversight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Regulators may not approve the rates we request and existing rates may be challenged, which may adversely affect our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our UGI Utilities segm</w:t>
      </w:r>
      <w:r>
        <w:rPr>
          <w:rFonts w:eastAsia="Times New Roman"/>
          <w:color w:val="000000"/>
          <w:sz w:val="20"/>
          <w:szCs w:val="20"/>
        </w:rPr>
        <w:t>ent (comprised of UGI Utilities, Inc. and Mountaineer Gas Company), our distribution operations are subject to regulation by the PAPUC, WVPSC and MDPSC, depending on the state in which the operations are located. These regulatory bodies, among other things</w:t>
      </w:r>
      <w:r>
        <w:rPr>
          <w:rFonts w:eastAsia="Times New Roman"/>
          <w:color w:val="000000"/>
          <w:sz w:val="20"/>
          <w:szCs w:val="20"/>
        </w:rPr>
        <w:t>, approve the rates that UGI Utilities may charge utility customers, thus impacting the returns that UGI Utilities may earn on the assets that are dedicated to its operations. We expect that UGI Utilities will periodically file requests with these regulato</w:t>
      </w:r>
      <w:r>
        <w:rPr>
          <w:rFonts w:eastAsia="Times New Roman"/>
          <w:color w:val="000000"/>
          <w:sz w:val="20"/>
          <w:szCs w:val="20"/>
        </w:rPr>
        <w:t>ry bodies to increase base rates charged to customers in the respective states in which UGI Utilities operates. If UGI Utilities is required in a rate proceeding to reduce the rates it charges its utility customers, or is unable to obtain approval for time</w:t>
      </w:r>
      <w:r>
        <w:rPr>
          <w:rFonts w:eastAsia="Times New Roman"/>
          <w:color w:val="000000"/>
          <w:sz w:val="20"/>
          <w:szCs w:val="20"/>
        </w:rPr>
        <w:t xml:space="preserve">ly rate increases from the appropriate regulatory body, particularly when necessary to cover increased costs, UGI Utilities’ revenue growth will be limited and earnings may decrease. </w:t>
      </w:r>
    </w:p>
    <w:p w:rsidR="00000000" w:rsidRDefault="00DF5BC2">
      <w:pPr>
        <w:jc w:val="center"/>
        <w:divId w:val="2146502557"/>
        <w:rPr>
          <w:rFonts w:eastAsia="Times New Roman"/>
        </w:rPr>
      </w:pPr>
      <w:r>
        <w:rPr>
          <w:rFonts w:eastAsia="Times New Roman"/>
          <w:color w:val="000000"/>
          <w:sz w:val="20"/>
          <w:szCs w:val="20"/>
        </w:rPr>
        <w:t>40</w:t>
      </w:r>
    </w:p>
    <w:p w:rsidR="00000000" w:rsidRDefault="00DF5BC2">
      <w:pPr>
        <w:rPr>
          <w:rFonts w:eastAsia="Times New Roman"/>
        </w:rPr>
      </w:pPr>
      <w:r>
        <w:rPr>
          <w:rFonts w:eastAsia="Times New Roman"/>
        </w:rPr>
        <w:pict>
          <v:rect id="_x0000_i1066" style="width:0;height:1.5pt" o:hralign="center" o:hrstd="t" o:hr="t" fillcolor="#a0a0a0" stroked="f"/>
        </w:pict>
      </w:r>
    </w:p>
    <w:p w:rsidR="00000000" w:rsidRDefault="00DF5BC2">
      <w:pPr>
        <w:divId w:val="6037677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The enactment of proposed or future tax legislation, including the reversal of recently enacted tax legislation that is beneficial to us, may adversely impact our financial condition and results of operations.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shd w:val="clear" w:color="auto" w:fill="FFFFFF"/>
        </w:rPr>
        <w:t>On March 27, 2020, the U.S. enacted the CARES Act.</w:t>
      </w:r>
      <w:r>
        <w:rPr>
          <w:rFonts w:eastAsia="Times New Roman"/>
          <w:color w:val="000000"/>
          <w:sz w:val="20"/>
          <w:szCs w:val="20"/>
        </w:rPr>
        <w:t xml:space="preserve"> </w:t>
      </w:r>
      <w:r>
        <w:rPr>
          <w:rFonts w:eastAsia="Times New Roman"/>
          <w:color w:val="000000"/>
          <w:sz w:val="20"/>
          <w:szCs w:val="20"/>
          <w:shd w:val="clear" w:color="auto" w:fill="FFFFFF"/>
        </w:rPr>
        <w:t>Our financial statements for Fiscal 2021 reflect the realized benefits of the CARES Act.</w:t>
      </w:r>
      <w:r>
        <w:rPr>
          <w:rFonts w:eastAsia="Times New Roman"/>
          <w:color w:val="000000"/>
          <w:sz w:val="20"/>
          <w:szCs w:val="20"/>
        </w:rPr>
        <w:t xml:space="preserve"> See “Management’s Discussion and Analysis of Financial Condition and Results of Operations.”</w:t>
      </w:r>
      <w:r>
        <w:rPr>
          <w:rFonts w:eastAsia="Times New Roman"/>
          <w:color w:val="000000"/>
          <w:sz w:val="20"/>
          <w:szCs w:val="20"/>
          <w:shd w:val="clear" w:color="auto" w:fill="FFFFFF"/>
        </w:rPr>
        <w:t xml:space="preserve"> Application of the C</w:t>
      </w:r>
      <w:r>
        <w:rPr>
          <w:rFonts w:eastAsia="Times New Roman"/>
          <w:color w:val="000000"/>
          <w:sz w:val="20"/>
          <w:szCs w:val="20"/>
          <w:shd w:val="clear" w:color="auto" w:fill="FFFFFF"/>
        </w:rPr>
        <w:t>ARES Act requires significant judgments to be made in the interpretation of the law and significant estimates in the calculation of the provision for income taxes.</w:t>
      </w:r>
      <w:r>
        <w:rPr>
          <w:rFonts w:eastAsia="Times New Roman"/>
          <w:color w:val="000000"/>
          <w:sz w:val="20"/>
          <w:szCs w:val="20"/>
        </w:rPr>
        <w:t xml:space="preserve"> </w:t>
      </w:r>
      <w:r>
        <w:rPr>
          <w:rFonts w:eastAsia="Times New Roman"/>
          <w:color w:val="000000"/>
          <w:sz w:val="20"/>
          <w:szCs w:val="20"/>
          <w:shd w:val="clear" w:color="auto" w:fill="FFFFFF"/>
        </w:rPr>
        <w:t>If our interpretation of the CARES Act differs significantly from the interpretation of gove</w:t>
      </w:r>
      <w:r>
        <w:rPr>
          <w:rFonts w:eastAsia="Times New Roman"/>
          <w:color w:val="000000"/>
          <w:sz w:val="20"/>
          <w:szCs w:val="20"/>
          <w:shd w:val="clear" w:color="auto" w:fill="FFFFFF"/>
        </w:rPr>
        <w:t>rning bodies, or if future administrations choose to repeal or replace the provisions of the CARES Act, our financial condition and results of operations may be adversely impacted.</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Additionally, the enactment of future tax legislation (such as the propos</w:t>
      </w:r>
      <w:r>
        <w:rPr>
          <w:rFonts w:eastAsia="Times New Roman"/>
          <w:color w:val="000000"/>
          <w:sz w:val="20"/>
          <w:szCs w:val="20"/>
        </w:rPr>
        <w:t>ed OECD framework that aims to reform international taxation rules with the goal of ensuring that multinational corporations pay adequate taxes in the jurisdictions in which they operate and other similar proposals) could have a material impact on our fina</w:t>
      </w:r>
      <w:r>
        <w:rPr>
          <w:rFonts w:eastAsia="Times New Roman"/>
          <w:color w:val="000000"/>
          <w:sz w:val="20"/>
          <w:szCs w:val="20"/>
        </w:rPr>
        <w:t xml:space="preserve">ncial condition and results of operations, including our worldwide income tax provision and accruals reflected in our financial statements. </w:t>
      </w:r>
      <w:r>
        <w:rPr>
          <w:rFonts w:eastAsia="Times New Roman"/>
          <w:color w:val="000000"/>
          <w:sz w:val="20"/>
          <w:szCs w:val="20"/>
          <w:shd w:val="clear" w:color="auto" w:fill="FFFFFF"/>
        </w:rPr>
        <w:t xml:space="preserve">We are also monitoring several tax proposals set forth by the </w:t>
      </w:r>
      <w:r>
        <w:rPr>
          <w:rFonts w:eastAsia="Times New Roman"/>
          <w:color w:val="000000"/>
          <w:sz w:val="20"/>
          <w:szCs w:val="20"/>
        </w:rPr>
        <w:t>Biden Administration, Senate Finance Committee Chairma</w:t>
      </w:r>
      <w:r>
        <w:rPr>
          <w:rFonts w:eastAsia="Times New Roman"/>
          <w:color w:val="000000"/>
          <w:sz w:val="20"/>
          <w:szCs w:val="20"/>
        </w:rPr>
        <w:t>n Ron Wyden, and the Ways and Means Committee of the U.S. House of Representatives. If enacted into law, these proposals would result in significant changes to U.S. tax laws, including, but not limited to, corporate tax rate increases, corporate minimum ta</w:t>
      </w:r>
      <w:r>
        <w:rPr>
          <w:rFonts w:eastAsia="Times New Roman"/>
          <w:color w:val="000000"/>
          <w:sz w:val="20"/>
          <w:szCs w:val="20"/>
        </w:rPr>
        <w:t>x rates, interest expense deduction limitations, and changes to foreign income taxation. We will continue to evaluate the overall impact of current, future, and proposed regulations and interpretive guidance from tax authorities on our effective tax rate a</w:t>
      </w:r>
      <w:r>
        <w:rPr>
          <w:rFonts w:eastAsia="Times New Roman"/>
          <w:color w:val="000000"/>
          <w:sz w:val="20"/>
          <w:szCs w:val="20"/>
        </w:rPr>
        <w:t>nd consolidated balance sheets. We are unable to predict whether any such changes or other proposals will ultimately be enacted. Any future legislative changes could negatively impact our anticipated cash-flow and after-tax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nee</w:t>
      </w:r>
      <w:r>
        <w:rPr>
          <w:rFonts w:eastAsia="Times New Roman"/>
          <w:b/>
          <w:bCs/>
          <w:i/>
          <w:iCs/>
          <w:color w:val="000000"/>
          <w:sz w:val="20"/>
          <w:szCs w:val="20"/>
        </w:rPr>
        <w:t>d to comply with, and respond to, industry-wide changes resulting from, comprehensive, complex, and sometimes unpredictable</w:t>
      </w:r>
      <w:r>
        <w:rPr>
          <w:rFonts w:eastAsia="Times New Roman"/>
          <w:color w:val="000000"/>
          <w:sz w:val="20"/>
          <w:szCs w:val="20"/>
        </w:rPr>
        <w:t xml:space="preserve"> </w:t>
      </w:r>
      <w:r>
        <w:rPr>
          <w:rFonts w:eastAsia="Times New Roman"/>
          <w:b/>
          <w:bCs/>
          <w:i/>
          <w:iCs/>
          <w:color w:val="000000"/>
          <w:sz w:val="20"/>
          <w:szCs w:val="20"/>
        </w:rPr>
        <w:t>governmental regulations, including regulatory initiatives aimed at increasing competition within our industry, may increase our cos</w:t>
      </w:r>
      <w:r>
        <w:rPr>
          <w:rFonts w:eastAsia="Times New Roman"/>
          <w:b/>
          <w:bCs/>
          <w:i/>
          <w:iCs/>
          <w:color w:val="000000"/>
          <w:sz w:val="20"/>
          <w:szCs w:val="20"/>
        </w:rPr>
        <w:t>ts and limit our revenue growth,</w:t>
      </w:r>
      <w:r>
        <w:rPr>
          <w:rFonts w:eastAsia="Times New Roman"/>
          <w:color w:val="000000"/>
          <w:sz w:val="20"/>
          <w:szCs w:val="20"/>
        </w:rPr>
        <w:t xml:space="preserve"> </w:t>
      </w:r>
      <w:r>
        <w:rPr>
          <w:rFonts w:eastAsia="Times New Roman"/>
          <w:b/>
          <w:bCs/>
          <w:i/>
          <w:iCs/>
          <w:color w:val="000000"/>
          <w:sz w:val="20"/>
          <w:szCs w:val="20"/>
        </w:rPr>
        <w:t>which may adversely affect our operating results.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While we generally refer to our UGI Utilities segment as our “regulated segment,” </w:t>
      </w:r>
      <w:r>
        <w:rPr>
          <w:rFonts w:eastAsia="Times New Roman"/>
          <w:color w:val="000000"/>
          <w:sz w:val="20"/>
          <w:szCs w:val="20"/>
        </w:rPr>
        <w:t>there are many governmental regulations that have an impact on all of our businesses. Currently, we are subject to extensive and changing international, federal, state, and local safety, health, transportation, tax, and environmental laws and regulations g</w:t>
      </w:r>
      <w:r>
        <w:rPr>
          <w:rFonts w:eastAsia="Times New Roman"/>
          <w:color w:val="000000"/>
          <w:sz w:val="20"/>
          <w:szCs w:val="20"/>
        </w:rPr>
        <w:t>overning the marketing, storage, distribution, and transportation of our energy products. Moreover, existing statutes and regulations may be revised or reinterpreted and new laws and regulations may be adopted or become applicable to us that may affect our</w:t>
      </w:r>
      <w:r>
        <w:rPr>
          <w:rFonts w:eastAsia="Times New Roman"/>
          <w:color w:val="000000"/>
          <w:sz w:val="20"/>
          <w:szCs w:val="20"/>
        </w:rPr>
        <w:t xml:space="preserve"> businesses in ways that we cannot predict.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New regulations, or a change in the interpretation of existing regulations, could result in increased expenditures. In addition, for many of our operations, we are required to obtain permits from regulatory aut</w:t>
      </w:r>
      <w:r>
        <w:rPr>
          <w:rFonts w:eastAsia="Times New Roman"/>
          <w:color w:val="000000"/>
          <w:sz w:val="20"/>
          <w:szCs w:val="20"/>
        </w:rPr>
        <w:t>horities and, in some cases, such regulatory permits could subject our operations to additional regulations and standards of conduct. Failure to obtain or comply with these permits or applicable regulations and standards of conduct could result in civil an</w:t>
      </w:r>
      <w:r>
        <w:rPr>
          <w:rFonts w:eastAsia="Times New Roman"/>
          <w:color w:val="000000"/>
          <w:sz w:val="20"/>
          <w:szCs w:val="20"/>
        </w:rPr>
        <w:t>d criminal fines or the cessation of the operations in violation. Governmental regulations and policies in the U.S. and Europe may provide for subsidies or incentives to customers who use alternative fuels instead of carbon fuels. The EU has committed to c</w:t>
      </w:r>
      <w:r>
        <w:rPr>
          <w:rFonts w:eastAsia="Times New Roman"/>
          <w:color w:val="000000"/>
          <w:sz w:val="20"/>
          <w:szCs w:val="20"/>
        </w:rPr>
        <w:t>ut C</w:t>
      </w:r>
      <w:r>
        <w:rPr>
          <w:rFonts w:eastAsia="Times New Roman"/>
          <w:color w:val="000000"/>
          <w:sz w:val="20"/>
          <w:szCs w:val="20"/>
        </w:rPr>
        <w:t>O</w:t>
      </w:r>
      <w:r>
        <w:rPr>
          <w:rFonts w:eastAsia="Times New Roman"/>
          <w:color w:val="000000"/>
          <w:sz w:val="13"/>
          <w:szCs w:val="13"/>
        </w:rPr>
        <w:t>2</w:t>
      </w:r>
      <w:r>
        <w:rPr>
          <w:rFonts w:eastAsia="Times New Roman"/>
          <w:color w:val="000000"/>
          <w:sz w:val="20"/>
          <w:szCs w:val="20"/>
        </w:rPr>
        <w:t xml:space="preserve"> </w:t>
      </w:r>
      <w:r>
        <w:rPr>
          <w:rFonts w:eastAsia="Times New Roman"/>
          <w:color w:val="000000"/>
          <w:sz w:val="20"/>
          <w:szCs w:val="20"/>
        </w:rPr>
        <w:t>emissions by at least 40% by 2030 and EU member states are proposing and implementing a range of subsidies and incentives to achieve the EU’s climate change goals. These subsidies and incentives may result in reduced demand for our energy products and serv</w:t>
      </w:r>
      <w:r>
        <w:rPr>
          <w:rFonts w:eastAsia="Times New Roman"/>
          <w:color w:val="000000"/>
          <w:sz w:val="20"/>
          <w:szCs w:val="20"/>
        </w:rPr>
        <w:t>ices.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are investigating and remediating contamination at a number of present and former operating sites in the U.S., including former sites where we or our former subsidiaries operated manufactured gas plants. We have also received claims from third p</w:t>
      </w:r>
      <w:r>
        <w:rPr>
          <w:rFonts w:eastAsia="Times New Roman"/>
          <w:color w:val="000000"/>
          <w:sz w:val="20"/>
          <w:szCs w:val="20"/>
        </w:rPr>
        <w:t>arties that allege that we are responsible for costs to clean up properties where we or our former subsidiaries operated a manufactured gas plant or conducted other operations. Most of the costs we incur to remediate sites outside of Pennsylvania cannot cu</w:t>
      </w:r>
      <w:r>
        <w:rPr>
          <w:rFonts w:eastAsia="Times New Roman"/>
          <w:color w:val="000000"/>
          <w:sz w:val="20"/>
          <w:szCs w:val="20"/>
        </w:rPr>
        <w:t>rrently be recovered in PAPUC rate proceedings, and insurance may not cover all or even part of these costs. Our actual costs to clean up these sites may exceed our current estimates due to factors beyond our control, such as:</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•the discovery of presently</w:t>
      </w:r>
      <w:r>
        <w:rPr>
          <w:rFonts w:eastAsia="Times New Roman"/>
          <w:color w:val="000000"/>
          <w:sz w:val="20"/>
          <w:szCs w:val="20"/>
        </w:rPr>
        <w:t xml:space="preserve"> unknown conditions; </w:t>
      </w:r>
    </w:p>
    <w:p w:rsidR="00000000" w:rsidRDefault="00DF5BC2">
      <w:pPr>
        <w:ind w:hanging="360"/>
        <w:jc w:val="both"/>
        <w:rPr>
          <w:rFonts w:eastAsia="Times New Roman"/>
        </w:rPr>
      </w:pPr>
      <w:r>
        <w:rPr>
          <w:rFonts w:eastAsia="Times New Roman"/>
          <w:color w:val="000000"/>
          <w:sz w:val="20"/>
          <w:szCs w:val="20"/>
        </w:rPr>
        <w:t xml:space="preserve">•changes in environmental laws and regulations; </w:t>
      </w:r>
    </w:p>
    <w:p w:rsidR="00000000" w:rsidRDefault="00DF5BC2">
      <w:pPr>
        <w:ind w:hanging="360"/>
        <w:jc w:val="both"/>
        <w:rPr>
          <w:rFonts w:eastAsia="Times New Roman"/>
        </w:rPr>
      </w:pPr>
      <w:r>
        <w:rPr>
          <w:rFonts w:eastAsia="Times New Roman"/>
          <w:color w:val="000000"/>
          <w:sz w:val="20"/>
          <w:szCs w:val="20"/>
        </w:rPr>
        <w:t xml:space="preserve">•judicial rejection of our legal defenses to third-party claims; or </w:t>
      </w:r>
    </w:p>
    <w:p w:rsidR="00000000" w:rsidRDefault="00DF5BC2">
      <w:pPr>
        <w:ind w:hanging="360"/>
        <w:jc w:val="both"/>
        <w:rPr>
          <w:rFonts w:eastAsia="Times New Roman"/>
        </w:rPr>
      </w:pPr>
      <w:r>
        <w:rPr>
          <w:rFonts w:eastAsia="Times New Roman"/>
          <w:color w:val="000000"/>
          <w:sz w:val="20"/>
          <w:szCs w:val="20"/>
        </w:rPr>
        <w:t>•the insolvency of other responsible parties at the sites at which we are involved.</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Moreover, if we discover addit</w:t>
      </w:r>
      <w:r>
        <w:rPr>
          <w:rFonts w:eastAsia="Times New Roman"/>
          <w:color w:val="000000"/>
          <w:sz w:val="20"/>
          <w:szCs w:val="20"/>
        </w:rPr>
        <w:t>ional contaminated sites, we could be required to incur material costs, which would reduce our net income.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We also may be unable to timely respond to changes within the energy and utility sectors that may result from regulatory </w:t>
      </w:r>
    </w:p>
    <w:p w:rsidR="00000000" w:rsidRDefault="00DF5BC2">
      <w:pPr>
        <w:jc w:val="center"/>
        <w:divId w:val="2130464187"/>
        <w:rPr>
          <w:rFonts w:eastAsia="Times New Roman"/>
        </w:rPr>
      </w:pPr>
      <w:r>
        <w:rPr>
          <w:rFonts w:eastAsia="Times New Roman"/>
          <w:color w:val="000000"/>
          <w:sz w:val="20"/>
          <w:szCs w:val="20"/>
        </w:rPr>
        <w:t>41</w:t>
      </w:r>
    </w:p>
    <w:p w:rsidR="00000000" w:rsidRDefault="00DF5BC2">
      <w:pPr>
        <w:rPr>
          <w:rFonts w:eastAsia="Times New Roman"/>
        </w:rPr>
      </w:pPr>
      <w:r>
        <w:rPr>
          <w:rFonts w:eastAsia="Times New Roman"/>
        </w:rPr>
        <w:pict>
          <v:rect id="_x0000_i1067" style="width:0;height:1.5pt" o:hralign="center" o:hrstd="t" o:hr="t" fillcolor="#a0a0a0" stroked="f"/>
        </w:pict>
      </w:r>
    </w:p>
    <w:p w:rsidR="00000000" w:rsidRDefault="00DF5BC2">
      <w:pPr>
        <w:divId w:val="71049020"/>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initiatives to further increase competition within our industry. Such regulatory initiatives may create opportunities for additional competitors to grow their busines</w:t>
      </w:r>
      <w:r>
        <w:rPr>
          <w:rFonts w:eastAsia="Times New Roman"/>
          <w:color w:val="000000"/>
          <w:sz w:val="20"/>
          <w:szCs w:val="20"/>
        </w:rPr>
        <w:t>s or enter our markets and, as a result, we may be unable to maintain our revenues or continue to pursue our current business strategy.</w:t>
      </w:r>
    </w:p>
    <w:p w:rsidR="00000000" w:rsidRDefault="00DF5BC2">
      <w:pPr>
        <w:jc w:val="both"/>
        <w:rPr>
          <w:rFonts w:eastAsia="Times New Roman"/>
        </w:rPr>
      </w:pPr>
    </w:p>
    <w:p w:rsidR="00000000" w:rsidRDefault="00DF5BC2">
      <w:pPr>
        <w:jc w:val="both"/>
        <w:divId w:val="315913808"/>
        <w:rPr>
          <w:rFonts w:eastAsia="Times New Roman"/>
        </w:rPr>
      </w:pPr>
      <w:r>
        <w:rPr>
          <w:rFonts w:eastAsia="Times New Roman"/>
          <w:b/>
          <w:bCs/>
          <w:i/>
          <w:iCs/>
          <w:color w:val="000000"/>
          <w:sz w:val="20"/>
          <w:szCs w:val="20"/>
        </w:rPr>
        <w:t>Our operations, financial results and cash flows may be adversely affected by existing and future global climate chang</w:t>
      </w:r>
      <w:r>
        <w:rPr>
          <w:rFonts w:eastAsia="Times New Roman"/>
          <w:b/>
          <w:bCs/>
          <w:i/>
          <w:iCs/>
          <w:color w:val="000000"/>
          <w:sz w:val="20"/>
          <w:szCs w:val="20"/>
        </w:rPr>
        <w:t>e laws and regulations, including with respect to GHG emission restrictions, as well as market responses thereto.</w:t>
      </w:r>
    </w:p>
    <w:p w:rsidR="00000000" w:rsidRDefault="00DF5BC2">
      <w:pPr>
        <w:jc w:val="both"/>
        <w:rPr>
          <w:rFonts w:eastAsia="Times New Roman"/>
        </w:rPr>
      </w:pPr>
      <w:r>
        <w:rPr>
          <w:rFonts w:eastAsia="Times New Roman"/>
          <w:color w:val="000000"/>
          <w:sz w:val="20"/>
          <w:szCs w:val="20"/>
        </w:rPr>
        <w:t>Climate change continues to attract considerable public and scientific attention in the U.S. and in foreign countries. As a result, numerous p</w:t>
      </w:r>
      <w:r>
        <w:rPr>
          <w:rFonts w:eastAsia="Times New Roman"/>
          <w:color w:val="000000"/>
          <w:sz w:val="20"/>
          <w:szCs w:val="20"/>
        </w:rPr>
        <w:t>roposals have been made and could continue to be made at the international, national, regional, state and local levels of government to monitor and limit GHG emissions and climate impact. These efforts have included consideration of cap-and-trade programs,</w:t>
      </w:r>
      <w:r>
        <w:rPr>
          <w:rFonts w:eastAsia="Times New Roman"/>
          <w:color w:val="000000"/>
          <w:sz w:val="20"/>
          <w:szCs w:val="20"/>
        </w:rPr>
        <w:t xml:space="preserve"> carbon taxes, GHG reporting and tracking programs, and regulations that directly limit GHG emissions from certain sources. Increased regulation of GHG emissions, or climate impact generally, could have significant additional adverse impacts on us, our sup</w:t>
      </w:r>
      <w:r>
        <w:rPr>
          <w:rFonts w:eastAsia="Times New Roman"/>
          <w:color w:val="000000"/>
          <w:sz w:val="20"/>
          <w:szCs w:val="20"/>
        </w:rPr>
        <w:t xml:space="preserve">pliers, our vendors, and our customers. The following provides a brief overview of the material climate-related regulatory provisions that may impact our domestic and international businesses, respectively.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Domestic Regulatory Landscape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September 2</w:t>
      </w:r>
      <w:r>
        <w:rPr>
          <w:rFonts w:eastAsia="Times New Roman"/>
          <w:color w:val="000000"/>
          <w:sz w:val="20"/>
          <w:szCs w:val="20"/>
        </w:rPr>
        <w:t>009, the EPA issued a final rule establishing a system for mandatory reporting of GHG emissions. In November 2010, the EPA expanded the reach of its GHG reporting requirements to include the petroleum and natural gas industries, which include certain facil</w:t>
      </w:r>
      <w:r>
        <w:rPr>
          <w:rFonts w:eastAsia="Times New Roman"/>
          <w:color w:val="000000"/>
          <w:sz w:val="20"/>
          <w:szCs w:val="20"/>
        </w:rPr>
        <w:t xml:space="preserve">ities of our natural gas distribution business. These subject facilities have been required to monitor emissions since January 2011 and to submit detailed annual reports beginning in March 2012.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March 2021, the Biden Administration announced a framework for the "Build Back Better" agenda. The proposed framework included policies to address climate change across the federal government through the tax code, an energy efficiency and clean energy s</w:t>
      </w:r>
      <w:r>
        <w:rPr>
          <w:rFonts w:eastAsia="Times New Roman"/>
          <w:color w:val="000000"/>
          <w:sz w:val="20"/>
          <w:szCs w:val="20"/>
        </w:rPr>
        <w:t xml:space="preserve">tandard, research and development, among other areas of focus. Relatedly, the U.S. House Energy and Commerce Committee released, and has been holding hearings on, the Climate Leadership and Environmental Action for our Nation's ("CLEAN") Future Act, which </w:t>
      </w:r>
      <w:r>
        <w:rPr>
          <w:rFonts w:eastAsia="Times New Roman"/>
          <w:color w:val="000000"/>
          <w:sz w:val="20"/>
          <w:szCs w:val="20"/>
        </w:rPr>
        <w:t xml:space="preserve">is expected to influence legislation furthering the "Build Back Better" agenda. The CLEAN Future Act proposes, among other things, a clean electricity standard that would require electricity suppliers to procure and retire clean energy credits offsetting, </w:t>
      </w:r>
      <w:r>
        <w:rPr>
          <w:rFonts w:eastAsia="Times New Roman"/>
          <w:color w:val="000000"/>
          <w:sz w:val="20"/>
          <w:szCs w:val="20"/>
        </w:rPr>
        <w:t>in aggregate, 80% of the energy sold by 2030 and 100% by 2035. It would establish an auction-based mechanism for these credits and award partial credits to certain types of carbon-emitting generation that have lower-than-average emissions rates.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"Build B</w:t>
      </w:r>
      <w:r>
        <w:rPr>
          <w:rFonts w:eastAsia="Times New Roman"/>
          <w:color w:val="000000"/>
          <w:sz w:val="20"/>
          <w:szCs w:val="20"/>
        </w:rPr>
        <w:t>ack Better" has been on two tracks in Congress, with a bipartisan "core infrastructure” bill that has passed in the Senate and House of Representatives and was signed into law on November 15, 2021, which includes climate provisions focused on transportatio</w:t>
      </w:r>
      <w:r>
        <w:rPr>
          <w:rFonts w:eastAsia="Times New Roman"/>
          <w:color w:val="000000"/>
          <w:sz w:val="20"/>
          <w:szCs w:val="20"/>
        </w:rPr>
        <w:t>n and resiliency and an expected multi-trillion budget social spending bill that is being advanced under the reconciliation process to address additional priorities, including the climate impacts of energy production. A Clean Electricity Standard, or simil</w:t>
      </w:r>
      <w:r>
        <w:rPr>
          <w:rFonts w:eastAsia="Times New Roman"/>
          <w:color w:val="000000"/>
          <w:sz w:val="20"/>
          <w:szCs w:val="20"/>
        </w:rPr>
        <w:t>ar program, remains a goal of the Biden Administration, despite an unclear political path forward. The reconciliation bill may also include energy tax credits, which are expected to incentivize producers and purchasers of certain forms of energy, such as s</w:t>
      </w:r>
      <w:r>
        <w:rPr>
          <w:rFonts w:eastAsia="Times New Roman"/>
          <w:color w:val="000000"/>
          <w:sz w:val="20"/>
          <w:szCs w:val="20"/>
        </w:rPr>
        <w:t>olar, wind, and nuclear, but not other forms of energy production. Although the social spending bill and Clean Electricity Standard proposals have not yet resulted in any new legislation being enacted or regulations promulgated, we are closely monitoring b</w:t>
      </w:r>
      <w:r>
        <w:rPr>
          <w:rFonts w:eastAsia="Times New Roman"/>
          <w:color w:val="000000"/>
          <w:sz w:val="20"/>
          <w:szCs w:val="20"/>
        </w:rPr>
        <w:t>oth legislative and executive agency action.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April 2021, President Biden announced that the United States' Nationally Defined Contribution to the international Paris Climate Agreement will be an economy-wide reduction in GHG emissions of 50-52% by 203</w:t>
      </w:r>
      <w:r>
        <w:rPr>
          <w:rFonts w:eastAsia="Times New Roman"/>
          <w:color w:val="000000"/>
          <w:sz w:val="20"/>
          <w:szCs w:val="20"/>
        </w:rPr>
        <w:t>0, relative to 2005 levels. In advance of the November 2021 Conference of the Parties 26 meeting in Glasgow, Scotland, the Biden Administration released details on its strategy to achieve those targets as part of the "Build Back Better" agenda.</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additi</w:t>
      </w:r>
      <w:r>
        <w:rPr>
          <w:rFonts w:eastAsia="Times New Roman"/>
          <w:color w:val="000000"/>
          <w:sz w:val="20"/>
          <w:szCs w:val="20"/>
        </w:rPr>
        <w:t>on to climate-related initiatives at the federal level, some states have adopted provisions designed to regulate GHG emissions for some industry sectors. Examples include (i) the California cap-and-trade program that requires certain covered entities, incl</w:t>
      </w:r>
      <w:r>
        <w:rPr>
          <w:rFonts w:eastAsia="Times New Roman"/>
          <w:color w:val="000000"/>
          <w:sz w:val="20"/>
          <w:szCs w:val="20"/>
        </w:rPr>
        <w:t>uding propane companies, to purchase GHG emission allowances, and (ii) the Regional Northeast Gas Initiative, in which a number of states in the northeastern U.S. participate and have agreed to establish cap and trade programs to reduce power plant emissio</w:t>
      </w:r>
      <w:r>
        <w:rPr>
          <w:rFonts w:eastAsia="Times New Roman"/>
          <w:color w:val="000000"/>
          <w:sz w:val="20"/>
          <w:szCs w:val="20"/>
        </w:rPr>
        <w:t>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International Regulatory Landscape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the EU, there is a commitment to cut C</w:t>
      </w:r>
      <w:r>
        <w:rPr>
          <w:rFonts w:eastAsia="Times New Roman"/>
          <w:color w:val="000000"/>
          <w:sz w:val="20"/>
          <w:szCs w:val="20"/>
        </w:rPr>
        <w:t>O</w:t>
      </w:r>
      <w:r>
        <w:rPr>
          <w:rFonts w:eastAsia="Times New Roman"/>
          <w:color w:val="000000"/>
          <w:sz w:val="13"/>
          <w:szCs w:val="13"/>
        </w:rPr>
        <w:t>2</w:t>
      </w:r>
      <w:r>
        <w:rPr>
          <w:rFonts w:eastAsia="Times New Roman"/>
          <w:color w:val="000000"/>
          <w:sz w:val="20"/>
          <w:szCs w:val="20"/>
        </w:rPr>
        <w:t xml:space="preserve"> emissions by at least 40% by 2030 and EU member states have implemented a range of subsidies and incentives to achieve the EU’s climate change goals. Further, emissions </w:t>
      </w:r>
      <w:r>
        <w:rPr>
          <w:rFonts w:eastAsia="Times New Roman"/>
          <w:color w:val="000000"/>
          <w:sz w:val="20"/>
          <w:szCs w:val="20"/>
        </w:rPr>
        <w:t xml:space="preserve">are regulated via a number of means, including the European Union Emissions Trading System (the ‘‘EU ETS’’). The EU ETS is a trading system across the </w:t>
      </w:r>
    </w:p>
    <w:p w:rsidR="00000000" w:rsidRDefault="00DF5BC2">
      <w:pPr>
        <w:jc w:val="center"/>
        <w:divId w:val="104735388"/>
        <w:rPr>
          <w:rFonts w:eastAsia="Times New Roman"/>
        </w:rPr>
      </w:pPr>
      <w:r>
        <w:rPr>
          <w:rFonts w:eastAsia="Times New Roman"/>
          <w:color w:val="000000"/>
          <w:sz w:val="20"/>
          <w:szCs w:val="20"/>
        </w:rPr>
        <w:t>42</w:t>
      </w:r>
    </w:p>
    <w:p w:rsidR="00000000" w:rsidRDefault="00DF5BC2">
      <w:pPr>
        <w:rPr>
          <w:rFonts w:eastAsia="Times New Roman"/>
        </w:rPr>
      </w:pPr>
      <w:r>
        <w:rPr>
          <w:rFonts w:eastAsia="Times New Roman"/>
        </w:rPr>
        <w:pict>
          <v:rect id="_x0000_i1068" style="width:0;height:1.5pt" o:hralign="center" o:hrstd="t" o:hr="t" fillcolor="#a0a0a0" stroked="f"/>
        </w:pict>
      </w:r>
    </w:p>
    <w:p w:rsidR="00000000" w:rsidRDefault="00DF5BC2">
      <w:pPr>
        <w:divId w:val="1574192528"/>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 xml:space="preserve">EU for industrial emissions and is expected to become progressively more stringent over time, including by reducing the number of allowances to emit GHGs.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adoption and implementation of any U.S. federal, state or local laws or regu</w:t>
      </w:r>
      <w:r>
        <w:rPr>
          <w:rFonts w:eastAsia="Times New Roman"/>
          <w:color w:val="000000"/>
          <w:sz w:val="20"/>
          <w:szCs w:val="20"/>
        </w:rPr>
        <w:t>lations or foreign laws or regulations imposing obligations on, or limiting GHG emissions from, our equipment and operations could require us to incur significant costs to reduce GHG emissions associated with our operations or could adversely affect demand</w:t>
      </w:r>
      <w:r>
        <w:rPr>
          <w:rFonts w:eastAsia="Times New Roman"/>
          <w:color w:val="000000"/>
          <w:sz w:val="20"/>
          <w:szCs w:val="20"/>
        </w:rPr>
        <w:t xml:space="preserve"> for our energy products. The potential increase in our operating costs could include new costs to operate and maintain our facilities, install new emission controls on our facilities, acquire allowances to authorize our GHG emissions, pay taxes related to</w:t>
      </w:r>
      <w:r>
        <w:rPr>
          <w:rFonts w:eastAsia="Times New Roman"/>
          <w:color w:val="000000"/>
          <w:sz w:val="20"/>
          <w:szCs w:val="20"/>
        </w:rPr>
        <w:t xml:space="preserve"> our GHG emissions, administer and manage a GHG emissions reduction program, and adversely impact the value of certain assets. We may not be able to pass on resulting increases in costs to customers. In addition, changes in regulatory policies that result </w:t>
      </w:r>
      <w:r>
        <w:rPr>
          <w:rFonts w:eastAsia="Times New Roman"/>
          <w:color w:val="000000"/>
          <w:sz w:val="20"/>
          <w:szCs w:val="20"/>
        </w:rPr>
        <w:t>in a reduction in the demand for hydrocarbon products and carbon-emitting fuel sources that are deemed to contribute to climate change, or restrict the use of such products or fuel sources, may reduce volumes available to us for processing, transportation,</w:t>
      </w:r>
      <w:r>
        <w:rPr>
          <w:rFonts w:eastAsia="Times New Roman"/>
          <w:color w:val="000000"/>
          <w:sz w:val="20"/>
          <w:szCs w:val="20"/>
        </w:rPr>
        <w:t xml:space="preserve"> marketing and storage and cause potential increases in costs or production disruptions. These developments could have a material adverse effect on our results of operations, financial results, valuation and useful life of assets, and cash flows.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Changes</w:t>
      </w:r>
      <w:r>
        <w:rPr>
          <w:rFonts w:eastAsia="Times New Roman"/>
          <w:b/>
          <w:bCs/>
          <w:i/>
          <w:iCs/>
          <w:color w:val="000000"/>
          <w:sz w:val="20"/>
          <w:szCs w:val="20"/>
        </w:rPr>
        <w:t xml:space="preserve"> in data privacy and data protection laws and regulations, particularly in Europe and California, or any failure to comply with such laws and regulations, could adversely affect our business and financial results.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There has been increased public attentio</w:t>
      </w:r>
      <w:r>
        <w:rPr>
          <w:rFonts w:eastAsia="Times New Roman"/>
          <w:color w:val="000000"/>
          <w:sz w:val="20"/>
          <w:szCs w:val="20"/>
        </w:rPr>
        <w:t>n regarding the use of personal information and data transfers, accompanied by legislation and regulations intended to strengthen data protection, information security and consumer and personal privacy. The laws in these areas continue to develop and the c</w:t>
      </w:r>
      <w:r>
        <w:rPr>
          <w:rFonts w:eastAsia="Times New Roman"/>
          <w:color w:val="000000"/>
          <w:sz w:val="20"/>
          <w:szCs w:val="20"/>
        </w:rPr>
        <w:t>hanging nature of data protection, information security and privacy laws in the U.S., the EU and elsewhere could impact our processing of the personal information of our employees, vendors and customers, which could lead to increased operating costs. The E</w:t>
      </w:r>
      <w:r>
        <w:rPr>
          <w:rFonts w:eastAsia="Times New Roman"/>
          <w:color w:val="000000"/>
          <w:sz w:val="20"/>
          <w:szCs w:val="20"/>
        </w:rPr>
        <w:t>U adopted the GDPR, which became effective in May 2018 and expanded EU data protections, in certain circumstances, to companies outside of the EU processing data of EU residents, regardless of whether the processing occurs in the EU. Similarly, the State o</w:t>
      </w:r>
      <w:r>
        <w:rPr>
          <w:rFonts w:eastAsia="Times New Roman"/>
          <w:color w:val="000000"/>
          <w:sz w:val="20"/>
          <w:szCs w:val="20"/>
        </w:rPr>
        <w:t>f California legislature passed the California Consumer Privacy Act of 2018 (the “CCPA”), effective January 1, 2020, which grants certain rights to California residents with respect to their personal information, and the California electorate recently appr</w:t>
      </w:r>
      <w:r>
        <w:rPr>
          <w:rFonts w:eastAsia="Times New Roman"/>
          <w:color w:val="000000"/>
          <w:sz w:val="20"/>
          <w:szCs w:val="20"/>
        </w:rPr>
        <w:t>oved Proposition 24, the California Privacy Rights Act (the “CPRA”), which will expand the CCPA effective January 1, 2023 and grant additional rights to California residents as well as create a new state privacy regulator. We expect that there will continu</w:t>
      </w:r>
      <w:r>
        <w:rPr>
          <w:rFonts w:eastAsia="Times New Roman"/>
          <w:color w:val="000000"/>
          <w:sz w:val="20"/>
          <w:szCs w:val="20"/>
        </w:rPr>
        <w:t>e to be new laws, regulations and industry standards concerning data privacy and data protection in the U.S., the EU and other jurisdictions, and we cannot yet determine the impact such laws, regulations, interpretations and standards may have on our busin</w:t>
      </w:r>
      <w:r>
        <w:rPr>
          <w:rFonts w:eastAsia="Times New Roman"/>
          <w:color w:val="000000"/>
          <w:sz w:val="20"/>
          <w:szCs w:val="20"/>
        </w:rPr>
        <w:t>ess.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GDPR requires companies to satisfy extensive requirements regarding the handling of personal information, including its use, protection and the ability of persons whose data is processed to exercise a number of rights with respect to their perso</w:t>
      </w:r>
      <w:r>
        <w:rPr>
          <w:rFonts w:eastAsia="Times New Roman"/>
          <w:color w:val="000000"/>
          <w:sz w:val="20"/>
          <w:szCs w:val="20"/>
        </w:rPr>
        <w:t>nal information, such as correcting or requiring deletion of data about themselves. Supervisory authorities from different EU member states may interpret and apply the GDPR somewhat differently, and the GDPR also permits EU member states to create suppleme</w:t>
      </w:r>
      <w:r>
        <w:rPr>
          <w:rFonts w:eastAsia="Times New Roman"/>
          <w:color w:val="000000"/>
          <w:sz w:val="20"/>
          <w:szCs w:val="20"/>
        </w:rPr>
        <w:t>ntal national laws, which increases the complexity of compliance. Failure to comply with GDPR requirements could result in penalties of up to €20 million or 4% of worldwide revenue, whichever is greater, for a serious breach. Additionally, in July 2020, th</w:t>
      </w:r>
      <w:r>
        <w:rPr>
          <w:rFonts w:eastAsia="Times New Roman"/>
          <w:color w:val="000000"/>
          <w:sz w:val="20"/>
          <w:szCs w:val="20"/>
        </w:rPr>
        <w:t>e Court of Justice of the European Union (the “CJEU”), the EU’s highest court, issued a landmark ruling in which it invalidated the U.S. – EU Privacy Shield framework for transferring the personal data of EU residents to the United States and suggested tha</w:t>
      </w:r>
      <w:r>
        <w:rPr>
          <w:rFonts w:eastAsia="Times New Roman"/>
          <w:color w:val="000000"/>
          <w:sz w:val="20"/>
          <w:szCs w:val="20"/>
        </w:rPr>
        <w:t>t the parties to data transfers can only rely on standard contractual clauses as a valid data transfer mechanism on a case-by-case basis. This ruling, and subsequent commentary on it from local European data protection authorities, have raised questions ab</w:t>
      </w:r>
      <w:r>
        <w:rPr>
          <w:rFonts w:eastAsia="Times New Roman"/>
          <w:color w:val="000000"/>
          <w:sz w:val="20"/>
          <w:szCs w:val="20"/>
        </w:rPr>
        <w:t>out the continuing viability of existing legal tools to support data transfers to the U.S., and additional regulatory guidance is likely to be forthcoming. Finally, The United Kingdom’s decision to leave the EU, often referred to as “Brexit,” has created u</w:t>
      </w:r>
      <w:r>
        <w:rPr>
          <w:rFonts w:eastAsia="Times New Roman"/>
          <w:color w:val="000000"/>
          <w:sz w:val="20"/>
          <w:szCs w:val="20"/>
        </w:rPr>
        <w:t>ncertainty with regard to data protection regulation in the United Kingdom. In particular, while the European Commission has issued adequacy decisions that have the effect of authorizing data transfers between the United Kingdom and the European Economic A</w:t>
      </w:r>
      <w:r>
        <w:rPr>
          <w:rFonts w:eastAsia="Times New Roman"/>
          <w:color w:val="000000"/>
          <w:sz w:val="20"/>
          <w:szCs w:val="20"/>
        </w:rPr>
        <w:t>rea, it is unclear how data transfers between the United Kingdom and the rest of the world will be regulated now that the United Kingdom has left the EU.</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CCPA requires companies to make new extensive disclosures to consumers about such companies’ dat</w:t>
      </w:r>
      <w:r>
        <w:rPr>
          <w:rFonts w:eastAsia="Times New Roman"/>
          <w:color w:val="000000"/>
          <w:sz w:val="20"/>
          <w:szCs w:val="20"/>
        </w:rPr>
        <w:t>a collection, use, and sharing practices and inform consumers of their personal information rights (such as deletion rights), allows consumers to opt out of data sales to third parties, and provides a new cause of action for data breaches. The CPRA will ad</w:t>
      </w:r>
      <w:r>
        <w:rPr>
          <w:rFonts w:eastAsia="Times New Roman"/>
          <w:color w:val="000000"/>
          <w:sz w:val="20"/>
          <w:szCs w:val="20"/>
        </w:rPr>
        <w:t>d more disclosure obligations (including an obligation to disclose retention periods or criteria for categories of personal information), grant consumers additional rights (including rights to correct their data, limit the use and disclosure of sensitive p</w:t>
      </w:r>
      <w:r>
        <w:rPr>
          <w:rFonts w:eastAsia="Times New Roman"/>
          <w:color w:val="000000"/>
          <w:sz w:val="20"/>
          <w:szCs w:val="20"/>
        </w:rPr>
        <w:t>ersonal information, and opt out of the sharing of personal information for certain targeted behavioral advertising purposes), and impose a requirement that a covered business’ use, retention and sharing of personal information of California residents be r</w:t>
      </w:r>
      <w:r>
        <w:rPr>
          <w:rFonts w:eastAsia="Times New Roman"/>
          <w:color w:val="000000"/>
          <w:sz w:val="20"/>
          <w:szCs w:val="20"/>
        </w:rPr>
        <w:t>easonably necessary and proportionate to the purposes of collection or processing. The CPRA also creates a new California Privacy Protection Agency (CPPA) to serve as California’s chief privacy regulator, which will likely result in greater regulatory acti</w:t>
      </w:r>
      <w:r>
        <w:rPr>
          <w:rFonts w:eastAsia="Times New Roman"/>
          <w:color w:val="000000"/>
          <w:sz w:val="20"/>
          <w:szCs w:val="20"/>
        </w:rPr>
        <w:t xml:space="preserve">vity and enforcement in the privacy area. </w:t>
      </w:r>
    </w:p>
    <w:p w:rsidR="00000000" w:rsidRDefault="00DF5BC2">
      <w:pPr>
        <w:jc w:val="center"/>
        <w:divId w:val="1673986912"/>
        <w:rPr>
          <w:rFonts w:eastAsia="Times New Roman"/>
        </w:rPr>
      </w:pPr>
      <w:r>
        <w:rPr>
          <w:rFonts w:eastAsia="Times New Roman"/>
          <w:color w:val="000000"/>
          <w:sz w:val="20"/>
          <w:szCs w:val="20"/>
        </w:rPr>
        <w:t>43</w:t>
      </w:r>
    </w:p>
    <w:p w:rsidR="00000000" w:rsidRDefault="00DF5BC2">
      <w:pPr>
        <w:rPr>
          <w:rFonts w:eastAsia="Times New Roman"/>
        </w:rPr>
      </w:pPr>
      <w:r>
        <w:rPr>
          <w:rFonts w:eastAsia="Times New Roman"/>
        </w:rPr>
        <w:pict>
          <v:rect id="_x0000_i1069" style="width:0;height:1.5pt" o:hralign="center" o:hrstd="t" o:hr="t" fillcolor="#a0a0a0" stroked="f"/>
        </w:pict>
      </w:r>
    </w:p>
    <w:p w:rsidR="00000000" w:rsidRDefault="00DF5BC2">
      <w:pPr>
        <w:divId w:val="135202517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Comprehensive privacy laws with some similarities to the CCPA and CPRA have been proposed or passed at the U.S. federal and state levels, including the Virginia Consumer Data Protection Act, which will take effect on January 1, 2023, and the Colorado Priva</w:t>
      </w:r>
      <w:r>
        <w:rPr>
          <w:rFonts w:eastAsia="Times New Roman"/>
          <w:color w:val="000000"/>
          <w:sz w:val="20"/>
          <w:szCs w:val="20"/>
        </w:rPr>
        <w:t>cy Act, which will take effect on July 1, 2023. The State of Nevada also recently amended its online privacy law to allow consumers to submit requests to prevent websites and online service providers from selling personal information that is collected thro</w:t>
      </w:r>
      <w:r>
        <w:rPr>
          <w:rFonts w:eastAsia="Times New Roman"/>
          <w:color w:val="000000"/>
          <w:sz w:val="20"/>
          <w:szCs w:val="20"/>
        </w:rPr>
        <w:t>ugh a website or online service. Additionally, the Federal Trade Commission and many state attorneys general are interpreting federal and state consumer protection laws to impose standards for the online collection, use, dissemination, and security of data</w:t>
      </w:r>
      <w:r>
        <w:rPr>
          <w:rFonts w:eastAsia="Times New Roman"/>
          <w:color w:val="000000"/>
          <w:sz w:val="20"/>
          <w:szCs w:val="20"/>
        </w:rPr>
        <w:t xml:space="preserve"> as well as requiring disclosures about these practices.</w:t>
      </w:r>
    </w:p>
    <w:p w:rsidR="00000000" w:rsidRDefault="00DF5BC2">
      <w:pPr>
        <w:jc w:val="both"/>
        <w:rPr>
          <w:rFonts w:eastAsia="Times New Roman"/>
        </w:rPr>
      </w:pPr>
    </w:p>
    <w:p w:rsidR="00000000" w:rsidRDefault="00DF5BC2">
      <w:pPr>
        <w:jc w:val="both"/>
        <w:divId w:val="709113263"/>
        <w:rPr>
          <w:rFonts w:eastAsia="Times New Roman"/>
        </w:rPr>
      </w:pPr>
      <w:r>
        <w:rPr>
          <w:rFonts w:eastAsia="Times New Roman"/>
          <w:color w:val="000000"/>
          <w:sz w:val="20"/>
          <w:szCs w:val="20"/>
        </w:rPr>
        <w:t>While we have invested significant time and resources in our GDPR compliance program, emerging and changing data privacy and data protection requirements, including CCPA, CPRA, and Virginia’s and C</w:t>
      </w:r>
      <w:r>
        <w:rPr>
          <w:rFonts w:eastAsia="Times New Roman"/>
          <w:color w:val="000000"/>
          <w:sz w:val="20"/>
          <w:szCs w:val="20"/>
        </w:rPr>
        <w:t>olorado’s new privacy laws, and any new considerations and requirements that emerge from the CJEU’s ruling, may cause us to incur additional substantial costs or require us to change our business practices. Any failure or perceived failure to comply may re</w:t>
      </w:r>
      <w:r>
        <w:rPr>
          <w:rFonts w:eastAsia="Times New Roman"/>
          <w:color w:val="000000"/>
          <w:sz w:val="20"/>
          <w:szCs w:val="20"/>
        </w:rPr>
        <w:t>sult in proceedings or actions against us by government entities or individuals. Moreover, any inquiries or investigations, any other government actions, or any actions by individuals, may be costly to comply with, result in negative publicity, increase ou</w:t>
      </w:r>
      <w:r>
        <w:rPr>
          <w:rFonts w:eastAsia="Times New Roman"/>
          <w:color w:val="000000"/>
          <w:sz w:val="20"/>
          <w:szCs w:val="20"/>
        </w:rPr>
        <w:t>r operating costs, require significant management time and attention, and subject us to remedies that may harm our business, including fines, demands or orders that we modify or cease existing business practices.</w:t>
      </w:r>
    </w:p>
    <w:p w:rsidR="00000000" w:rsidRDefault="00DF5BC2">
      <w:pPr>
        <w:jc w:val="both"/>
        <w:rPr>
          <w:rFonts w:eastAsia="Times New Roman"/>
        </w:rPr>
      </w:pPr>
      <w:r>
        <w:rPr>
          <w:rFonts w:eastAsia="Times New Roman"/>
          <w:b/>
          <w:bCs/>
          <w:i/>
          <w:iCs/>
          <w:color w:val="000000"/>
          <w:sz w:val="20"/>
          <w:szCs w:val="20"/>
        </w:rPr>
        <w:t>The provisions of the Dodd-Frank Wall Stree</w:t>
      </w:r>
      <w:r>
        <w:rPr>
          <w:rFonts w:eastAsia="Times New Roman"/>
          <w:b/>
          <w:bCs/>
          <w:i/>
          <w:iCs/>
          <w:color w:val="000000"/>
          <w:sz w:val="20"/>
          <w:szCs w:val="20"/>
        </w:rPr>
        <w:t>t Reform and Consumer Protection Act (the “Dodd-Frank Act”), related regulations, and the rules adopted thereunder and other regulations, including the European Market Infrastructure Regulation (the “EMIR”), may have an adverse effect on our ability to use</w:t>
      </w:r>
      <w:r>
        <w:rPr>
          <w:rFonts w:eastAsia="Times New Roman"/>
          <w:b/>
          <w:bCs/>
          <w:i/>
          <w:iCs/>
          <w:color w:val="000000"/>
          <w:sz w:val="20"/>
          <w:szCs w:val="20"/>
        </w:rPr>
        <w:t xml:space="preserve"> derivative instruments to hedge risks associated with our business.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Our derivative hedging activities are subject to Title VII of the Dodd-Frank Act, which regulates the over-the-counter derivatives market and entities that participate in that market. </w:t>
      </w:r>
      <w:r>
        <w:rPr>
          <w:rFonts w:eastAsia="Times New Roman"/>
          <w:color w:val="000000"/>
          <w:sz w:val="20"/>
          <w:szCs w:val="20"/>
        </w:rPr>
        <w:t>The Dodd-Frank Act requires the CFTC and the federal banking regulators to implement the Dodd-Frank Act’s provisions through rulemaking, including rules regarding mandatory clearing, trade execution and margin requirements. We expect to qualify for and rel</w:t>
      </w:r>
      <w:r>
        <w:rPr>
          <w:rFonts w:eastAsia="Times New Roman"/>
          <w:color w:val="000000"/>
          <w:sz w:val="20"/>
          <w:szCs w:val="20"/>
        </w:rPr>
        <w:t>y upon an exception from mandatory clearing and trade execution requirements for swaps entered into by commercial end-users to hedge commercial risks. In addition to relief from the clearing mandate, we also expect to qualify for an exception for non-finan</w:t>
      </w:r>
      <w:r>
        <w:rPr>
          <w:rFonts w:eastAsia="Times New Roman"/>
          <w:color w:val="000000"/>
          <w:sz w:val="20"/>
          <w:szCs w:val="20"/>
        </w:rPr>
        <w:t>cial end-users from the margin requirements on uncleared swaps. If we are not able to do so and have to post margin as to our uncleared swaps in the future, our costs of entering into and maintaining swaps would be increased.</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While most of the CFTC’s rul</w:t>
      </w:r>
      <w:r>
        <w:rPr>
          <w:rFonts w:eastAsia="Times New Roman"/>
          <w:color w:val="000000"/>
          <w:sz w:val="20"/>
          <w:szCs w:val="20"/>
        </w:rPr>
        <w:t xml:space="preserve">es and regulations under the Dodd-Frank Act have been finalized, some additional rules and regulations have yet to be adopted. It is possible that additional rules and regulations under the Dodd-Frank Act (including position limits as described below) may </w:t>
      </w:r>
      <w:r>
        <w:rPr>
          <w:rFonts w:eastAsia="Times New Roman"/>
          <w:color w:val="000000"/>
          <w:sz w:val="20"/>
          <w:szCs w:val="20"/>
        </w:rPr>
        <w:t>increase our cost of using derivative instruments to hedge risks associated with our business or may reduce the availability of such instruments to protect against risks we encounter. While costs imposed directly on us due to regulatory requirements for de</w:t>
      </w:r>
      <w:r>
        <w:rPr>
          <w:rFonts w:eastAsia="Times New Roman"/>
          <w:color w:val="000000"/>
          <w:sz w:val="20"/>
          <w:szCs w:val="20"/>
        </w:rPr>
        <w:t>rivatives under the Dodd-Frank Act, such as reporting, recordkeeping and electing the end-user exception from mandatory clearing, are relatively minor, costs imposed upon our counterparties may increase the cost of our doing business in the derivatives mar</w:t>
      </w:r>
      <w:r>
        <w:rPr>
          <w:rFonts w:eastAsia="Times New Roman"/>
          <w:color w:val="000000"/>
          <w:sz w:val="20"/>
          <w:szCs w:val="20"/>
        </w:rPr>
        <w:t xml:space="preserve">kets to the extent such costs are passed on to us.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If we become subject to position limits, our ability to hedge risks would be further limited and we would be subject to additional compliance and reporting obligations. The CFTC has re-proposed position</w:t>
      </w:r>
      <w:r>
        <w:rPr>
          <w:rFonts w:eastAsia="Times New Roman"/>
          <w:color w:val="000000"/>
          <w:sz w:val="20"/>
          <w:szCs w:val="20"/>
        </w:rPr>
        <w:t xml:space="preserve"> limits for certain futures and option contracts in the major energy markets and for swaps that are their economic equivalents, although certain bona fide hedging transactions would be exempt from these position limits. The CFTC has also finalized a rule t</w:t>
      </w:r>
      <w:r>
        <w:rPr>
          <w:rFonts w:eastAsia="Times New Roman"/>
          <w:color w:val="000000"/>
          <w:sz w:val="20"/>
          <w:szCs w:val="20"/>
        </w:rPr>
        <w:t xml:space="preserve">hat requires market participants to aggregate their positions with those of certain other persons under common ownership or control for purposes of determining compliance with applicable position limits. If adopted, the revised position limit rule and its </w:t>
      </w:r>
      <w:r>
        <w:rPr>
          <w:rFonts w:eastAsia="Times New Roman"/>
          <w:color w:val="000000"/>
          <w:sz w:val="20"/>
          <w:szCs w:val="20"/>
        </w:rPr>
        <w:t>finalized companion rule on aggregation may adversely impact our ability to hedge exposure to price fluctuation of certain commodities. In addition to the CFTC federal position limit regime, designated contract markets also have established position limits</w:t>
      </w:r>
      <w:r>
        <w:rPr>
          <w:rFonts w:eastAsia="Times New Roman"/>
          <w:color w:val="000000"/>
          <w:sz w:val="20"/>
          <w:szCs w:val="20"/>
        </w:rPr>
        <w:t xml:space="preserve"> and accountability regimes. We may have to modify trading decisions or liquidate positions to avoid exceeding such limits or at the direction of the relevant exchange to comply with accountability levels. Further, any such position limit regime, whether i</w:t>
      </w:r>
      <w:r>
        <w:rPr>
          <w:rFonts w:eastAsia="Times New Roman"/>
          <w:color w:val="000000"/>
          <w:sz w:val="20"/>
          <w:szCs w:val="20"/>
        </w:rPr>
        <w:t xml:space="preserve">mposed at the federal level or by a designated contract market, may impose added operating costs to monitor compliance with such position limit levels, addressing accountability level concerns and maintaining appropriate exemptions, if applicable.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E</w:t>
      </w:r>
      <w:r>
        <w:rPr>
          <w:rFonts w:eastAsia="Times New Roman"/>
          <w:color w:val="000000"/>
          <w:sz w:val="20"/>
          <w:szCs w:val="20"/>
        </w:rPr>
        <w:t xml:space="preserve">MIR may result in increased costs for over-the-counter derivative counterparties trading in the EU and may also lead to an increase in the costs of, and demand for, the liquid collateral that the EMIR requires central counterparties to accept. Although we </w:t>
      </w:r>
      <w:r>
        <w:rPr>
          <w:rFonts w:eastAsia="Times New Roman"/>
          <w:color w:val="000000"/>
          <w:sz w:val="20"/>
          <w:szCs w:val="20"/>
        </w:rPr>
        <w:t>expect to qualify as a non-financial counterparty under the EMIR, and thus not be required to post margin under the EMIR, we may still be subject to increased regulatory requirements, including recordkeeping, marking to market, timely confirmations, deriva</w:t>
      </w:r>
      <w:r>
        <w:rPr>
          <w:rFonts w:eastAsia="Times New Roman"/>
          <w:color w:val="000000"/>
          <w:sz w:val="20"/>
          <w:szCs w:val="20"/>
        </w:rPr>
        <w:t xml:space="preserve">tives reporting, portfolio reconciliation and dispute resolution procedures. Provisions under the EMIR could significantly increase the cost of derivatives contracts, materially alter the terms of derivatives contracts and reduce the </w:t>
      </w:r>
    </w:p>
    <w:p w:rsidR="00000000" w:rsidRDefault="00DF5BC2">
      <w:pPr>
        <w:jc w:val="center"/>
        <w:divId w:val="2136827648"/>
        <w:rPr>
          <w:rFonts w:eastAsia="Times New Roman"/>
        </w:rPr>
      </w:pPr>
      <w:r>
        <w:rPr>
          <w:rFonts w:eastAsia="Times New Roman"/>
          <w:color w:val="000000"/>
          <w:sz w:val="20"/>
          <w:szCs w:val="20"/>
        </w:rPr>
        <w:t>44</w:t>
      </w:r>
    </w:p>
    <w:p w:rsidR="00000000" w:rsidRDefault="00DF5BC2">
      <w:pPr>
        <w:rPr>
          <w:rFonts w:eastAsia="Times New Roman"/>
        </w:rPr>
      </w:pPr>
      <w:r>
        <w:rPr>
          <w:rFonts w:eastAsia="Times New Roman"/>
        </w:rPr>
        <w:pict>
          <v:rect id="_x0000_i1070" style="width:0;height:1.5pt" o:hralign="center" o:hrstd="t" o:hr="t" fillcolor="#a0a0a0" stroked="f"/>
        </w:pict>
      </w:r>
    </w:p>
    <w:p w:rsidR="00000000" w:rsidRDefault="00DF5BC2">
      <w:pPr>
        <w:divId w:val="1657025819"/>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availability of derivatives to protect against risks that we encounter. The increased trading costs and collateral costs may have an adverse impact on our busines</w:t>
      </w:r>
      <w:r>
        <w:rPr>
          <w:rFonts w:eastAsia="Times New Roman"/>
          <w:color w:val="000000"/>
          <w:sz w:val="20"/>
          <w:szCs w:val="20"/>
        </w:rPr>
        <w:t>s, contracts, financial condition, operating results, cash flow, liquidity and prospects.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Accordingly, our business and operating results may be adversely affected if we are forced to reduce or modify our current use of derivatives as a result of the Dod</w:t>
      </w:r>
      <w:r>
        <w:rPr>
          <w:rFonts w:eastAsia="Times New Roman"/>
          <w:color w:val="000000"/>
          <w:sz w:val="20"/>
          <w:szCs w:val="20"/>
        </w:rPr>
        <w:t>d-Frank Act and the rules and regulations promulgated thereunder as a result of the EMIR and other similarly applicable rules and regulations.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General Risks that May Impact Our Business and Our Shareholders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The COVID-19 pandemic and the spread of variant strains could adversely impact our business, financial condition and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COVID-19 pandemic, including the spread of variant strains, has resulted in widespread impacts on the global e</w:t>
      </w:r>
      <w:r>
        <w:rPr>
          <w:rFonts w:eastAsia="Times New Roman"/>
          <w:color w:val="000000"/>
          <w:sz w:val="20"/>
          <w:szCs w:val="20"/>
        </w:rPr>
        <w:t>conomy and on our employees, customers, third-party business partners and other stakeholders. There is considerable uncertainty regarding the extent to which COVID-19 and variant strains will continue to spread and the extent and duration of domestic and g</w:t>
      </w:r>
      <w:r>
        <w:rPr>
          <w:rFonts w:eastAsia="Times New Roman"/>
          <w:color w:val="000000"/>
          <w:sz w:val="20"/>
          <w:szCs w:val="20"/>
        </w:rPr>
        <w:t>lobal measures designed to contain the spread, including travel bans and restrictions, quarantines, shelter-in-place orders, vaccination mandates and business and government shutdowns. These restrictions may, among other things:</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•negatively impact the fi</w:t>
      </w:r>
      <w:r>
        <w:rPr>
          <w:rFonts w:eastAsia="Times New Roman"/>
          <w:color w:val="000000"/>
          <w:sz w:val="20"/>
          <w:szCs w:val="20"/>
        </w:rPr>
        <w:t>nancial condition of our customers and their ability to pay for our products and services;</w:t>
      </w:r>
    </w:p>
    <w:p w:rsidR="00000000" w:rsidRDefault="00DF5BC2">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reduce energy consumption by certain of our customers, which would affect demand for our products; </w:t>
      </w:r>
    </w:p>
    <w:p w:rsidR="00000000" w:rsidRDefault="00DF5BC2">
      <w:pPr>
        <w:ind w:hanging="360"/>
        <w:jc w:val="both"/>
        <w:rPr>
          <w:rFonts w:eastAsia="Times New Roman"/>
        </w:rPr>
      </w:pPr>
      <w:r>
        <w:rPr>
          <w:rFonts w:eastAsia="Times New Roman"/>
          <w:color w:val="000000"/>
          <w:sz w:val="20"/>
          <w:szCs w:val="20"/>
        </w:rPr>
        <w:t>•disrupt or delay progress in the development and completion of our energy infrastructure projects;</w:t>
      </w:r>
    </w:p>
    <w:p w:rsidR="00000000" w:rsidRDefault="00DF5BC2">
      <w:pPr>
        <w:ind w:hanging="360"/>
        <w:jc w:val="both"/>
        <w:rPr>
          <w:rFonts w:eastAsia="Times New Roman"/>
        </w:rPr>
      </w:pPr>
      <w:r>
        <w:rPr>
          <w:rFonts w:eastAsia="Times New Roman"/>
          <w:color w:val="000000"/>
          <w:sz w:val="20"/>
          <w:szCs w:val="20"/>
        </w:rPr>
        <w:t>•prolong the time period necessary to perform maintenanc</w:t>
      </w:r>
      <w:r>
        <w:rPr>
          <w:rFonts w:eastAsia="Times New Roman"/>
          <w:color w:val="000000"/>
          <w:sz w:val="20"/>
          <w:szCs w:val="20"/>
        </w:rPr>
        <w:t>e of our infrastructure;</w:t>
      </w:r>
    </w:p>
    <w:p w:rsidR="00000000" w:rsidRDefault="00DF5BC2">
      <w:pPr>
        <w:ind w:hanging="360"/>
        <w:jc w:val="both"/>
        <w:rPr>
          <w:rFonts w:eastAsia="Times New Roman"/>
        </w:rPr>
      </w:pPr>
      <w:r>
        <w:rPr>
          <w:rFonts w:eastAsia="Times New Roman"/>
          <w:color w:val="000000"/>
          <w:sz w:val="20"/>
          <w:szCs w:val="20"/>
        </w:rPr>
        <w:t>•result in operational delays, including delay in the delivery of our products to customers;</w:t>
      </w:r>
    </w:p>
    <w:p w:rsidR="00000000" w:rsidRDefault="00DF5BC2">
      <w:pPr>
        <w:ind w:hanging="360"/>
        <w:jc w:val="both"/>
        <w:rPr>
          <w:rFonts w:eastAsia="Times New Roman"/>
        </w:rPr>
      </w:pPr>
      <w:r>
        <w:rPr>
          <w:rFonts w:eastAsia="Times New Roman"/>
          <w:color w:val="000000"/>
          <w:sz w:val="20"/>
          <w:szCs w:val="20"/>
        </w:rPr>
        <w:t>•result in temporary or permanent shortages in our workforce;</w:t>
      </w:r>
    </w:p>
    <w:p w:rsidR="00000000" w:rsidRDefault="00DF5BC2">
      <w:pPr>
        <w:ind w:hanging="360"/>
        <w:jc w:val="both"/>
        <w:rPr>
          <w:rFonts w:eastAsia="Times New Roman"/>
        </w:rPr>
      </w:pPr>
      <w:r>
        <w:rPr>
          <w:rFonts w:eastAsia="Times New Roman"/>
          <w:color w:val="000000"/>
          <w:sz w:val="20"/>
          <w:szCs w:val="20"/>
        </w:rPr>
        <w:t xml:space="preserve">•result in impairment relating to certain current and long-lived assets; </w:t>
      </w:r>
    </w:p>
    <w:p w:rsidR="00000000" w:rsidRDefault="00DF5BC2">
      <w:pPr>
        <w:ind w:hanging="360"/>
        <w:jc w:val="both"/>
        <w:rPr>
          <w:rFonts w:eastAsia="Times New Roman"/>
        </w:rPr>
      </w:pPr>
      <w:r>
        <w:rPr>
          <w:rFonts w:eastAsia="Times New Roman"/>
          <w:color w:val="000000"/>
          <w:sz w:val="20"/>
          <w:szCs w:val="20"/>
        </w:rPr>
        <w:t>•d</w:t>
      </w:r>
      <w:r>
        <w:rPr>
          <w:rFonts w:eastAsia="Times New Roman"/>
          <w:color w:val="000000"/>
          <w:sz w:val="20"/>
          <w:szCs w:val="20"/>
        </w:rPr>
        <w:t>elay the timeliness of our ability to source goods; and</w:t>
      </w:r>
    </w:p>
    <w:p w:rsidR="00000000" w:rsidRDefault="00DF5BC2">
      <w:pPr>
        <w:ind w:hanging="360"/>
        <w:jc w:val="both"/>
        <w:rPr>
          <w:rFonts w:eastAsia="Times New Roman"/>
        </w:rPr>
      </w:pPr>
      <w:r>
        <w:rPr>
          <w:rFonts w:eastAsia="Times New Roman"/>
          <w:color w:val="000000"/>
          <w:sz w:val="20"/>
          <w:szCs w:val="20"/>
        </w:rPr>
        <w:t>•limit or curtail significantly or entirely the ability of public utility commissions to approve or authorize applications and other requests we may make with respect to our regulated businesses.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Ad</w:t>
      </w:r>
      <w:r>
        <w:rPr>
          <w:rFonts w:eastAsia="Times New Roman"/>
          <w:color w:val="000000"/>
          <w:sz w:val="20"/>
          <w:szCs w:val="20"/>
        </w:rPr>
        <w:t xml:space="preserve">ditionally, while we have modified or restricted certain business and workforce practices (including employee travel, presence at employee work locations, and physical participation in meetings, events, and conferences) to protect the health and safety of </w:t>
      </w:r>
      <w:r>
        <w:rPr>
          <w:rFonts w:eastAsia="Times New Roman"/>
          <w:color w:val="000000"/>
          <w:sz w:val="20"/>
          <w:szCs w:val="20"/>
        </w:rPr>
        <w:t>our workforce, and to conform to government orders, as well as regulatory and public health authority guidance, we depend on our workforce to operate our facilities, deliver our products and provide services to customers. If a large portion of our operatio</w:t>
      </w:r>
      <w:r>
        <w:rPr>
          <w:rFonts w:eastAsia="Times New Roman"/>
          <w:color w:val="000000"/>
          <w:sz w:val="20"/>
          <w:szCs w:val="20"/>
        </w:rPr>
        <w:t>nal workforce were to contract COVID-19 simultaneously, we would rely upon our business continuity plans in an effort to continue operations, but there is no certainty that such measures would be sufficient to mitigate the adverse impact to our operations.</w:t>
      </w:r>
      <w:r>
        <w:rPr>
          <w:rFonts w:eastAsia="Times New Roman"/>
          <w:color w:val="000000"/>
          <w:sz w:val="20"/>
          <w:szCs w:val="20"/>
        </w:rPr>
        <w:t xml:space="preserv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are also monitoring announcements by the Biden Administration requiring that: (i) certain employees working on or in connection with covered federal government contracts or subcontracts become fully vaccinated against COVID-19, with limited exceptio</w:t>
      </w:r>
      <w:r>
        <w:rPr>
          <w:rFonts w:eastAsia="Times New Roman"/>
          <w:color w:val="000000"/>
          <w:sz w:val="20"/>
          <w:szCs w:val="20"/>
        </w:rPr>
        <w:t>ns; and (ii) employers with workforces of more than 100 employees require their employees to either become fully vaccinated for COVID-19 or be subjected to weekly testing. The deadlines for these requirements remain fluid; however, both are currently expec</w:t>
      </w:r>
      <w:r>
        <w:rPr>
          <w:rFonts w:eastAsia="Times New Roman"/>
          <w:color w:val="000000"/>
          <w:sz w:val="20"/>
          <w:szCs w:val="20"/>
        </w:rPr>
        <w:t>ted to be effective in January 2022. Failure to comply with these requirements may result in monetary penalties to the employer for each violation. While we are still assessing the potential impact of the foregoing, including monitoring legal challenges to</w:t>
      </w:r>
      <w:r>
        <w:rPr>
          <w:rFonts w:eastAsia="Times New Roman"/>
          <w:color w:val="000000"/>
          <w:sz w:val="20"/>
          <w:szCs w:val="20"/>
        </w:rPr>
        <w:t xml:space="preserve"> the rules, we may incur monetary costs and/or experience a reduction in our workforce, which may adversely impact our operational continuity, financial condition and/or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Finally, if we seek to raise additional capital, our access t</w:t>
      </w:r>
      <w:r>
        <w:rPr>
          <w:rFonts w:eastAsia="Times New Roman"/>
          <w:color w:val="000000"/>
          <w:sz w:val="20"/>
          <w:szCs w:val="20"/>
        </w:rPr>
        <w:t>o and cost of financing will depend on, among other things, global economic conditions, conditions in the financing and equity markets, the availability of sufficient amounts of financing, our prospects and our credit ratings. Our total available liquidity</w:t>
      </w:r>
      <w:r>
        <w:rPr>
          <w:rFonts w:eastAsia="Times New Roman"/>
          <w:color w:val="000000"/>
          <w:sz w:val="20"/>
          <w:szCs w:val="20"/>
        </w:rPr>
        <w:t xml:space="preserve"> balance as of September 30, 2021 totaled approximately $2.2 billion. Nonetheless, if our credit ratings were to be downgraded, or general market conditions were to ascribe higher risk to our rating levels, our industry, or us, our access to capital and th</w:t>
      </w:r>
      <w:r>
        <w:rPr>
          <w:rFonts w:eastAsia="Times New Roman"/>
          <w:color w:val="000000"/>
          <w:sz w:val="20"/>
          <w:szCs w:val="20"/>
        </w:rPr>
        <w:t>e cost of any future debt financing could be further negatively impacted. In addition, the terms of future debt agreements could include more restrictive covenants, or require incremental collateral, which may further restrict our business operations or co</w:t>
      </w:r>
      <w:r>
        <w:rPr>
          <w:rFonts w:eastAsia="Times New Roman"/>
          <w:color w:val="000000"/>
          <w:sz w:val="20"/>
          <w:szCs w:val="20"/>
        </w:rPr>
        <w:t>nflict with covenant restrictions then in effect. As a result, there is no guarantee that financings will be available in the future to fund our obligations, or that they will be available on terms consistent with our expectations.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degree to which CO</w:t>
      </w:r>
      <w:r>
        <w:rPr>
          <w:rFonts w:eastAsia="Times New Roman"/>
          <w:color w:val="000000"/>
          <w:sz w:val="20"/>
          <w:szCs w:val="20"/>
        </w:rPr>
        <w:t>VID-19 and variant strains may impact our business operations, financial condition, liquidity and results of operations is unknown at this time and will depend on future developments, including the continued spread of the virus and its variants, the severi</w:t>
      </w:r>
      <w:r>
        <w:rPr>
          <w:rFonts w:eastAsia="Times New Roman"/>
          <w:color w:val="000000"/>
          <w:sz w:val="20"/>
          <w:szCs w:val="20"/>
        </w:rPr>
        <w:t xml:space="preserve">ty of the disease, the duration of the pandemic, actions prescribed or ordered by governmental </w:t>
      </w:r>
    </w:p>
    <w:p w:rsidR="00000000" w:rsidRDefault="00DF5BC2">
      <w:pPr>
        <w:jc w:val="center"/>
        <w:divId w:val="343828654"/>
        <w:rPr>
          <w:rFonts w:eastAsia="Times New Roman"/>
        </w:rPr>
      </w:pPr>
      <w:r>
        <w:rPr>
          <w:rFonts w:eastAsia="Times New Roman"/>
          <w:color w:val="000000"/>
          <w:sz w:val="20"/>
          <w:szCs w:val="20"/>
        </w:rPr>
        <w:t>45</w:t>
      </w:r>
    </w:p>
    <w:p w:rsidR="00000000" w:rsidRDefault="00DF5BC2">
      <w:pPr>
        <w:rPr>
          <w:rFonts w:eastAsia="Times New Roman"/>
        </w:rPr>
      </w:pPr>
      <w:r>
        <w:rPr>
          <w:rFonts w:eastAsia="Times New Roman"/>
        </w:rPr>
        <w:pict>
          <v:rect id="_x0000_i1071" style="width:0;height:1.5pt" o:hralign="center" o:hrstd="t" o:hr="t" fillcolor="#a0a0a0" stroked="f"/>
        </w:pict>
      </w:r>
    </w:p>
    <w:p w:rsidR="00000000" w:rsidRDefault="00DF5BC2">
      <w:pPr>
        <w:divId w:val="1671177641"/>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authorities, public health authority guidanc</w:t>
      </w:r>
      <w:r>
        <w:rPr>
          <w:rFonts w:eastAsia="Times New Roman"/>
          <w:color w:val="000000"/>
          <w:sz w:val="20"/>
          <w:szCs w:val="20"/>
        </w:rPr>
        <w:t>e, and when and to what extent economic and operating conditions can return to pre-pandemic levels.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We may not be able to collect on the accounts of our customers.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depend on the viability of our customers for collections of accounts receivable and n</w:t>
      </w:r>
      <w:r>
        <w:rPr>
          <w:rFonts w:eastAsia="Times New Roman"/>
          <w:color w:val="000000"/>
          <w:sz w:val="20"/>
          <w:szCs w:val="20"/>
        </w:rPr>
        <w:t xml:space="preserve">otes receivable. Moreover, our businesses serve numerous retail customers, and as we grow our businesses organically and through acquisitions, our retail customer base is expected to expand. There can be no assurance that our customers will not experience </w:t>
      </w:r>
      <w:r>
        <w:rPr>
          <w:rFonts w:eastAsia="Times New Roman"/>
          <w:color w:val="000000"/>
          <w:sz w:val="20"/>
          <w:szCs w:val="20"/>
        </w:rPr>
        <w:t>financial difficulties in the future or that we will be able to collect all of our outstanding accounts receivable or notes receivable. Any such nonpayment by our customers could adversely affect our business.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We are subject to operating and litigation r</w:t>
      </w:r>
      <w:r>
        <w:rPr>
          <w:rFonts w:eastAsia="Times New Roman"/>
          <w:b/>
          <w:bCs/>
          <w:i/>
          <w:iCs/>
          <w:color w:val="000000"/>
          <w:sz w:val="20"/>
          <w:szCs w:val="20"/>
        </w:rPr>
        <w:t>isks that may not be covered by</w:t>
      </w:r>
      <w:r>
        <w:rPr>
          <w:rFonts w:eastAsia="Times New Roman"/>
          <w:color w:val="000000"/>
          <w:sz w:val="20"/>
          <w:szCs w:val="20"/>
        </w:rPr>
        <w:t xml:space="preserve"> </w:t>
      </w:r>
      <w:r>
        <w:rPr>
          <w:rFonts w:eastAsia="Times New Roman"/>
          <w:b/>
          <w:bCs/>
          <w:i/>
          <w:iCs/>
          <w:color w:val="000000"/>
          <w:sz w:val="20"/>
          <w:szCs w:val="20"/>
        </w:rPr>
        <w:t>insurance.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business operations are subject to all of the operating hazards and risks normally incidental to the handling, storage and distribution of combustible products, such as LPG and natural gas, and the generation of electricity. These risks could result in</w:t>
      </w:r>
      <w:r>
        <w:rPr>
          <w:rFonts w:eastAsia="Times New Roman"/>
          <w:color w:val="000000"/>
          <w:sz w:val="20"/>
          <w:szCs w:val="20"/>
        </w:rPr>
        <w:t xml:space="preserve"> substantial losses due to personal injury and/or loss of life, and severe damage to and destruction of property and equipment arising from explosions and other catastrophic events, including acts of terrorism. As a result of these and other incidents, we </w:t>
      </w:r>
      <w:r>
        <w:rPr>
          <w:rFonts w:eastAsia="Times New Roman"/>
          <w:color w:val="000000"/>
          <w:sz w:val="20"/>
          <w:szCs w:val="20"/>
        </w:rPr>
        <w:t>are sometimes a defendant in legal proceedings and litigation arising in the ordinary course of business, including regulatory investigations, claims, lawsuits and other proceedings. Additionally, environmental contamination or other incidents resulting in</w:t>
      </w:r>
      <w:r>
        <w:rPr>
          <w:rFonts w:eastAsia="Times New Roman"/>
          <w:color w:val="000000"/>
          <w:sz w:val="20"/>
          <w:szCs w:val="20"/>
        </w:rPr>
        <w:t xml:space="preserve"> an environmental impact could result in future legal or regulatory proceedings. There can be no assurance that our insurance coverage will be adequate to protect us from all material expenses related to pending and future claims or that such levels of ins</w:t>
      </w:r>
      <w:r>
        <w:rPr>
          <w:rFonts w:eastAsia="Times New Roman"/>
          <w:color w:val="000000"/>
          <w:sz w:val="20"/>
          <w:szCs w:val="20"/>
        </w:rPr>
        <w:t>urance would be available in the future at economical prices. Moreover, defense and settlement costs may be substantial, even with respect to claims and investigations that have no merit. If we cannot resolve these matters favorably, our business, financia</w:t>
      </w:r>
      <w:r>
        <w:rPr>
          <w:rFonts w:eastAsia="Times New Roman"/>
          <w:color w:val="000000"/>
          <w:sz w:val="20"/>
          <w:szCs w:val="20"/>
        </w:rPr>
        <w:t xml:space="preserve">l condition, results of operations and future prospects may be materially adversely affected.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The risk of natural disasters, pandemics and catastrophic events, including terrorism, may adversely affect the economy and the price and availability of LPG, </w:t>
      </w:r>
      <w:r>
        <w:rPr>
          <w:rFonts w:eastAsia="Times New Roman"/>
          <w:b/>
          <w:bCs/>
          <w:i/>
          <w:iCs/>
          <w:color w:val="000000"/>
          <w:sz w:val="20"/>
          <w:szCs w:val="20"/>
        </w:rPr>
        <w:t xml:space="preserve">other refined fuels and natural gas.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Natural disasters, pandemics and catastrophic events, such as fires, earthquakes, explosions, floods, tornadoes, hurricanes, terrorist attacks, political unrest and other similar occurrences, may adversely impact the</w:t>
      </w:r>
      <w:r>
        <w:rPr>
          <w:rFonts w:eastAsia="Times New Roman"/>
          <w:color w:val="000000"/>
          <w:sz w:val="20"/>
          <w:szCs w:val="20"/>
        </w:rPr>
        <w:t xml:space="preserve"> demand for, price and availability of LPG (including propane), other refined fuels and natural gas, which could adversely impact our financial condition and results of operations, our ability to raise capital and our future growth. The impact that the for</w:t>
      </w:r>
      <w:r>
        <w:rPr>
          <w:rFonts w:eastAsia="Times New Roman"/>
          <w:color w:val="000000"/>
          <w:sz w:val="20"/>
          <w:szCs w:val="20"/>
        </w:rPr>
        <w:t>egoing may have on our industries in general, and on us in particular, is not known at this time. A natural disaster, pandemic or an act of terror could result in disruptions of crude oil or natural gas supplies and markets (the sources of LPG), cause pric</w:t>
      </w:r>
      <w:r>
        <w:rPr>
          <w:rFonts w:eastAsia="Times New Roman"/>
          <w:color w:val="000000"/>
          <w:sz w:val="20"/>
          <w:szCs w:val="20"/>
        </w:rPr>
        <w:t>e volatility in the cost of LPG, fuel oil and natural gas, and our infrastructure facilities could be directly or indirectly impacted. Additionally, if our means of supply transportation, such as rail, truck or pipeline, are delayed or temporarily unavaila</w:t>
      </w:r>
      <w:r>
        <w:rPr>
          <w:rFonts w:eastAsia="Times New Roman"/>
          <w:color w:val="000000"/>
          <w:sz w:val="20"/>
          <w:szCs w:val="20"/>
        </w:rPr>
        <w:t>ble due to a natural disaster, pandemic or terrorist activity, we may be unable to transport LPG and other refined fuels in a timely manner or at all. A lower level of economic activity could result in a decline in energy consumption, which could adversely</w:t>
      </w:r>
      <w:r>
        <w:rPr>
          <w:rFonts w:eastAsia="Times New Roman"/>
          <w:color w:val="000000"/>
          <w:sz w:val="20"/>
          <w:szCs w:val="20"/>
        </w:rPr>
        <w:t xml:space="preserve"> affect our revenues or restrict our future growth. Instability in the financial markets as a result of a natural disaster, pandemic or terrorism could also affect our ability to raise capital. We have opted to purchase insurance coverage for natural disas</w:t>
      </w:r>
      <w:r>
        <w:rPr>
          <w:rFonts w:eastAsia="Times New Roman"/>
          <w:color w:val="000000"/>
          <w:sz w:val="20"/>
          <w:szCs w:val="20"/>
        </w:rPr>
        <w:t>ters and terrorist acts within our property and casualty insurance programs, but we can give no assurance that our insurance coverage would be adequate to fully compensate us for any losses to our business or property resulting from natural disasters or te</w:t>
      </w:r>
      <w:r>
        <w:rPr>
          <w:rFonts w:eastAsia="Times New Roman"/>
          <w:color w:val="000000"/>
          <w:sz w:val="20"/>
          <w:szCs w:val="20"/>
        </w:rPr>
        <w:t>rrorist acts.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Our holding company structure could limit our ability to pay dividends or</w:t>
      </w:r>
      <w:r>
        <w:rPr>
          <w:rFonts w:eastAsia="Times New Roman"/>
          <w:color w:val="000000"/>
          <w:sz w:val="20"/>
          <w:szCs w:val="20"/>
        </w:rPr>
        <w:t xml:space="preserve"> </w:t>
      </w:r>
      <w:r>
        <w:rPr>
          <w:rFonts w:eastAsia="Times New Roman"/>
          <w:b/>
          <w:bCs/>
          <w:i/>
          <w:iCs/>
          <w:color w:val="000000"/>
          <w:sz w:val="20"/>
          <w:szCs w:val="20"/>
        </w:rPr>
        <w:t>service debt.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are a holding company whose material assets are the stock of our subsidiaries. Our ability to pay dividends on our common stock and to pay principa</w:t>
      </w:r>
      <w:r>
        <w:rPr>
          <w:rFonts w:eastAsia="Times New Roman"/>
          <w:color w:val="000000"/>
          <w:sz w:val="20"/>
          <w:szCs w:val="20"/>
        </w:rPr>
        <w:t>l and accrued interest on our debt, if any, depends on the payment of dividends to us by our principal subsidiaries, AmeriGas, Inc., UGI Utilities, Inc., Mountaintop Energy Holdings, LLC and Enterprises (including Energy Services and UGI International’s su</w:t>
      </w:r>
      <w:r>
        <w:rPr>
          <w:rFonts w:eastAsia="Times New Roman"/>
          <w:color w:val="000000"/>
          <w:sz w:val="20"/>
          <w:szCs w:val="20"/>
        </w:rPr>
        <w:t>bsidiaries in Europe, which may be subject to complexities regarding the repatriation of funds to the U.S.). Payments to us by those subsidiaries, in turn, depend upon their consolidated results of operations and cash flows. The operations of our subsidiar</w:t>
      </w:r>
      <w:r>
        <w:rPr>
          <w:rFonts w:eastAsia="Times New Roman"/>
          <w:color w:val="000000"/>
          <w:sz w:val="20"/>
          <w:szCs w:val="20"/>
        </w:rPr>
        <w:t>ies are affected by conditions beyond our control, including weather, regulations, competition in national and international markets we serve, the costs and availability of propane, butane, natural gas, electricity, and other energy sources and capital mar</w:t>
      </w:r>
      <w:r>
        <w:rPr>
          <w:rFonts w:eastAsia="Times New Roman"/>
          <w:color w:val="000000"/>
          <w:sz w:val="20"/>
          <w:szCs w:val="20"/>
        </w:rPr>
        <w:t>ket conditions. The ability of our subsidiaries to make payments to us is also affected by the level of indebtedness of our subsidiaries, which is substantial, and the restrictions on payments to us imposed under the terms of such indebtedness.</w:t>
      </w:r>
    </w:p>
    <w:p w:rsidR="00000000" w:rsidRDefault="00DF5BC2">
      <w:pPr>
        <w:jc w:val="both"/>
        <w:rPr>
          <w:rFonts w:eastAsia="Times New Roman"/>
        </w:rPr>
      </w:pPr>
    </w:p>
    <w:p w:rsidR="00000000" w:rsidRDefault="00DF5BC2">
      <w:pPr>
        <w:jc w:val="both"/>
        <w:rPr>
          <w:rFonts w:eastAsia="Times New Roman"/>
        </w:rPr>
      </w:pPr>
    </w:p>
    <w:p w:rsidR="00000000" w:rsidRDefault="00DF5BC2">
      <w:pPr>
        <w:jc w:val="both"/>
        <w:rPr>
          <w:rFonts w:eastAsia="Times New Roman"/>
        </w:rPr>
      </w:pPr>
    </w:p>
    <w:p w:rsidR="00000000" w:rsidRDefault="00DF5BC2">
      <w:pPr>
        <w:jc w:val="center"/>
        <w:divId w:val="324744233"/>
        <w:rPr>
          <w:rFonts w:eastAsia="Times New Roman"/>
        </w:rPr>
      </w:pPr>
      <w:r>
        <w:rPr>
          <w:rFonts w:eastAsia="Times New Roman"/>
          <w:color w:val="000000"/>
          <w:sz w:val="20"/>
          <w:szCs w:val="20"/>
        </w:rPr>
        <w:t>46</w:t>
      </w:r>
    </w:p>
    <w:p w:rsidR="00000000" w:rsidRDefault="00DF5BC2">
      <w:pPr>
        <w:rPr>
          <w:rFonts w:eastAsia="Times New Roman"/>
        </w:rPr>
      </w:pPr>
      <w:r>
        <w:rPr>
          <w:rFonts w:eastAsia="Times New Roman"/>
        </w:rPr>
        <w:pict>
          <v:rect id="_x0000_i1072" style="width:0;height:1.5pt" o:hralign="center" o:hrstd="t" o:hr="t" fillcolor="#a0a0a0" stroked="f"/>
        </w:pict>
      </w:r>
    </w:p>
    <w:p w:rsidR="00000000" w:rsidRDefault="00DF5BC2">
      <w:pPr>
        <w:divId w:val="46393353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i/>
          <w:iCs/>
          <w:color w:val="000000"/>
          <w:sz w:val="20"/>
          <w:szCs w:val="20"/>
        </w:rPr>
        <w:t>Volatility in credit and capital markets may restrict our ability to grow,</w:t>
      </w:r>
      <w:r>
        <w:rPr>
          <w:rFonts w:eastAsia="Times New Roman"/>
          <w:color w:val="000000"/>
          <w:sz w:val="20"/>
          <w:szCs w:val="20"/>
        </w:rPr>
        <w:t xml:space="preserve"> </w:t>
      </w:r>
      <w:r>
        <w:rPr>
          <w:rFonts w:eastAsia="Times New Roman"/>
          <w:b/>
          <w:bCs/>
          <w:i/>
          <w:iCs/>
          <w:color w:val="000000"/>
          <w:sz w:val="20"/>
          <w:szCs w:val="20"/>
        </w:rPr>
        <w:t>increase the likelihood of defaults by our customers and counterparties and</w:t>
      </w:r>
      <w:r>
        <w:rPr>
          <w:rFonts w:eastAsia="Times New Roman"/>
          <w:color w:val="000000"/>
          <w:sz w:val="20"/>
          <w:szCs w:val="20"/>
        </w:rPr>
        <w:t xml:space="preserve"> </w:t>
      </w:r>
      <w:r>
        <w:rPr>
          <w:rFonts w:eastAsia="Times New Roman"/>
          <w:b/>
          <w:bCs/>
          <w:i/>
          <w:iCs/>
          <w:color w:val="000000"/>
          <w:sz w:val="20"/>
          <w:szCs w:val="20"/>
        </w:rPr>
        <w:t>adversely affect our operating results.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Volatility in credit and capital markets may create additional </w:t>
      </w:r>
      <w:r>
        <w:rPr>
          <w:rFonts w:eastAsia="Times New Roman"/>
          <w:color w:val="000000"/>
          <w:sz w:val="20"/>
          <w:szCs w:val="20"/>
        </w:rPr>
        <w:t>risks to our businesses in the future. We are exposed to financial market risk (including refinancing risk) resulting from, among other things, changes in interest rates and conditions in the credit and capital markets. Adverse developments in the credit m</w:t>
      </w:r>
      <w:r>
        <w:rPr>
          <w:rFonts w:eastAsia="Times New Roman"/>
          <w:color w:val="000000"/>
          <w:sz w:val="20"/>
          <w:szCs w:val="20"/>
        </w:rPr>
        <w:t>arkets may increase our possible exposure to the liquidity, default and credit risks of our suppliers and vendors, counterparties associated with derivative financial instruments and our customers. Although we believe that current financial market conditio</w:t>
      </w:r>
      <w:r>
        <w:rPr>
          <w:rFonts w:eastAsia="Times New Roman"/>
          <w:color w:val="000000"/>
          <w:sz w:val="20"/>
          <w:szCs w:val="20"/>
        </w:rPr>
        <w:t>ns, if they were to continue for the foreseeable future, will not have a significant impact on our ability to fund our existing operations, less favorable market conditions could restrict our ability to grow through acquisitions, limit the scope of major c</w:t>
      </w:r>
      <w:r>
        <w:rPr>
          <w:rFonts w:eastAsia="Times New Roman"/>
          <w:color w:val="000000"/>
          <w:sz w:val="20"/>
          <w:szCs w:val="20"/>
        </w:rPr>
        <w:t>apital projects if access to credit and capital markets is limited, or adversely affect our operating results.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We depend on our intellectual property and failure to protect that intellectual property could adversely affect us.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seek trademark protect</w:t>
      </w:r>
      <w:r>
        <w:rPr>
          <w:rFonts w:eastAsia="Times New Roman"/>
          <w:color w:val="000000"/>
          <w:sz w:val="20"/>
          <w:szCs w:val="20"/>
        </w:rPr>
        <w:t>ion for our brands in each of our businesses, and we invest significant resources in developing our business brands. Failure to maintain our trademarks and brands could adversely affect our customer-facing businesses and our operational results.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Declines</w:t>
      </w:r>
      <w:r>
        <w:rPr>
          <w:rFonts w:eastAsia="Times New Roman"/>
          <w:b/>
          <w:bCs/>
          <w:i/>
          <w:iCs/>
          <w:color w:val="000000"/>
          <w:sz w:val="20"/>
          <w:szCs w:val="20"/>
        </w:rPr>
        <w:t xml:space="preserve"> in the stock market and a low interest</w:t>
      </w:r>
      <w:r>
        <w:rPr>
          <w:rFonts w:eastAsia="Times New Roman"/>
          <w:color w:val="000000"/>
          <w:sz w:val="20"/>
          <w:szCs w:val="20"/>
        </w:rPr>
        <w:t xml:space="preserve"> </w:t>
      </w:r>
      <w:r>
        <w:rPr>
          <w:rFonts w:eastAsia="Times New Roman"/>
          <w:b/>
          <w:bCs/>
          <w:i/>
          <w:iCs/>
          <w:color w:val="000000"/>
          <w:sz w:val="20"/>
          <w:szCs w:val="20"/>
        </w:rPr>
        <w:t>rate environment may negatively impact our pension liability.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Declines in the stock market and a low interest rate environment historically have resulted in a significant impact on our pension liability and funded </w:t>
      </w:r>
      <w:r>
        <w:rPr>
          <w:rFonts w:eastAsia="Times New Roman"/>
          <w:color w:val="000000"/>
          <w:sz w:val="20"/>
          <w:szCs w:val="20"/>
        </w:rPr>
        <w:t xml:space="preserve">status. Declines in the stock or bond market and valuation of stocks or bonds, combined with low interest rates, could further impact our pension liability and funded status and increase the amount of required contributions to our pension plans.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Unless </w:t>
      </w:r>
      <w:r>
        <w:rPr>
          <w:rFonts w:eastAsia="Times New Roman"/>
          <w:b/>
          <w:bCs/>
          <w:i/>
          <w:iCs/>
          <w:color w:val="000000"/>
          <w:sz w:val="20"/>
          <w:szCs w:val="20"/>
        </w:rPr>
        <w:t xml:space="preserve">we otherwise consent in writing, our Amended and Restated Bylaws designate a state court located in Montgomery County, Pennsylvania or, if no state court located within such county has jurisdiction over such action or proceeding, the federal United States </w:t>
      </w:r>
      <w:r>
        <w:rPr>
          <w:rFonts w:eastAsia="Times New Roman"/>
          <w:b/>
          <w:bCs/>
          <w:i/>
          <w:iCs/>
          <w:color w:val="000000"/>
          <w:sz w:val="20"/>
          <w:szCs w:val="20"/>
        </w:rPr>
        <w:t>District Court for the Eastern District of Pennsylvania, as the sole and exclusive forum for certain types of actions and proceedings that may be initiated by our shareholders, which could discourage lawsuits against us and our directors and officers.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Amended and Restated Bylaws provide that, unless we otherwise consent in writing, a state court located in Montgomery County, Pennsylvania or, if no state court located within such county has jurisdiction over such action or proceeding, the federal Uni</w:t>
      </w:r>
      <w:r>
        <w:rPr>
          <w:rFonts w:eastAsia="Times New Roman"/>
          <w:color w:val="000000"/>
          <w:sz w:val="20"/>
          <w:szCs w:val="20"/>
        </w:rPr>
        <w:t>ted States District Court for the Eastern District of Pennsylvania, as the sole and exclusive forum for: (a) any derivative action or proceeding brought on behalf of us; (b) any action or proceeding asserting a claim of breach of duty owed to us or our sha</w:t>
      </w:r>
      <w:r>
        <w:rPr>
          <w:rFonts w:eastAsia="Times New Roman"/>
          <w:color w:val="000000"/>
          <w:sz w:val="20"/>
          <w:szCs w:val="20"/>
        </w:rPr>
        <w:t>reholders by any director, officer, or other employee of ours; (c) any action or proceeding asserting a claim against us or against any of our directors, officers or other employees arising pursuant to, or involving any interpretation or enforcement of, an</w:t>
      </w:r>
      <w:r>
        <w:rPr>
          <w:rFonts w:eastAsia="Times New Roman"/>
          <w:color w:val="000000"/>
          <w:sz w:val="20"/>
          <w:szCs w:val="20"/>
        </w:rPr>
        <w:t>y provision of the Pennsylvania Associations Code, Pennsylvania Business Corporation Law of 1988, or our Amended and Restated Articles of Incorporation or Amended and Restated Bylaws; and (d) any action or proceeding asserting a claim peculiar to the relat</w:t>
      </w:r>
      <w:r>
        <w:rPr>
          <w:rFonts w:eastAsia="Times New Roman"/>
          <w:color w:val="000000"/>
          <w:sz w:val="20"/>
          <w:szCs w:val="20"/>
        </w:rPr>
        <w:t>ionship between or among us and our officers, directors, and shareholders, or otherwise governed by or involving the internal affairs doctrine. This exclusive forum provision does not apply to suits brought to enforce a duty or liability created by the Exc</w:t>
      </w:r>
      <w:r>
        <w:rPr>
          <w:rFonts w:eastAsia="Times New Roman"/>
          <w:color w:val="000000"/>
          <w:sz w:val="20"/>
          <w:szCs w:val="20"/>
        </w:rPr>
        <w:t xml:space="preserve">hange Act or the Securities Act.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This exclusive forum provision may limit the ability of our shareholders to bring a claim in a judicial forum that such shareholders find favorable for disputes with us or our directors or officers, which may discourage </w:t>
      </w:r>
      <w:r>
        <w:rPr>
          <w:rFonts w:eastAsia="Times New Roman"/>
          <w:color w:val="000000"/>
          <w:sz w:val="20"/>
          <w:szCs w:val="20"/>
        </w:rPr>
        <w:t>such lawsuits against us and our directors and officers. Alternatively, if a court outside of Pennsylvania were to find this exclusive forum provision inapplicable to, or unenforceable in respect of, one or more of the specified types of actions or proceed</w:t>
      </w:r>
      <w:r>
        <w:rPr>
          <w:rFonts w:eastAsia="Times New Roman"/>
          <w:color w:val="000000"/>
          <w:sz w:val="20"/>
          <w:szCs w:val="20"/>
        </w:rPr>
        <w:t>ings described above, we may incur additional costs associated with resolving such matters in other jurisdictions, which could adversely affect our business, results of operations and financial condition.</w:t>
      </w:r>
    </w:p>
    <w:p w:rsidR="00000000" w:rsidRDefault="00DF5BC2">
      <w:pPr>
        <w:jc w:val="both"/>
        <w:rPr>
          <w:rFonts w:eastAsia="Times New Roman"/>
        </w:rPr>
      </w:pPr>
    </w:p>
    <w:p w:rsidR="00000000" w:rsidRDefault="00DF5BC2">
      <w:pPr>
        <w:jc w:val="both"/>
        <w:divId w:val="193200953"/>
        <w:rPr>
          <w:rFonts w:eastAsia="Times New Roman"/>
        </w:rPr>
      </w:pPr>
      <w:r>
        <w:rPr>
          <w:rFonts w:eastAsia="Times New Roman"/>
          <w:b/>
          <w:bCs/>
          <w:color w:val="000000"/>
          <w:sz w:val="20"/>
          <w:szCs w:val="20"/>
        </w:rPr>
        <w:t>ITEM 1B. UNRESOLVED STAFF COMMENTS</w:t>
      </w:r>
    </w:p>
    <w:p w:rsidR="00000000" w:rsidRDefault="00DF5BC2">
      <w:pPr>
        <w:divId w:val="947007852"/>
        <w:rPr>
          <w:rFonts w:eastAsia="Times New Roman"/>
        </w:rPr>
      </w:pPr>
    </w:p>
    <w:p w:rsidR="00000000" w:rsidRDefault="00DF5BC2">
      <w:pPr>
        <w:divId w:val="81145370"/>
        <w:rPr>
          <w:rFonts w:eastAsia="Times New Roman"/>
        </w:rPr>
      </w:pPr>
      <w:r>
        <w:rPr>
          <w:rFonts w:eastAsia="Times New Roman"/>
          <w:color w:val="000000"/>
          <w:sz w:val="20"/>
          <w:szCs w:val="20"/>
        </w:rPr>
        <w:t xml:space="preserve">None. </w:t>
      </w:r>
    </w:p>
    <w:p w:rsidR="00000000" w:rsidRDefault="00DF5BC2">
      <w:pPr>
        <w:jc w:val="both"/>
        <w:divId w:val="602151176"/>
        <w:rPr>
          <w:rFonts w:eastAsia="Times New Roman"/>
        </w:rPr>
      </w:pPr>
      <w:r>
        <w:rPr>
          <w:rFonts w:eastAsia="Times New Roman"/>
          <w:b/>
          <w:bCs/>
          <w:color w:val="000000"/>
          <w:sz w:val="20"/>
          <w:szCs w:val="20"/>
        </w:rPr>
        <w:t xml:space="preserve">ITEM </w:t>
      </w:r>
      <w:r>
        <w:rPr>
          <w:rFonts w:eastAsia="Times New Roman"/>
          <w:b/>
          <w:bCs/>
          <w:color w:val="000000"/>
          <w:sz w:val="20"/>
          <w:szCs w:val="20"/>
        </w:rPr>
        <w:t>3. LEGAL PROCEEDINGS</w:t>
      </w:r>
    </w:p>
    <w:p w:rsidR="00000000" w:rsidRDefault="00DF5BC2">
      <w:pPr>
        <w:divId w:val="1426538956"/>
        <w:rPr>
          <w:rFonts w:eastAsia="Times New Roman"/>
        </w:rPr>
      </w:pPr>
    </w:p>
    <w:p w:rsidR="00000000" w:rsidRDefault="00DF5BC2">
      <w:pPr>
        <w:jc w:val="both"/>
        <w:rPr>
          <w:rFonts w:eastAsia="Times New Roman"/>
        </w:rPr>
      </w:pPr>
      <w:r>
        <w:rPr>
          <w:rFonts w:eastAsia="Times New Roman"/>
          <w:color w:val="000000"/>
          <w:sz w:val="20"/>
          <w:szCs w:val="20"/>
        </w:rPr>
        <w:t>With the exception of those matters set forth in Note 17 to Consolidated Financial Statements included in Item 15 of this Report, no material legal proceedings are pending involving the Company, any of its subsidiaries, or any of the</w:t>
      </w:r>
      <w:r>
        <w:rPr>
          <w:rFonts w:eastAsia="Times New Roman"/>
          <w:color w:val="000000"/>
          <w:sz w:val="20"/>
          <w:szCs w:val="20"/>
        </w:rPr>
        <w:t xml:space="preserve">ir properties, and </w:t>
      </w:r>
    </w:p>
    <w:p w:rsidR="00000000" w:rsidRDefault="00DF5BC2">
      <w:pPr>
        <w:jc w:val="center"/>
        <w:divId w:val="1285041994"/>
        <w:rPr>
          <w:rFonts w:eastAsia="Times New Roman"/>
        </w:rPr>
      </w:pPr>
      <w:r>
        <w:rPr>
          <w:rFonts w:eastAsia="Times New Roman"/>
          <w:color w:val="000000"/>
          <w:sz w:val="20"/>
          <w:szCs w:val="20"/>
        </w:rPr>
        <w:t>47</w:t>
      </w:r>
    </w:p>
    <w:p w:rsidR="00000000" w:rsidRDefault="00DF5BC2">
      <w:pPr>
        <w:rPr>
          <w:rFonts w:eastAsia="Times New Roman"/>
        </w:rPr>
      </w:pPr>
      <w:r>
        <w:rPr>
          <w:rFonts w:eastAsia="Times New Roman"/>
        </w:rPr>
        <w:pict>
          <v:rect id="_x0000_i1073" style="width:0;height:1.5pt" o:hralign="center" o:hrstd="t" o:hr="t" fillcolor="#a0a0a0" stroked="f"/>
        </w:pict>
      </w:r>
    </w:p>
    <w:p w:rsidR="00000000" w:rsidRDefault="00DF5BC2">
      <w:pPr>
        <w:divId w:val="1280255911"/>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no such proceedings are known to be contemplated by governmental authorities other than claims arising in the ordinary c</w:t>
      </w:r>
      <w:r>
        <w:rPr>
          <w:rFonts w:eastAsia="Times New Roman"/>
          <w:color w:val="000000"/>
          <w:sz w:val="20"/>
          <w:szCs w:val="20"/>
        </w:rPr>
        <w:t>ourse of business.</w:t>
      </w:r>
    </w:p>
    <w:p w:rsidR="00000000" w:rsidRDefault="00DF5BC2">
      <w:pPr>
        <w:jc w:val="both"/>
        <w:divId w:val="1202982101"/>
        <w:rPr>
          <w:rFonts w:eastAsia="Times New Roman"/>
        </w:rPr>
      </w:pPr>
      <w:r>
        <w:rPr>
          <w:rFonts w:eastAsia="Times New Roman"/>
          <w:b/>
          <w:bCs/>
          <w:color w:val="000000"/>
          <w:sz w:val="20"/>
          <w:szCs w:val="20"/>
        </w:rPr>
        <w:t>ITEM 4. MINE SAFETY DISCLOSURES</w:t>
      </w:r>
    </w:p>
    <w:p w:rsidR="00000000" w:rsidRDefault="00DF5BC2">
      <w:pPr>
        <w:divId w:val="1609585891"/>
        <w:rPr>
          <w:rFonts w:eastAsia="Times New Roman"/>
        </w:rPr>
      </w:pPr>
    </w:p>
    <w:p w:rsidR="00000000" w:rsidRDefault="00DF5BC2">
      <w:pPr>
        <w:divId w:val="955719244"/>
        <w:rPr>
          <w:rFonts w:eastAsia="Times New Roman"/>
        </w:rPr>
      </w:pPr>
      <w:r>
        <w:rPr>
          <w:rFonts w:eastAsia="Times New Roman"/>
          <w:color w:val="000000"/>
          <w:sz w:val="20"/>
          <w:szCs w:val="20"/>
        </w:rPr>
        <w:t>None.</w:t>
      </w:r>
    </w:p>
    <w:p w:rsidR="00000000" w:rsidRDefault="00DF5BC2">
      <w:pPr>
        <w:jc w:val="center"/>
        <w:divId w:val="1540586539"/>
        <w:rPr>
          <w:rFonts w:eastAsia="Times New Roman"/>
        </w:rPr>
      </w:pPr>
      <w:r>
        <w:rPr>
          <w:rFonts w:eastAsia="Times New Roman"/>
          <w:b/>
          <w:bCs/>
          <w:color w:val="000000"/>
          <w:sz w:val="20"/>
          <w:szCs w:val="20"/>
        </w:rPr>
        <w:t>EXECUTIVE OFFICERS</w:t>
      </w:r>
    </w:p>
    <w:p w:rsidR="00000000" w:rsidRDefault="00DF5BC2">
      <w:pPr>
        <w:divId w:val="815339328"/>
        <w:rPr>
          <w:rFonts w:eastAsia="Times New Roman"/>
        </w:rPr>
      </w:pPr>
    </w:p>
    <w:p w:rsidR="00000000" w:rsidRDefault="00DF5BC2">
      <w:pPr>
        <w:jc w:val="both"/>
        <w:rPr>
          <w:rFonts w:eastAsia="Times New Roman"/>
        </w:rPr>
      </w:pPr>
      <w:r>
        <w:rPr>
          <w:rFonts w:eastAsia="Times New Roman"/>
          <w:color w:val="000000"/>
          <w:sz w:val="20"/>
          <w:szCs w:val="20"/>
        </w:rPr>
        <w:t>Information regarding our executive officers is included in Part III of this Report and is incorporated in Part I by reference.</w:t>
      </w:r>
    </w:p>
    <w:p w:rsidR="00000000" w:rsidRDefault="00DF5BC2">
      <w:pPr>
        <w:jc w:val="center"/>
        <w:divId w:val="1977445585"/>
        <w:rPr>
          <w:rFonts w:eastAsia="Times New Roman"/>
        </w:rPr>
      </w:pPr>
      <w:r>
        <w:rPr>
          <w:rFonts w:eastAsia="Times New Roman"/>
          <w:color w:val="000000"/>
          <w:sz w:val="20"/>
          <w:szCs w:val="20"/>
        </w:rPr>
        <w:t>48</w:t>
      </w:r>
    </w:p>
    <w:p w:rsidR="00000000" w:rsidRDefault="00DF5BC2">
      <w:pPr>
        <w:rPr>
          <w:rFonts w:eastAsia="Times New Roman"/>
        </w:rPr>
      </w:pPr>
      <w:r>
        <w:rPr>
          <w:rFonts w:eastAsia="Times New Roman"/>
        </w:rPr>
        <w:pict>
          <v:rect id="_x0000_i1074" style="width:0;height:1.5pt" o:hralign="center" o:hrstd="t" o:hr="t" fillcolor="#a0a0a0" stroked="f"/>
        </w:pict>
      </w:r>
    </w:p>
    <w:p w:rsidR="00000000" w:rsidRDefault="00DF5BC2">
      <w:pPr>
        <w:divId w:val="1282956040"/>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color w:val="000000"/>
          <w:sz w:val="20"/>
          <w:szCs w:val="20"/>
        </w:rPr>
        <w:t>PART II:</w:t>
      </w:r>
    </w:p>
    <w:p w:rsidR="00000000" w:rsidRDefault="00DF5BC2">
      <w:pPr>
        <w:jc w:val="both"/>
        <w:rPr>
          <w:rFonts w:eastAsia="Times New Roman"/>
        </w:rPr>
      </w:pPr>
    </w:p>
    <w:p w:rsidR="00000000" w:rsidRDefault="00DF5BC2">
      <w:pPr>
        <w:ind w:hanging="810"/>
        <w:jc w:val="both"/>
        <w:rPr>
          <w:rFonts w:eastAsia="Times New Roman"/>
        </w:rPr>
      </w:pPr>
      <w:r>
        <w:rPr>
          <w:rFonts w:eastAsia="Times New Roman"/>
          <w:b/>
          <w:bCs/>
          <w:color w:val="000000"/>
          <w:sz w:val="20"/>
          <w:szCs w:val="20"/>
        </w:rPr>
        <w:t>ITEM 5.MARKET FOR REGISTRANT’S COMMON EQUITY, RELATED STOCKHOLDER MATTERS AND ISSUER PURCHASES OF EQUITY SECURITIES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Market Information and Dividend Policy</w:t>
      </w:r>
    </w:p>
    <w:p w:rsidR="00000000" w:rsidRDefault="00DF5BC2">
      <w:pPr>
        <w:divId w:val="2123919930"/>
        <w:rPr>
          <w:rFonts w:eastAsia="Times New Roman"/>
        </w:rPr>
      </w:pPr>
    </w:p>
    <w:p w:rsidR="00000000" w:rsidRDefault="00DF5BC2">
      <w:pPr>
        <w:jc w:val="both"/>
        <w:rPr>
          <w:rFonts w:eastAsia="Times New Roman"/>
        </w:rPr>
      </w:pPr>
      <w:r>
        <w:rPr>
          <w:rFonts w:eastAsia="Times New Roman"/>
          <w:color w:val="000000"/>
          <w:sz w:val="20"/>
          <w:szCs w:val="20"/>
        </w:rPr>
        <w:t>Our Common Stock is traded on the New York Stock Exchange under the symbol “UGI.” On November 12, 2021, we had 6,569 holders of record of Common Stock.</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Payment of dividends is subject to declaration by the Board o</w:t>
      </w:r>
      <w:r>
        <w:rPr>
          <w:rFonts w:eastAsia="Times New Roman"/>
          <w:color w:val="000000"/>
          <w:sz w:val="20"/>
          <w:szCs w:val="20"/>
        </w:rPr>
        <w:t>f Directors. Factors considered in determining dividends include our profitability and expected capital needs. Subject to these qualifications, we presently expect to continue to pay dividends on a quarterly basis.</w:t>
      </w:r>
    </w:p>
    <w:p w:rsidR="00000000" w:rsidRDefault="00DF5BC2">
      <w:pPr>
        <w:divId w:val="1455826569"/>
        <w:rPr>
          <w:rFonts w:eastAsia="Times New Roman"/>
        </w:rPr>
      </w:pPr>
    </w:p>
    <w:p w:rsidR="00000000" w:rsidRDefault="00DF5BC2">
      <w:pPr>
        <w:divId w:val="1898318760"/>
        <w:rPr>
          <w:rFonts w:eastAsia="Times New Roman"/>
        </w:rPr>
      </w:pPr>
      <w:r>
        <w:rPr>
          <w:rFonts w:eastAsia="Times New Roman"/>
          <w:b/>
          <w:bCs/>
          <w:color w:val="000000"/>
          <w:sz w:val="20"/>
          <w:szCs w:val="20"/>
        </w:rPr>
        <w:t>Equity Compensation Plan Information</w:t>
      </w:r>
    </w:p>
    <w:p w:rsidR="00000000" w:rsidRDefault="00DF5BC2">
      <w:pPr>
        <w:divId w:val="1201354841"/>
        <w:rPr>
          <w:rFonts w:eastAsia="Times New Roman"/>
        </w:rPr>
      </w:pPr>
    </w:p>
    <w:p w:rsidR="00000000" w:rsidRDefault="00DF5BC2">
      <w:pPr>
        <w:jc w:val="both"/>
        <w:rPr>
          <w:rFonts w:eastAsia="Times New Roman"/>
        </w:rPr>
      </w:pPr>
      <w:r>
        <w:rPr>
          <w:rFonts w:eastAsia="Times New Roman"/>
          <w:color w:val="000000"/>
          <w:sz w:val="20"/>
          <w:szCs w:val="20"/>
        </w:rPr>
        <w:t>Information regarding the securities authorized for issuance under our equity compensation plans can be found under Part III of this Report.</w:t>
      </w:r>
    </w:p>
    <w:p w:rsidR="00000000" w:rsidRDefault="00DF5BC2">
      <w:pPr>
        <w:divId w:val="909539208"/>
        <w:rPr>
          <w:rFonts w:eastAsia="Times New Roman"/>
        </w:rPr>
      </w:pPr>
    </w:p>
    <w:p w:rsidR="00000000" w:rsidRDefault="00DF5BC2">
      <w:pPr>
        <w:divId w:val="962155875"/>
        <w:rPr>
          <w:rFonts w:eastAsia="Times New Roman"/>
        </w:rPr>
      </w:pPr>
      <w:r>
        <w:rPr>
          <w:rFonts w:eastAsia="Times New Roman"/>
          <w:b/>
          <w:bCs/>
          <w:color w:val="000000"/>
          <w:sz w:val="20"/>
          <w:szCs w:val="20"/>
        </w:rPr>
        <w:t>Issuer Purchases of Equity Securities</w:t>
      </w:r>
    </w:p>
    <w:p w:rsidR="00000000" w:rsidRDefault="00DF5BC2">
      <w:pPr>
        <w:divId w:val="1290165326"/>
        <w:rPr>
          <w:rFonts w:eastAsia="Times New Roman"/>
        </w:rPr>
      </w:pPr>
    </w:p>
    <w:p w:rsidR="00000000" w:rsidRDefault="00DF5BC2">
      <w:pPr>
        <w:jc w:val="both"/>
        <w:rPr>
          <w:rFonts w:eastAsia="Times New Roman"/>
        </w:rPr>
      </w:pPr>
      <w:r>
        <w:rPr>
          <w:rFonts w:eastAsia="Times New Roman"/>
          <w:color w:val="000000"/>
          <w:sz w:val="20"/>
          <w:szCs w:val="20"/>
        </w:rPr>
        <w:t xml:space="preserve">The Company did not repurchase any shares of its Common Stock during the </w:t>
      </w:r>
      <w:r>
        <w:rPr>
          <w:rFonts w:eastAsia="Times New Roman"/>
          <w:color w:val="000000"/>
          <w:sz w:val="20"/>
          <w:szCs w:val="20"/>
        </w:rPr>
        <w:t>quarter ended September 30, 2021. As of September 30, 2021, the Company had 5.85 million shares of Common Stock available for repurchase under an extension of a previous share repurchase program announced by the Company on January 25, 2018. The Board of Di</w:t>
      </w:r>
      <w:r>
        <w:rPr>
          <w:rFonts w:eastAsia="Times New Roman"/>
          <w:color w:val="000000"/>
          <w:sz w:val="20"/>
          <w:szCs w:val="20"/>
        </w:rPr>
        <w:t>rectors authorized the repurchase of up to 8 million shares of Common Stock over a four-year period expiring January 2022.</w:t>
      </w:r>
    </w:p>
    <w:p w:rsidR="00000000" w:rsidRDefault="00DF5BC2">
      <w:pPr>
        <w:divId w:val="1241719845"/>
        <w:rPr>
          <w:rFonts w:eastAsia="Times New Roman"/>
        </w:rPr>
      </w:pPr>
    </w:p>
    <w:p w:rsidR="00000000" w:rsidRDefault="00DF5BC2">
      <w:pPr>
        <w:divId w:val="564678852"/>
        <w:rPr>
          <w:rFonts w:eastAsia="Times New Roman"/>
        </w:rPr>
      </w:pPr>
      <w:r>
        <w:rPr>
          <w:rFonts w:eastAsia="Times New Roman"/>
          <w:b/>
          <w:bCs/>
          <w:color w:val="000000"/>
          <w:sz w:val="20"/>
          <w:szCs w:val="20"/>
        </w:rPr>
        <w:t>Recent Sale of Unregistered Securities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Company did not sell any unregistered securities during Fiscal 2021.</w:t>
      </w:r>
    </w:p>
    <w:p w:rsidR="00000000" w:rsidRDefault="00DF5BC2">
      <w:pPr>
        <w:jc w:val="both"/>
        <w:rPr>
          <w:rFonts w:eastAsia="Times New Roman"/>
        </w:rPr>
      </w:pPr>
    </w:p>
    <w:p w:rsidR="00000000" w:rsidRDefault="00DF5BC2">
      <w:pPr>
        <w:divId w:val="391083501"/>
        <w:rPr>
          <w:rFonts w:eastAsia="Times New Roman"/>
        </w:rPr>
      </w:pPr>
      <w:r>
        <w:rPr>
          <w:rFonts w:eastAsia="Times New Roman"/>
          <w:b/>
          <w:bCs/>
          <w:color w:val="000000"/>
          <w:sz w:val="20"/>
          <w:szCs w:val="20"/>
        </w:rPr>
        <w:t>Performance Gra</w:t>
      </w:r>
      <w:r>
        <w:rPr>
          <w:rFonts w:eastAsia="Times New Roman"/>
          <w:b/>
          <w:bCs/>
          <w:color w:val="000000"/>
          <w:sz w:val="20"/>
          <w:szCs w:val="20"/>
        </w:rPr>
        <w:t>ph</w:t>
      </w:r>
    </w:p>
    <w:p w:rsidR="00000000" w:rsidRDefault="00DF5BC2">
      <w:pPr>
        <w:divId w:val="931206383"/>
        <w:rPr>
          <w:rFonts w:eastAsia="Times New Roman"/>
        </w:rPr>
      </w:pPr>
    </w:p>
    <w:p w:rsidR="00000000" w:rsidRDefault="00DF5BC2">
      <w:pPr>
        <w:jc w:val="both"/>
        <w:rPr>
          <w:rFonts w:eastAsia="Times New Roman"/>
        </w:rPr>
      </w:pPr>
      <w:r>
        <w:rPr>
          <w:rFonts w:eastAsia="Times New Roman"/>
          <w:color w:val="000000"/>
          <w:sz w:val="20"/>
          <w:szCs w:val="20"/>
        </w:rPr>
        <w:t>The following graph compares the cumulative total shareholder return (stock price appreciation and the reinvestment of dividends) on an investment of $100 in UGI Common Stock, the S&amp;P 500 Index, and the S&amp;P 500 Utilities Index over the five years from</w:t>
      </w:r>
      <w:r>
        <w:rPr>
          <w:rFonts w:eastAsia="Times New Roman"/>
          <w:color w:val="000000"/>
          <w:sz w:val="20"/>
          <w:szCs w:val="20"/>
        </w:rPr>
        <w:t> September 30, 2016, through September 30, 2021.</w:t>
      </w:r>
    </w:p>
    <w:p w:rsidR="00000000" w:rsidRDefault="00DF5BC2">
      <w:pPr>
        <w:divId w:val="720373308"/>
        <w:rPr>
          <w:rFonts w:eastAsia="Times New Roman"/>
        </w:rPr>
      </w:pPr>
    </w:p>
    <w:p w:rsidR="00000000" w:rsidRDefault="00DF5BC2">
      <w:pPr>
        <w:jc w:val="center"/>
        <w:rPr>
          <w:rFonts w:eastAsia="Times New Roman"/>
        </w:rPr>
      </w:pPr>
      <w:r>
        <w:rPr>
          <w:rFonts w:eastAsia="Times New Roman"/>
          <w:noProof/>
        </w:rPr>
        <w:drawing>
          <wp:inline distT="0" distB="0" distL="0" distR="0">
            <wp:extent cx="304800" cy="3048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F5BC2">
      <w:pPr>
        <w:jc w:val="center"/>
        <w:divId w:val="961153975"/>
        <w:rPr>
          <w:rFonts w:eastAsia="Times New Roman"/>
        </w:rPr>
      </w:pPr>
      <w:r>
        <w:rPr>
          <w:rFonts w:eastAsia="Times New Roman"/>
          <w:color w:val="000000"/>
          <w:sz w:val="20"/>
          <w:szCs w:val="20"/>
        </w:rPr>
        <w:t>49</w:t>
      </w:r>
    </w:p>
    <w:p w:rsidR="00000000" w:rsidRDefault="00DF5BC2">
      <w:pPr>
        <w:rPr>
          <w:rFonts w:eastAsia="Times New Roman"/>
        </w:rPr>
      </w:pPr>
      <w:r>
        <w:rPr>
          <w:rFonts w:eastAsia="Times New Roman"/>
        </w:rPr>
        <w:pict>
          <v:rect id="_x0000_i1076" style="width:0;height:1.5pt" o:hralign="center" o:hrstd="t" o:hr="t" fillcolor="#a0a0a0" stroked="f"/>
        </w:pict>
      </w:r>
    </w:p>
    <w:p w:rsidR="00000000" w:rsidRDefault="00DF5BC2">
      <w:pPr>
        <w:divId w:val="137581616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divId w:val="339896032"/>
        <w:rPr>
          <w:rFonts w:eastAsia="Times New Roman"/>
        </w:rPr>
      </w:pPr>
    </w:p>
    <w:p w:rsidR="00000000" w:rsidRDefault="00DF5BC2">
      <w:pPr>
        <w:ind w:hanging="810"/>
        <w:jc w:val="both"/>
        <w:divId w:val="939721572"/>
        <w:rPr>
          <w:rFonts w:eastAsia="Times New Roman"/>
        </w:rPr>
      </w:pPr>
      <w:r>
        <w:rPr>
          <w:rFonts w:eastAsia="Times New Roman"/>
          <w:b/>
          <w:bCs/>
          <w:color w:val="000000"/>
          <w:sz w:val="20"/>
          <w:szCs w:val="20"/>
        </w:rPr>
        <w:t>ITEM 6.SELECTED FINANCIAL DATA</w:t>
      </w:r>
    </w:p>
    <w:p w:rsidR="00000000" w:rsidRDefault="00DF5BC2">
      <w:pPr>
        <w:jc w:val="both"/>
        <w:rPr>
          <w:rFonts w:eastAsia="Times New Roman"/>
        </w:rPr>
      </w:pPr>
      <w:r>
        <w:rPr>
          <w:rFonts w:eastAsia="Times New Roman"/>
          <w:color w:val="000000"/>
          <w:sz w:val="20"/>
          <w:szCs w:val="20"/>
        </w:rPr>
        <w:t>Intentionally omitted.</w:t>
      </w:r>
    </w:p>
    <w:p w:rsidR="00000000" w:rsidRDefault="00DF5BC2">
      <w:pPr>
        <w:ind w:hanging="360"/>
        <w:jc w:val="both"/>
        <w:rPr>
          <w:rFonts w:eastAsia="Times New Roman"/>
        </w:rPr>
      </w:pPr>
    </w:p>
    <w:p w:rsidR="00000000" w:rsidRDefault="00DF5BC2">
      <w:pPr>
        <w:ind w:hanging="810"/>
        <w:jc w:val="both"/>
        <w:rPr>
          <w:rFonts w:eastAsia="Times New Roman"/>
        </w:rPr>
      </w:pPr>
      <w:r>
        <w:rPr>
          <w:rFonts w:eastAsia="Times New Roman"/>
          <w:b/>
          <w:bCs/>
          <w:color w:val="000000"/>
          <w:sz w:val="20"/>
          <w:szCs w:val="20"/>
        </w:rPr>
        <w:t>ITEM 7.MANAGEMENT’</w:t>
      </w:r>
      <w:r>
        <w:rPr>
          <w:rFonts w:eastAsia="Times New Roman"/>
          <w:b/>
          <w:bCs/>
          <w:color w:val="000000"/>
          <w:sz w:val="20"/>
          <w:szCs w:val="20"/>
        </w:rPr>
        <w:t>S DISCUSSION AND ANALYSIS OF FINANCIAL CONDITION AND RESULTS OF OPERATIONS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MD&amp;A discusses our results of operations for Fiscal 2021 and Fiscal 2020, and our financial condition. For discussion of our results of operations and cash flows for Fiscal 2020 c</w:t>
      </w:r>
      <w:r>
        <w:rPr>
          <w:rFonts w:eastAsia="Times New Roman"/>
          <w:color w:val="000000"/>
          <w:sz w:val="20"/>
          <w:szCs w:val="20"/>
        </w:rPr>
        <w:t>ompared with Fiscal 2019, refer to “Item 7. Management’s Discussion and Analysis of Financial Condition and Results of Operations” in our Fiscal 2020 Annual Report on Form 10-K, filed with the SEC on November 20, 2020. MD&amp;A should be read in conjunction wi</w:t>
      </w:r>
      <w:r>
        <w:rPr>
          <w:rFonts w:eastAsia="Times New Roman"/>
          <w:color w:val="000000"/>
          <w:sz w:val="20"/>
          <w:szCs w:val="20"/>
        </w:rPr>
        <w:t xml:space="preserve">th Items 1 and 2, “Business and Properties,” Item 1A, “Risk Factors,” and the Consolidated Financial Statements in Item 8 below including “Segment Information” included in Note 23 to Consolidated Financial Statements. </w:t>
      </w:r>
    </w:p>
    <w:p w:rsidR="00000000" w:rsidRDefault="00DF5BC2">
      <w:pPr>
        <w:jc w:val="both"/>
        <w:divId w:val="190605974"/>
        <w:rPr>
          <w:rFonts w:eastAsia="Times New Roman"/>
        </w:rPr>
      </w:pPr>
      <w:r>
        <w:rPr>
          <w:rFonts w:eastAsia="Times New Roman"/>
          <w:color w:val="000000"/>
          <w:sz w:val="20"/>
          <w:szCs w:val="20"/>
        </w:rPr>
        <w:t>Because most of our businesses sell o</w:t>
      </w:r>
      <w:r>
        <w:rPr>
          <w:rFonts w:eastAsia="Times New Roman"/>
          <w:color w:val="000000"/>
          <w:sz w:val="20"/>
          <w:szCs w:val="20"/>
        </w:rPr>
        <w:t>r distribute energy products used in large part for heating purposes, our results are significantly influenced by temperatures in our service territories, particularly during the heating-season months of October through March. Accordingly, our results of o</w:t>
      </w:r>
      <w:r>
        <w:rPr>
          <w:rFonts w:eastAsia="Times New Roman"/>
          <w:color w:val="000000"/>
          <w:sz w:val="20"/>
          <w:szCs w:val="20"/>
        </w:rPr>
        <w:t>perations, after adjusting for the effects of gains and losses on derivative instruments not associated with current-period transactions as further discussed below, are significantly higher in our first and second fiscal quarters.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Executive Overview</w:t>
      </w:r>
    </w:p>
    <w:p w:rsidR="00000000" w:rsidRDefault="00DF5BC2">
      <w:pPr>
        <w:jc w:val="both"/>
        <w:divId w:val="855584537"/>
        <w:rPr>
          <w:rFonts w:eastAsia="Times New Roman"/>
        </w:rPr>
      </w:pPr>
      <w:r>
        <w:rPr>
          <w:rFonts w:eastAsia="Times New Roman"/>
          <w:b/>
          <w:bCs/>
          <w:color w:val="000000"/>
          <w:sz w:val="20"/>
          <w:szCs w:val="20"/>
        </w:rPr>
        <w:t>Rece</w:t>
      </w:r>
      <w:r>
        <w:rPr>
          <w:rFonts w:eastAsia="Times New Roman"/>
          <w:b/>
          <w:bCs/>
          <w:color w:val="000000"/>
          <w:sz w:val="20"/>
          <w:szCs w:val="20"/>
        </w:rPr>
        <w:t>nt Developments</w:t>
      </w:r>
    </w:p>
    <w:p w:rsidR="00000000" w:rsidRDefault="00DF5BC2">
      <w:pPr>
        <w:jc w:val="both"/>
        <w:divId w:val="1592662190"/>
        <w:rPr>
          <w:rFonts w:eastAsia="Times New Roman"/>
        </w:rPr>
      </w:pPr>
      <w:r>
        <w:rPr>
          <w:rFonts w:eastAsia="Times New Roman"/>
          <w:b/>
          <w:bCs/>
          <w:i/>
          <w:iCs/>
          <w:color w:val="000000"/>
          <w:sz w:val="20"/>
          <w:szCs w:val="20"/>
        </w:rPr>
        <w:t>Acquisition of Mountaineer Gas Company</w:t>
      </w:r>
    </w:p>
    <w:p w:rsidR="00000000" w:rsidRDefault="00DF5BC2">
      <w:pPr>
        <w:jc w:val="both"/>
        <w:divId w:val="1506283188"/>
        <w:rPr>
          <w:rFonts w:eastAsia="Times New Roman"/>
        </w:rPr>
      </w:pPr>
      <w:r>
        <w:rPr>
          <w:rFonts w:eastAsia="Times New Roman"/>
          <w:color w:val="000000"/>
          <w:sz w:val="20"/>
          <w:szCs w:val="20"/>
        </w:rPr>
        <w:t>On September 1, 2021, UGI acquired Mountaineer, the largest natural gas distribution company in West Virginia for a purchase price of $540 million, which includes the assumption of approximately $140 m</w:t>
      </w:r>
      <w:r>
        <w:rPr>
          <w:rFonts w:eastAsia="Times New Roman"/>
          <w:color w:val="000000"/>
          <w:sz w:val="20"/>
          <w:szCs w:val="20"/>
        </w:rPr>
        <w:t>illion principal amounts of long-term debt. Mountaineer serves nearly 214,000 customers across 50 of the state’s 55 counties. Mountaineer is subject to regulation by the WVPSC. The Mountaineer Acquisition was funded with cash proceeds from the 2021 UGI Cor</w:t>
      </w:r>
      <w:r>
        <w:rPr>
          <w:rFonts w:eastAsia="Times New Roman"/>
          <w:color w:val="000000"/>
          <w:sz w:val="20"/>
          <w:szCs w:val="20"/>
        </w:rPr>
        <w:t>poration Senior Credit Facility and the issuance of Equity Units and cash on hand. The Mountaineer business is included in the UGI Utilities segment as of the acquisition date. For additional information on the Mountaineer Acquisition and the associated fi</w:t>
      </w:r>
      <w:r>
        <w:rPr>
          <w:rFonts w:eastAsia="Times New Roman"/>
          <w:color w:val="000000"/>
          <w:sz w:val="20"/>
          <w:szCs w:val="20"/>
        </w:rPr>
        <w:t>nancings, see Notes 5, 6 and 13 to the consolidated financial statements.</w:t>
      </w:r>
    </w:p>
    <w:p w:rsidR="00000000" w:rsidRDefault="00DF5BC2">
      <w:pPr>
        <w:jc w:val="both"/>
        <w:divId w:val="443964308"/>
        <w:rPr>
          <w:rFonts w:eastAsia="Times New Roman"/>
        </w:rPr>
      </w:pPr>
      <w:r>
        <w:rPr>
          <w:rFonts w:eastAsia="Times New Roman"/>
          <w:b/>
          <w:bCs/>
          <w:i/>
          <w:iCs/>
          <w:color w:val="000000"/>
          <w:sz w:val="20"/>
          <w:szCs w:val="20"/>
        </w:rPr>
        <w:t>COVID-19 Pandemic</w:t>
      </w:r>
    </w:p>
    <w:p w:rsidR="00000000" w:rsidRDefault="00DF5BC2">
      <w:pPr>
        <w:jc w:val="both"/>
        <w:divId w:val="1544248384"/>
        <w:rPr>
          <w:rFonts w:eastAsia="Times New Roman"/>
        </w:rPr>
      </w:pPr>
      <w:r>
        <w:rPr>
          <w:rFonts w:eastAsia="Times New Roman"/>
          <w:color w:val="000000"/>
          <w:sz w:val="20"/>
          <w:szCs w:val="20"/>
        </w:rPr>
        <w:t>In March 2020, the WHO declared a global pandemic attributable to the outbreak and continued spread of COVID-19 that has had a significant impact throughout the glo</w:t>
      </w:r>
      <w:r>
        <w:rPr>
          <w:rFonts w:eastAsia="Times New Roman"/>
          <w:color w:val="000000"/>
          <w:sz w:val="20"/>
          <w:szCs w:val="20"/>
        </w:rPr>
        <w:t>bal economy. In connection with the mitigation and containment procedures recommended by the WHO, the CDC, and as imposed by federal, state, and local governmental authorities, including shelter-in-place orders, quarantines and similar restrictions, we imp</w:t>
      </w:r>
      <w:r>
        <w:rPr>
          <w:rFonts w:eastAsia="Times New Roman"/>
          <w:color w:val="000000"/>
          <w:sz w:val="20"/>
          <w:szCs w:val="20"/>
        </w:rPr>
        <w:t>lemented a variety of procedures to protect our employees, third-party business partners, and customers worldwide. Although our results continue to be impacted by COVID-19, we continue to provide essential products and services to our global customers in a</w:t>
      </w:r>
      <w:r>
        <w:rPr>
          <w:rFonts w:eastAsia="Times New Roman"/>
          <w:color w:val="000000"/>
          <w:sz w:val="20"/>
          <w:szCs w:val="20"/>
        </w:rPr>
        <w:t xml:space="preserve"> safe and reliable manner and will continue to do so in compliance with mandated restrictions presented by each of the markets we serve. We continue to evaluate and react to the potential effects of a prolonged disruption and the continued impact on our re</w:t>
      </w:r>
      <w:r>
        <w:rPr>
          <w:rFonts w:eastAsia="Times New Roman"/>
          <w:color w:val="000000"/>
          <w:sz w:val="20"/>
          <w:szCs w:val="20"/>
        </w:rPr>
        <w:t>sults of operations. These items may include, but are not limited to: the financial condition of our customers; decreased availability and demand for our products and services; realization of accounts receivable; impairment considerations related to certai</w:t>
      </w:r>
      <w:r>
        <w:rPr>
          <w:rFonts w:eastAsia="Times New Roman"/>
          <w:color w:val="000000"/>
          <w:sz w:val="20"/>
          <w:szCs w:val="20"/>
        </w:rPr>
        <w:t>n current assets, long-lived assets and goodwill; delays related to current and future projects; and the effects of government stimulus efforts including tax legislation (see “Interest Expense and Income Taxes” below and Note 7 to the consolidated financia</w:t>
      </w:r>
      <w:r>
        <w:rPr>
          <w:rFonts w:eastAsia="Times New Roman"/>
          <w:color w:val="000000"/>
          <w:sz w:val="20"/>
          <w:szCs w:val="20"/>
        </w:rPr>
        <w:t xml:space="preserve">l statements) in response to COVID-19. </w:t>
      </w:r>
    </w:p>
    <w:p w:rsidR="00000000" w:rsidRDefault="00DF5BC2">
      <w:pPr>
        <w:jc w:val="both"/>
        <w:divId w:val="886255077"/>
        <w:rPr>
          <w:rFonts w:eastAsia="Times New Roman"/>
        </w:rPr>
      </w:pPr>
      <w:r>
        <w:rPr>
          <w:rFonts w:eastAsia="Times New Roman"/>
          <w:color w:val="000000"/>
          <w:sz w:val="20"/>
          <w:szCs w:val="20"/>
        </w:rPr>
        <w:t>We cannot predict the duration or total magnitude of the pandemic and the total effects on our business, financial position, results of operations, liquidity or cash flows at this time, but we remain focused on manag</w:t>
      </w:r>
      <w:r>
        <w:rPr>
          <w:rFonts w:eastAsia="Times New Roman"/>
          <w:color w:val="000000"/>
          <w:sz w:val="20"/>
          <w:szCs w:val="20"/>
        </w:rPr>
        <w:t>ing our financial condition and liquidity throughout this global crisis.</w:t>
      </w:r>
    </w:p>
    <w:p w:rsidR="00000000" w:rsidRDefault="00DF5BC2">
      <w:pPr>
        <w:jc w:val="both"/>
        <w:rPr>
          <w:rFonts w:eastAsia="Times New Roman"/>
        </w:rPr>
      </w:pPr>
      <w:r>
        <w:rPr>
          <w:rFonts w:eastAsia="Times New Roman"/>
          <w:b/>
          <w:bCs/>
          <w:color w:val="000000"/>
          <w:sz w:val="20"/>
          <w:szCs w:val="20"/>
          <w:shd w:val="clear" w:color="auto" w:fill="FFFFFF"/>
        </w:rPr>
        <w:t>Strategic Initiatives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Business Transformation Initiatives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shd w:val="clear" w:color="auto" w:fill="FFFFFF"/>
        </w:rPr>
        <w:t>Corporate Services.</w:t>
      </w:r>
      <w:r>
        <w:rPr>
          <w:rFonts w:eastAsia="Times New Roman"/>
          <w:color w:val="000000"/>
          <w:sz w:val="20"/>
          <w:szCs w:val="20"/>
        </w:rPr>
        <w:t xml:space="preserve"> </w:t>
      </w:r>
      <w:r>
        <w:rPr>
          <w:rFonts w:eastAsia="Times New Roman"/>
          <w:color w:val="000000"/>
          <w:sz w:val="20"/>
          <w:szCs w:val="20"/>
        </w:rPr>
        <w:t xml:space="preserve">Beginning in Fiscal 2020, we initiated a transformation project focused on our support functions including: finance, procurement, human resources, and information technology. This initiative will standardize processes and </w:t>
      </w:r>
    </w:p>
    <w:p w:rsidR="00000000" w:rsidRDefault="00DF5BC2">
      <w:pPr>
        <w:jc w:val="center"/>
        <w:divId w:val="1271284260"/>
        <w:rPr>
          <w:rFonts w:eastAsia="Times New Roman"/>
        </w:rPr>
      </w:pPr>
      <w:r>
        <w:rPr>
          <w:rFonts w:eastAsia="Times New Roman"/>
          <w:color w:val="000000"/>
          <w:sz w:val="20"/>
          <w:szCs w:val="20"/>
        </w:rPr>
        <w:t>50</w:t>
      </w:r>
    </w:p>
    <w:p w:rsidR="00000000" w:rsidRDefault="00DF5BC2">
      <w:pPr>
        <w:rPr>
          <w:rFonts w:eastAsia="Times New Roman"/>
        </w:rPr>
      </w:pPr>
      <w:r>
        <w:rPr>
          <w:rFonts w:eastAsia="Times New Roman"/>
        </w:rPr>
        <w:pict>
          <v:rect id="_x0000_i1077" style="width:0;height:1.5pt" o:hralign="center" o:hrstd="t" o:hr="t" fillcolor="#a0a0a0" stroked="f"/>
        </w:pict>
      </w:r>
    </w:p>
    <w:p w:rsidR="00000000" w:rsidRDefault="00DF5BC2">
      <w:pPr>
        <w:divId w:val="1233154789"/>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activities across our global platform, while leveraging the use of best practices and efficiencies between our businesses. While this initiative is being coordinated across m</w:t>
      </w:r>
      <w:r>
        <w:rPr>
          <w:rFonts w:eastAsia="Times New Roman"/>
          <w:color w:val="000000"/>
          <w:sz w:val="20"/>
          <w:szCs w:val="20"/>
        </w:rPr>
        <w:t>ultiple support functions, each area is at a different stage of transformation and will undergo the required changes over a two to three year period. In connection with these activities, we expect to incur approximately $40 million of non-recurring costs d</w:t>
      </w:r>
      <w:r>
        <w:rPr>
          <w:rFonts w:eastAsia="Times New Roman"/>
          <w:color w:val="000000"/>
          <w:sz w:val="20"/>
          <w:szCs w:val="20"/>
        </w:rPr>
        <w:t xml:space="preserve">uring that time resulting in more than $15 million of ongoing annualized savings by the end of Fiscal 2023.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shd w:val="clear" w:color="auto" w:fill="FFFFFF"/>
        </w:rPr>
        <w:t xml:space="preserve">AmeriGas Propane: </w:t>
      </w:r>
      <w:r>
        <w:rPr>
          <w:rFonts w:eastAsia="Times New Roman"/>
          <w:color w:val="000000"/>
          <w:sz w:val="20"/>
          <w:szCs w:val="20"/>
        </w:rPr>
        <w:t xml:space="preserve">At AmeriGas Propane, we began executing on business transformation initiatives during Fiscal 2019 focused on efficiency and effectiveness in the following key areas: customer digital experience; customer relationship management; operating process redesign </w:t>
      </w:r>
      <w:r>
        <w:rPr>
          <w:rFonts w:eastAsia="Times New Roman"/>
          <w:color w:val="000000"/>
          <w:sz w:val="20"/>
          <w:szCs w:val="20"/>
        </w:rPr>
        <w:t>and specialization; distribution and routing optimization; sales and marketing effectiveness; purchasing and general and administrative efficiencies; and supply and logistics. These transformation activities are substantially complete and are expected to p</w:t>
      </w:r>
      <w:r>
        <w:rPr>
          <w:rFonts w:eastAsia="Times New Roman"/>
          <w:color w:val="000000"/>
          <w:sz w:val="20"/>
          <w:szCs w:val="20"/>
        </w:rPr>
        <w:t>rovide total annual benefits of more than $150 million by the end of Fiscal 2022. These benefits will allow us to continue to improve profitability and cash flow through operational efficiencies and expense reductions and enable increased investment into b</w:t>
      </w:r>
      <w:r>
        <w:rPr>
          <w:rFonts w:eastAsia="Times New Roman"/>
          <w:color w:val="000000"/>
          <w:sz w:val="20"/>
          <w:szCs w:val="20"/>
        </w:rPr>
        <w:t>ase business customer retention and growth initiatives, including the reduction of margins in select segments of our base business. The total cost of executing on these initiatives, including approximately $110 million of related capital expenditures, will</w:t>
      </w:r>
      <w:r>
        <w:rPr>
          <w:rFonts w:eastAsia="Times New Roman"/>
          <w:color w:val="000000"/>
          <w:sz w:val="20"/>
          <w:szCs w:val="20"/>
        </w:rPr>
        <w:t xml:space="preserve"> amount to approximately $220 million.</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shd w:val="clear" w:color="auto" w:fill="FFFFFF"/>
        </w:rPr>
        <w:t>UGI International.</w:t>
      </w:r>
      <w:r>
        <w:rPr>
          <w:rFonts w:eastAsia="Times New Roman"/>
          <w:color w:val="000000"/>
          <w:sz w:val="20"/>
          <w:szCs w:val="20"/>
        </w:rPr>
        <w:t xml:space="preserve"> At our UGI International LPG business, we launched an initiative in Fiscal 2019 and embarked on a process of identifying operational synergies across all 17 countries in which we currently do busi</w:t>
      </w:r>
      <w:r>
        <w:rPr>
          <w:rFonts w:eastAsia="Times New Roman"/>
          <w:color w:val="000000"/>
          <w:sz w:val="20"/>
          <w:szCs w:val="20"/>
        </w:rPr>
        <w:t>ness. The goal of this initiative (Project Alliance) was to focus attention on enhanced customer service and safe and efficient operations through the establishment of two centers of excellence. One center focuses on commercial excellence to identify and e</w:t>
      </w:r>
      <w:r>
        <w:rPr>
          <w:rFonts w:eastAsia="Times New Roman"/>
          <w:color w:val="000000"/>
          <w:sz w:val="20"/>
          <w:szCs w:val="20"/>
        </w:rPr>
        <w:t xml:space="preserve">xecute projects that improve the customer’s experience. The second center focuses on operational excellence across our distribution network and our filling centers. These business activities are substantially complete and are expected to generate over €30 </w:t>
      </w:r>
      <w:r>
        <w:rPr>
          <w:rFonts w:eastAsia="Times New Roman"/>
          <w:color w:val="000000"/>
          <w:sz w:val="20"/>
          <w:szCs w:val="20"/>
        </w:rPr>
        <w:t xml:space="preserve">million of annual benefits by the end of Fiscal 2022. The total cumulative cost of executing these Project Alliance initiatives, including approximately €10 million related to IT capital expenditures, will amount to approximately €55 million.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Non-GAAP F</w:t>
      </w:r>
      <w:r>
        <w:rPr>
          <w:rFonts w:eastAsia="Times New Roman"/>
          <w:b/>
          <w:bCs/>
          <w:color w:val="000000"/>
          <w:sz w:val="20"/>
          <w:szCs w:val="20"/>
          <w:u w:val="single"/>
        </w:rPr>
        <w:t>inancial Measures</w:t>
      </w:r>
    </w:p>
    <w:p w:rsidR="00000000" w:rsidRDefault="00DF5BC2">
      <w:pPr>
        <w:jc w:val="both"/>
        <w:divId w:val="1957177979"/>
        <w:rPr>
          <w:rFonts w:eastAsia="Times New Roman"/>
        </w:rPr>
      </w:pPr>
      <w:r>
        <w:rPr>
          <w:rFonts w:eastAsia="Times New Roman"/>
          <w:color w:val="000000"/>
          <w:sz w:val="20"/>
          <w:szCs w:val="20"/>
        </w:rPr>
        <w:t xml:space="preserve">UGI management uses “adjusted net income attributable to UGI Corporation” and “adjusted diluted earnings per share,” both of which are non-GAAP financial measures, when evaluating UGI’s overall performance. Management believes that these </w:t>
      </w:r>
      <w:r>
        <w:rPr>
          <w:rFonts w:eastAsia="Times New Roman"/>
          <w:color w:val="000000"/>
          <w:sz w:val="20"/>
          <w:szCs w:val="20"/>
        </w:rPr>
        <w:t>non-GAAP measures provide meaningful information to investors about UGI’s performance because they eliminate gains and losses on commodity and certain foreign currency derivative instruments not associated with current-period transactions and other signifi</w:t>
      </w:r>
      <w:r>
        <w:rPr>
          <w:rFonts w:eastAsia="Times New Roman"/>
          <w:color w:val="000000"/>
          <w:sz w:val="20"/>
          <w:szCs w:val="20"/>
        </w:rPr>
        <w:t>cant discrete items that can affect the comparison of period-over-period results.</w:t>
      </w:r>
    </w:p>
    <w:p w:rsidR="00000000" w:rsidRDefault="00DF5BC2">
      <w:pPr>
        <w:jc w:val="both"/>
        <w:divId w:val="843472306"/>
        <w:rPr>
          <w:rFonts w:eastAsia="Times New Roman"/>
        </w:rPr>
      </w:pPr>
      <w:r>
        <w:rPr>
          <w:rFonts w:eastAsia="Times New Roman"/>
          <w:color w:val="000000"/>
          <w:sz w:val="20"/>
          <w:szCs w:val="20"/>
        </w:rPr>
        <w:t>UGI does not designate its commodity and certain foreign currency derivative instruments as hedges under GAAP. Volatility in net income attributable to UGI Corporation can oc</w:t>
      </w:r>
      <w:r>
        <w:rPr>
          <w:rFonts w:eastAsia="Times New Roman"/>
          <w:color w:val="000000"/>
          <w:sz w:val="20"/>
          <w:szCs w:val="20"/>
        </w:rPr>
        <w:t>cur as a result of gains and losses on such derivative instruments not associated with current-period transactions. These gains and losses result principally from recording changes in unrealized gains and losses on unsettled commodity and certain foreign c</w:t>
      </w:r>
      <w:r>
        <w:rPr>
          <w:rFonts w:eastAsia="Times New Roman"/>
          <w:color w:val="000000"/>
          <w:sz w:val="20"/>
          <w:szCs w:val="20"/>
        </w:rPr>
        <w:t xml:space="preserve">urrency derivative instruments and, to a much lesser extent, certain realized gains and losses on settled commodity derivative instruments that are not associated with current-period transactions. However, because these derivative instruments economically </w:t>
      </w:r>
      <w:r>
        <w:rPr>
          <w:rFonts w:eastAsia="Times New Roman"/>
          <w:color w:val="000000"/>
          <w:sz w:val="20"/>
          <w:szCs w:val="20"/>
        </w:rPr>
        <w:t xml:space="preserve">hedge anticipated future purchases or sales of energy commodities, or in the case of certain foreign currency derivatives, reduce volatility in anticipated future earnings associated with our foreign operations, we expect that such gains or losses will be </w:t>
      </w:r>
      <w:r>
        <w:rPr>
          <w:rFonts w:eastAsia="Times New Roman"/>
          <w:color w:val="000000"/>
          <w:sz w:val="20"/>
          <w:szCs w:val="20"/>
        </w:rPr>
        <w:t>largely offset by gains or losses on anticipated future energy commodity transactions or mitigate volatility in anticipated future earnings. Non-GAAP financial measures are not in accordance with, or an alternative to, GAAP and should be considered in addi</w:t>
      </w:r>
      <w:r>
        <w:rPr>
          <w:rFonts w:eastAsia="Times New Roman"/>
          <w:color w:val="000000"/>
          <w:sz w:val="20"/>
          <w:szCs w:val="20"/>
        </w:rPr>
        <w:t>tion to, and not as a substitute for, the comparable GAAP measures.</w:t>
      </w:r>
    </w:p>
    <w:p w:rsidR="00000000" w:rsidRDefault="00DF5BC2">
      <w:pPr>
        <w:jc w:val="both"/>
        <w:divId w:val="232742890"/>
        <w:rPr>
          <w:rFonts w:eastAsia="Times New Roman"/>
        </w:rPr>
      </w:pPr>
      <w:r>
        <w:rPr>
          <w:rFonts w:eastAsia="Times New Roman"/>
          <w:color w:val="000000"/>
          <w:sz w:val="20"/>
          <w:szCs w:val="20"/>
        </w:rPr>
        <w:t>The following tables reflect the adjustments referred to above and reconcile net income attributable to UGI Corporation, the most directly comparable GAAP measure, to adjusted net income a</w:t>
      </w:r>
      <w:r>
        <w:rPr>
          <w:rFonts w:eastAsia="Times New Roman"/>
          <w:color w:val="000000"/>
          <w:sz w:val="20"/>
          <w:szCs w:val="20"/>
        </w:rPr>
        <w:t>ttributable to UGI Corporation, and reconcile diluted earnings per share, the most comparable GAAP measure, to adjusted diluted earnings per share:</w:t>
      </w:r>
    </w:p>
    <w:p w:rsidR="00000000" w:rsidRDefault="00DF5BC2">
      <w:pPr>
        <w:jc w:val="center"/>
        <w:divId w:val="731198834"/>
        <w:rPr>
          <w:rFonts w:eastAsia="Times New Roman"/>
        </w:rPr>
      </w:pPr>
      <w:r>
        <w:rPr>
          <w:rFonts w:eastAsia="Times New Roman"/>
          <w:color w:val="000000"/>
          <w:sz w:val="20"/>
          <w:szCs w:val="20"/>
        </w:rPr>
        <w:t>51</w:t>
      </w:r>
    </w:p>
    <w:p w:rsidR="00000000" w:rsidRDefault="00DF5BC2">
      <w:pPr>
        <w:rPr>
          <w:rFonts w:eastAsia="Times New Roman"/>
        </w:rPr>
      </w:pPr>
      <w:r>
        <w:rPr>
          <w:rFonts w:eastAsia="Times New Roman"/>
        </w:rPr>
        <w:pict>
          <v:rect id="_x0000_i1078" style="width:0;height:1.5pt" o:hralign="center" o:hrstd="t" o:hr="t" fillcolor="#a0a0a0" stroked="f"/>
        </w:pict>
      </w:r>
    </w:p>
    <w:p w:rsidR="00000000" w:rsidRDefault="00DF5BC2">
      <w:pPr>
        <w:divId w:val="466974386"/>
        <w:rPr>
          <w:rFonts w:eastAsia="Times New Roman"/>
        </w:rPr>
      </w:pPr>
      <w:hyperlink w:anchor="ica38aa2cb9a04eba8f8cadac27ee7fb9_7" w:history="1">
        <w:r>
          <w:rPr>
            <w:rStyle w:val="a3"/>
            <w:rFonts w:eastAsia="Times New Roman"/>
            <w:b/>
            <w:bCs/>
            <w:sz w:val="20"/>
            <w:szCs w:val="20"/>
          </w:rPr>
          <w:t>Table of C</w:t>
        </w:r>
        <w:r>
          <w:rPr>
            <w:rStyle w:val="a3"/>
            <w:rFonts w:eastAsia="Times New Roman"/>
            <w:b/>
            <w:bCs/>
            <w:sz w:val="20"/>
            <w:szCs w:val="20"/>
          </w:rPr>
          <w:t>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77"/>
        <w:gridCol w:w="38"/>
        <w:gridCol w:w="36"/>
        <w:gridCol w:w="36"/>
        <w:gridCol w:w="36"/>
        <w:gridCol w:w="121"/>
        <w:gridCol w:w="781"/>
        <w:gridCol w:w="36"/>
        <w:gridCol w:w="36"/>
        <w:gridCol w:w="36"/>
        <w:gridCol w:w="36"/>
        <w:gridCol w:w="120"/>
        <w:gridCol w:w="806"/>
        <w:gridCol w:w="36"/>
        <w:gridCol w:w="36"/>
      </w:tblGrid>
      <w:tr w:rsidR="00000000">
        <w:trPr>
          <w:divId w:val="852454041"/>
          <w:jc w:val="center"/>
        </w:trPr>
        <w:tc>
          <w:tcPr>
            <w:tcW w:w="50" w:type="pct"/>
            <w:vAlign w:val="center"/>
            <w:hideMark/>
          </w:tcPr>
          <w:p w:rsidR="00000000" w:rsidRDefault="00DF5BC2">
            <w:pPr>
              <w:rPr>
                <w:rFonts w:eastAsia="Times New Roman"/>
              </w:rPr>
            </w:pPr>
          </w:p>
        </w:tc>
        <w:tc>
          <w:tcPr>
            <w:tcW w:w="370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852454041"/>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Year Ended September 30,</w:t>
            </w:r>
          </w:p>
        </w:tc>
        <w:tc>
          <w:tcPr>
            <w:tcW w:w="0" w:type="auto"/>
            <w:vAlign w:val="center"/>
            <w:hideMark/>
          </w:tcPr>
          <w:p w:rsidR="00000000" w:rsidRDefault="00DF5BC2">
            <w:pPr>
              <w:spacing w:after="100"/>
              <w:jc w:val="center"/>
              <w:rPr>
                <w:rFonts w:eastAsia="Times New Roman"/>
              </w:rPr>
            </w:pPr>
          </w:p>
        </w:tc>
      </w:tr>
      <w:tr w:rsidR="00000000">
        <w:trPr>
          <w:divId w:val="852454041"/>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(Millions of dollars, except per share amounts)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vAlign w:val="center"/>
            <w:hideMark/>
          </w:tcPr>
          <w:p w:rsidR="00000000" w:rsidRDefault="00DF5BC2">
            <w:pPr>
              <w:spacing w:after="100"/>
              <w:jc w:val="center"/>
              <w:rPr>
                <w:rFonts w:eastAsia="Times New Roman"/>
              </w:rPr>
            </w:pPr>
          </w:p>
        </w:tc>
      </w:tr>
      <w:tr w:rsidR="00000000">
        <w:trPr>
          <w:divId w:val="852454041"/>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827 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gains on commodity derivative instruments not associated with current-period transactions (net of tax of $389 and $35, respectively)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Unrealized (gains) losses on foreign currency derivative instruments (net of tax of $2 and $(10), respectively)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Acquisition and integration expenses associated with the CMG Acquisition (net of tax of $0 and $(1), respectively)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Business transformation expenses (net of tax of $(27) and $(17), respectively)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 on disposals of Conemaugh and HVAC (net of tax of $0 and $(15), respectively)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Acquisition and integration expenses associated with the Mountaineer Acquisition (net of tax of $(4) and $0, respectively)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Impairment of customer relationship intangible (net of tax of $(5) and $0, respectively)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Impairment of investment in PennEast (net of tax of $0 and $0, respectively)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Impact of change in Italian tax law</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adjustments (a) (b)</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Adjusted diluted earnings per share:</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Propane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0.79 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0.74 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0.82 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Midstream &amp; Marketing</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0.51 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0.44 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0.68 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0.65 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Corporate &amp; Other (a)</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Earnings per share - diluted</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(4.72)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(0.39)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Unrealized (gains) losses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Acquisition and integration expenses associated with the CMG Acquisition</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0.21 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 on disposals of Conemaugh and HVAC</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Acquisition and integration expenses associated with the Mountaineer Acquisition</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Impairment of customer relationship intangible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0.07 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Impairment of investment in PennEast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0.44 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Impact of change in Italian tax law</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adjustments (a)</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r w:rsidR="00000000">
        <w:trPr>
          <w:divId w:val="852454041"/>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Adjusted diluted earnings per share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r>
    </w:tbl>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(a)Corporate &amp; Other includes certain adjustments made to our reporting segments in arriving at net income attributable to UGI Corporation. These adjustments have been excluded from the segment results to align with the measure used by our CODM in a</w:t>
      </w:r>
      <w:r>
        <w:rPr>
          <w:rFonts w:eastAsia="Times New Roman"/>
          <w:color w:val="000000"/>
          <w:sz w:val="20"/>
          <w:szCs w:val="20"/>
        </w:rPr>
        <w:t>ssessing segment performance and allocating resources. See Note 23 to Consolidated Financial Statements for additional information related to these adjustments, as well as other items included within Corporate &amp; Other.</w:t>
      </w:r>
    </w:p>
    <w:p w:rsidR="00000000" w:rsidRDefault="00DF5BC2">
      <w:pPr>
        <w:ind w:hanging="360"/>
        <w:jc w:val="both"/>
        <w:rPr>
          <w:rFonts w:eastAsia="Times New Roman"/>
        </w:rPr>
      </w:pPr>
      <w:r>
        <w:rPr>
          <w:rFonts w:eastAsia="Times New Roman"/>
          <w:color w:val="000000"/>
          <w:sz w:val="20"/>
          <w:szCs w:val="20"/>
        </w:rPr>
        <w:t>(b)</w:t>
      </w:r>
      <w:r>
        <w:rPr>
          <w:rFonts w:eastAsia="Times New Roman"/>
          <w:color w:val="000000"/>
          <w:sz w:val="20"/>
          <w:szCs w:val="20"/>
        </w:rPr>
        <w:t>Income taxes associated with pre-tax adjustments determined using statutory business unit tax rates.</w:t>
      </w:r>
    </w:p>
    <w:p w:rsidR="00000000" w:rsidRDefault="00DF5BC2">
      <w:pPr>
        <w:jc w:val="both"/>
        <w:rPr>
          <w:rFonts w:eastAsia="Times New Roman"/>
        </w:rPr>
      </w:pPr>
    </w:p>
    <w:p w:rsidR="00000000" w:rsidRDefault="00DF5BC2">
      <w:pPr>
        <w:jc w:val="center"/>
        <w:divId w:val="279186695"/>
        <w:rPr>
          <w:rFonts w:eastAsia="Times New Roman"/>
        </w:rPr>
      </w:pPr>
      <w:r>
        <w:rPr>
          <w:rFonts w:eastAsia="Times New Roman"/>
          <w:color w:val="000000"/>
          <w:sz w:val="20"/>
          <w:szCs w:val="20"/>
        </w:rPr>
        <w:t>52</w:t>
      </w:r>
    </w:p>
    <w:p w:rsidR="00000000" w:rsidRDefault="00DF5BC2">
      <w:pPr>
        <w:rPr>
          <w:rFonts w:eastAsia="Times New Roman"/>
        </w:rPr>
      </w:pPr>
      <w:r>
        <w:rPr>
          <w:rFonts w:eastAsia="Times New Roman"/>
        </w:rPr>
        <w:pict>
          <v:rect id="_x0000_i1079" style="width:0;height:1.5pt" o:hralign="center" o:hrstd="t" o:hr="t" fillcolor="#a0a0a0" stroked="f"/>
        </w:pict>
      </w:r>
    </w:p>
    <w:p w:rsidR="00000000" w:rsidRDefault="00DF5BC2">
      <w:pPr>
        <w:divId w:val="1186333347"/>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divId w:val="664211057"/>
        <w:rPr>
          <w:rFonts w:eastAsia="Times New Roman"/>
        </w:rPr>
      </w:pPr>
    </w:p>
    <w:p w:rsidR="00000000" w:rsidRDefault="00DF5BC2">
      <w:pPr>
        <w:jc w:val="both"/>
        <w:divId w:val="547911673"/>
        <w:rPr>
          <w:rFonts w:eastAsia="Times New Roman"/>
        </w:rPr>
      </w:pPr>
      <w:r>
        <w:rPr>
          <w:rFonts w:eastAsia="Times New Roman"/>
          <w:b/>
          <w:bCs/>
          <w:color w:val="000000"/>
          <w:sz w:val="20"/>
          <w:szCs w:val="20"/>
        </w:rPr>
        <w:t>Fiscal 2021 Compared with Fiscal 2020</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shd w:val="clear" w:color="auto" w:fill="FFFFFF"/>
        </w:rPr>
        <w:t>Discussion.</w:t>
      </w:r>
      <w:r>
        <w:rPr>
          <w:rFonts w:eastAsia="Times New Roman"/>
          <w:color w:val="000000"/>
          <w:sz w:val="20"/>
          <w:szCs w:val="20"/>
          <w:shd w:val="clear" w:color="auto" w:fill="FFFFFF"/>
        </w:rPr>
        <w:t xml:space="preserve"> Net income attributable to UGI Corporation was $1,467 million for Fiscal 2021 (equal to $6.92 per diluted share) compared to $532 million for Fiscal </w:t>
      </w:r>
      <w:r>
        <w:rPr>
          <w:rFonts w:eastAsia="Times New Roman"/>
          <w:color w:val="000000"/>
          <w:sz w:val="20"/>
          <w:szCs w:val="20"/>
        </w:rPr>
        <w:t>2020 (equal to $2.54 per diluted share). Net income att</w:t>
      </w:r>
      <w:r>
        <w:rPr>
          <w:rFonts w:eastAsia="Times New Roman"/>
          <w:color w:val="000000"/>
          <w:sz w:val="20"/>
          <w:szCs w:val="20"/>
        </w:rPr>
        <w:t>ributable to UGI Corporation in Fiscal 2021 reflects a $951 million year-over-year increase in net unrealized gains on commodity derivative instruments and certain foreign currency derivative instruments. This increase is primarily attributable to the sign</w:t>
      </w:r>
      <w:r>
        <w:rPr>
          <w:rFonts w:eastAsia="Times New Roman"/>
          <w:color w:val="000000"/>
          <w:sz w:val="20"/>
          <w:szCs w:val="20"/>
        </w:rPr>
        <w:t>ificant rise in commodity prices during Fiscal 2021, and has contributed to the accumulation of substantial derivative assets related to the Company’s commodity derivative instruments at September 30, 2021. Fiscal 2021 net income attributable to UGI Corpor</w:t>
      </w:r>
      <w:r>
        <w:rPr>
          <w:rFonts w:eastAsia="Times New Roman"/>
          <w:color w:val="000000"/>
          <w:sz w:val="20"/>
          <w:szCs w:val="20"/>
        </w:rPr>
        <w:t>ation also reflects higher business transformation expenses, impairments of investments and long-lived assets, and acquisition and integration expenses compared to the prior year, as well as a $23 million tax benefit related to an election made in connecti</w:t>
      </w:r>
      <w:r>
        <w:rPr>
          <w:rFonts w:eastAsia="Times New Roman"/>
          <w:color w:val="000000"/>
          <w:sz w:val="20"/>
          <w:szCs w:val="20"/>
        </w:rPr>
        <w:t>on with a tax law change in Italy. Fiscal 2020 net income attributable to UGI Corporation includes a $39 million loss on assets that were disposed of in September 2020.</w:t>
      </w:r>
      <w:r>
        <w:rPr>
          <w:rFonts w:eastAsia="Times New Roman"/>
          <w:color w:val="000000"/>
          <w:sz w:val="20"/>
          <w:szCs w:val="20"/>
          <w:shd w:val="clear" w:color="auto" w:fill="FFFFFF"/>
        </w:rPr>
        <w:t xml:space="preserve"> </w:t>
      </w:r>
    </w:p>
    <w:p w:rsidR="00000000" w:rsidRDefault="00DF5BC2">
      <w:pPr>
        <w:divId w:val="1004238242"/>
        <w:rPr>
          <w:rFonts w:eastAsia="Times New Roman"/>
        </w:rPr>
      </w:pPr>
    </w:p>
    <w:p w:rsidR="00000000" w:rsidRDefault="00DF5BC2">
      <w:pPr>
        <w:jc w:val="both"/>
        <w:divId w:val="1902477229"/>
        <w:rPr>
          <w:rFonts w:eastAsia="Times New Roman"/>
        </w:rPr>
      </w:pPr>
      <w:r>
        <w:rPr>
          <w:rFonts w:eastAsia="Times New Roman"/>
          <w:color w:val="000000"/>
          <w:sz w:val="20"/>
          <w:szCs w:val="20"/>
        </w:rPr>
        <w:t>Adjusted net income attributable to UGI Corporation for Fiscal 2021 was $629 million</w:t>
      </w:r>
      <w:r>
        <w:rPr>
          <w:rFonts w:eastAsia="Times New Roman"/>
          <w:color w:val="000000"/>
          <w:sz w:val="20"/>
          <w:szCs w:val="20"/>
        </w:rPr>
        <w:t xml:space="preserve"> (equal to $2.96 per diluted share) compared to adjusted net income attributable to UGI Corporation for Fiscal 2020 of $561 million (equal to $2.67 per diluted share). The increase in adjusted net income attributable to UGI Corporation during Fiscal 2021 r</w:t>
      </w:r>
      <w:r>
        <w:rPr>
          <w:rFonts w:eastAsia="Times New Roman"/>
          <w:color w:val="000000"/>
          <w:sz w:val="20"/>
          <w:szCs w:val="20"/>
        </w:rPr>
        <w:t>eflects higher earnings contributions from each of our four business segments including improved margin at UGI International which benefited from colder weather compared to the prior year and the translation effects of stronger foreign currencies. Higher a</w:t>
      </w:r>
      <w:r>
        <w:rPr>
          <w:rFonts w:eastAsia="Times New Roman"/>
          <w:color w:val="000000"/>
          <w:sz w:val="20"/>
          <w:szCs w:val="20"/>
        </w:rPr>
        <w:t>verage LPG unit margins including the continued effects of margin management efforts, the increase in base rates at UGI Utilities, Inc. in Fiscal 2021, and the effects of acquisitions and assets placed into service since the fourth quarter of Fiscal 2020 a</w:t>
      </w:r>
      <w:r>
        <w:rPr>
          <w:rFonts w:eastAsia="Times New Roman"/>
          <w:color w:val="000000"/>
          <w:sz w:val="20"/>
          <w:szCs w:val="20"/>
        </w:rPr>
        <w:t xml:space="preserve">lso contributed to the improvement. These positive impacts were partially offset by higher depreciation and amortization expense and a lower benefit under the CARES Act compared to the prior year. </w:t>
      </w:r>
    </w:p>
    <w:p w:rsidR="00000000" w:rsidRDefault="00DF5BC2">
      <w:pPr>
        <w:jc w:val="both"/>
        <w:divId w:val="986252070"/>
        <w:rPr>
          <w:rFonts w:eastAsia="Times New Roman"/>
        </w:rPr>
      </w:pPr>
      <w:r>
        <w:rPr>
          <w:rFonts w:eastAsia="Times New Roman"/>
          <w:color w:val="000000"/>
          <w:sz w:val="20"/>
          <w:szCs w:val="20"/>
          <w:shd w:val="clear" w:color="auto" w:fill="FFFFFF"/>
        </w:rPr>
        <w:t>AmeriGas Propane’s adjusted net income attributable to UGI</w:t>
      </w:r>
      <w:r>
        <w:rPr>
          <w:rFonts w:eastAsia="Times New Roman"/>
          <w:color w:val="000000"/>
          <w:sz w:val="20"/>
          <w:szCs w:val="20"/>
          <w:shd w:val="clear" w:color="auto" w:fill="FFFFFF"/>
        </w:rPr>
        <w:t xml:space="preserve"> Corporation increased $12 million during Fiscal 2021. This increase principally reflects lower operating and administrative expenses, including partial benefits related to the execution of transformation initiatives, higher other income attributable to cu</w:t>
      </w:r>
      <w:r>
        <w:rPr>
          <w:rFonts w:eastAsia="Times New Roman"/>
          <w:color w:val="000000"/>
          <w:sz w:val="20"/>
          <w:szCs w:val="20"/>
          <w:shd w:val="clear" w:color="auto" w:fill="FFFFFF"/>
        </w:rPr>
        <w:t xml:space="preserve">stomer fees </w:t>
      </w:r>
      <w:r>
        <w:rPr>
          <w:rFonts w:eastAsia="Times New Roman"/>
          <w:color w:val="000000"/>
          <w:sz w:val="20"/>
          <w:szCs w:val="20"/>
        </w:rPr>
        <w:t>and gains on the early settlement of certain commodity derivative instruments during Fiscal 2021</w:t>
      </w:r>
      <w:r>
        <w:rPr>
          <w:rFonts w:eastAsia="Times New Roman"/>
          <w:color w:val="000000"/>
          <w:sz w:val="20"/>
          <w:szCs w:val="20"/>
          <w:shd w:val="clear" w:color="auto" w:fill="FFFFFF"/>
        </w:rPr>
        <w:t>, and lower interest and depreciation and amortization expense compared to the prior year. These positive factors were partially offset by lower ret</w:t>
      </w:r>
      <w:r>
        <w:rPr>
          <w:rFonts w:eastAsia="Times New Roman"/>
          <w:color w:val="000000"/>
          <w:sz w:val="20"/>
          <w:szCs w:val="20"/>
          <w:shd w:val="clear" w:color="auto" w:fill="FFFFFF"/>
        </w:rPr>
        <w:t>ail propane margin primarily attributable to lower volumes.</w:t>
      </w:r>
    </w:p>
    <w:p w:rsidR="00000000" w:rsidRDefault="00DF5BC2">
      <w:pPr>
        <w:jc w:val="both"/>
        <w:divId w:val="1361322914"/>
        <w:rPr>
          <w:rFonts w:eastAsia="Times New Roman"/>
        </w:rPr>
      </w:pPr>
      <w:r>
        <w:rPr>
          <w:rFonts w:eastAsia="Times New Roman"/>
          <w:color w:val="000000"/>
          <w:sz w:val="20"/>
          <w:szCs w:val="20"/>
          <w:shd w:val="clear" w:color="auto" w:fill="FFFFFF"/>
        </w:rPr>
        <w:t>UGI International’s adjusted net income attributable to UGI Corporation increased $48 million during Fiscal 2021 principally reflecting increased LPG volumes which benefited from colder weather co</w:t>
      </w:r>
      <w:r>
        <w:rPr>
          <w:rFonts w:eastAsia="Times New Roman"/>
          <w:color w:val="000000"/>
          <w:sz w:val="20"/>
          <w:szCs w:val="20"/>
          <w:shd w:val="clear" w:color="auto" w:fill="FFFFFF"/>
        </w:rPr>
        <w:t>mpared to Fiscal 2020, higher average LPG unit margins including effective margin management efforts, and the translation effects of stronger foreign currencies. These positive factors were partially offset by higher operating and administrative expenses r</w:t>
      </w:r>
      <w:r>
        <w:rPr>
          <w:rFonts w:eastAsia="Times New Roman"/>
          <w:color w:val="000000"/>
          <w:sz w:val="20"/>
          <w:szCs w:val="20"/>
          <w:shd w:val="clear" w:color="auto" w:fill="FFFFFF"/>
        </w:rPr>
        <w:t>eflecting increased maintenance and distribution costs attributable to the stronger LPG volumes compared to Fiscal 2020, as well as the previously mentioned effects of stronger foreign currencies.</w:t>
      </w:r>
    </w:p>
    <w:p w:rsidR="00000000" w:rsidRDefault="00DF5BC2">
      <w:pPr>
        <w:jc w:val="both"/>
        <w:divId w:val="114838543"/>
        <w:rPr>
          <w:rFonts w:eastAsia="Times New Roman"/>
        </w:rPr>
      </w:pPr>
      <w:r>
        <w:rPr>
          <w:rFonts w:eastAsia="Times New Roman"/>
          <w:color w:val="000000"/>
          <w:sz w:val="20"/>
          <w:szCs w:val="20"/>
        </w:rPr>
        <w:t>Midstream &amp; Marketing adjusted net income in Fiscal 2021 wa</w:t>
      </w:r>
      <w:r>
        <w:rPr>
          <w:rFonts w:eastAsia="Times New Roman"/>
          <w:color w:val="000000"/>
          <w:sz w:val="20"/>
          <w:szCs w:val="20"/>
        </w:rPr>
        <w:t>s $15 million higher than the prior year. This increase principally reflects incremental margin from capacity management and renewable energy marketing activities, and lower operating and administrative expenses largely related to the impact of divested as</w:t>
      </w:r>
      <w:r>
        <w:rPr>
          <w:rFonts w:eastAsia="Times New Roman"/>
          <w:color w:val="000000"/>
          <w:sz w:val="20"/>
          <w:szCs w:val="20"/>
        </w:rPr>
        <w:t xml:space="preserve">sets. </w:t>
      </w:r>
    </w:p>
    <w:p w:rsidR="00000000" w:rsidRDefault="00DF5BC2">
      <w:pPr>
        <w:jc w:val="both"/>
        <w:rPr>
          <w:rFonts w:eastAsia="Times New Roman"/>
        </w:rPr>
      </w:pPr>
      <w:r>
        <w:rPr>
          <w:rFonts w:eastAsia="Times New Roman"/>
          <w:color w:val="000000"/>
          <w:sz w:val="20"/>
          <w:szCs w:val="20"/>
          <w:shd w:val="clear" w:color="auto" w:fill="FFFFFF"/>
        </w:rPr>
        <w:t>UGI Utilities Fiscal 2021 adjusted net income increased $8 million compared to the prior year. This increase reflects higher natural gas margin largely attributable to the increase in base rates that went into effect in Fiscal 2021 and higher margin</w:t>
      </w:r>
      <w:r>
        <w:rPr>
          <w:rFonts w:eastAsia="Times New Roman"/>
          <w:color w:val="000000"/>
          <w:sz w:val="20"/>
          <w:szCs w:val="20"/>
          <w:shd w:val="clear" w:color="auto" w:fill="FFFFFF"/>
        </w:rPr>
        <w:t xml:space="preserve"> from large delivery service customers, and an increase in Electric Utility margin resulting from higher volumes compared to the prior year. These improvements were partially offset by higher operating and administrative expenses attributable to the effect</w:t>
      </w:r>
      <w:r>
        <w:rPr>
          <w:rFonts w:eastAsia="Times New Roman"/>
          <w:color w:val="000000"/>
          <w:sz w:val="20"/>
          <w:szCs w:val="20"/>
          <w:shd w:val="clear" w:color="auto" w:fill="FFFFFF"/>
        </w:rPr>
        <w:t xml:space="preserve">s of the Mountaineer Acquisition and increased depreciation expense related to continued capital expenditure activity. </w:t>
      </w:r>
    </w:p>
    <w:p w:rsidR="00000000" w:rsidRDefault="00DF5BC2">
      <w:pPr>
        <w:jc w:val="center"/>
        <w:divId w:val="1824154961"/>
        <w:rPr>
          <w:rFonts w:eastAsia="Times New Roman"/>
        </w:rPr>
      </w:pPr>
      <w:r>
        <w:rPr>
          <w:rFonts w:eastAsia="Times New Roman"/>
          <w:color w:val="000000"/>
          <w:sz w:val="20"/>
          <w:szCs w:val="20"/>
        </w:rPr>
        <w:t>53</w:t>
      </w:r>
    </w:p>
    <w:p w:rsidR="00000000" w:rsidRDefault="00DF5BC2">
      <w:pPr>
        <w:rPr>
          <w:rFonts w:eastAsia="Times New Roman"/>
        </w:rPr>
      </w:pPr>
      <w:r>
        <w:rPr>
          <w:rFonts w:eastAsia="Times New Roman"/>
        </w:rPr>
        <w:pict>
          <v:rect id="_x0000_i1080" style="width:0;height:1.5pt" o:hralign="center" o:hrstd="t" o:hr="t" fillcolor="#a0a0a0" stroked="f"/>
        </w:pict>
      </w:r>
    </w:p>
    <w:p w:rsidR="00000000" w:rsidRDefault="00DF5BC2">
      <w:pPr>
        <w:divId w:val="900605339"/>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927"/>
        <w:gridCol w:w="37"/>
        <w:gridCol w:w="36"/>
        <w:gridCol w:w="36"/>
        <w:gridCol w:w="36"/>
        <w:gridCol w:w="120"/>
        <w:gridCol w:w="718"/>
        <w:gridCol w:w="187"/>
        <w:gridCol w:w="36"/>
        <w:gridCol w:w="36"/>
        <w:gridCol w:w="36"/>
        <w:gridCol w:w="120"/>
        <w:gridCol w:w="718"/>
        <w:gridCol w:w="187"/>
        <w:gridCol w:w="36"/>
        <w:gridCol w:w="36"/>
        <w:gridCol w:w="36"/>
        <w:gridCol w:w="121"/>
        <w:gridCol w:w="720"/>
        <w:gridCol w:w="37"/>
        <w:gridCol w:w="37"/>
        <w:gridCol w:w="37"/>
        <w:gridCol w:w="36"/>
        <w:gridCol w:w="37"/>
        <w:gridCol w:w="681"/>
        <w:gridCol w:w="187"/>
      </w:tblGrid>
      <w:tr w:rsidR="00000000">
        <w:tc>
          <w:tcPr>
            <w:tcW w:w="50" w:type="pct"/>
            <w:vAlign w:val="center"/>
            <w:hideMark/>
          </w:tcPr>
          <w:p w:rsidR="00000000" w:rsidRDefault="00DF5BC2">
            <w:pPr>
              <w:jc w:val="both"/>
              <w:rPr>
                <w:rFonts w:eastAsia="Times New Roman"/>
              </w:rPr>
            </w:pPr>
          </w:p>
        </w:tc>
        <w:tc>
          <w:tcPr>
            <w:tcW w:w="24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AmeriGas Propane</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2,381 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1,421 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869 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890 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income / 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968 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987 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Degree days – % warmer than normal (b)</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(a</w:t>
      </w:r>
      <w:r>
        <w:rPr>
          <w:rFonts w:eastAsia="Times New Roman"/>
          <w:color w:val="000000"/>
          <w:sz w:val="20"/>
          <w:szCs w:val="20"/>
        </w:rPr>
        <w:t>)Total margin represents revenues less cost of sales.</w:t>
      </w:r>
    </w:p>
    <w:p w:rsidR="00000000" w:rsidRDefault="00DF5BC2">
      <w:pPr>
        <w:ind w:hanging="360"/>
        <w:jc w:val="both"/>
        <w:rPr>
          <w:rFonts w:eastAsia="Times New Roman"/>
        </w:rPr>
      </w:pPr>
      <w:r>
        <w:rPr>
          <w:rFonts w:eastAsia="Times New Roman"/>
          <w:color w:val="000000"/>
          <w:sz w:val="20"/>
          <w:szCs w:val="20"/>
        </w:rPr>
        <w:t xml:space="preserve">(b)Beginning in Fiscal 2021, deviation from average heating degree days is determined on a rolling 10-year period utilizing volume-weighted weather data based on weather statistics provided by NOAA for </w:t>
      </w:r>
      <w:r>
        <w:rPr>
          <w:rFonts w:eastAsia="Times New Roman"/>
          <w:color w:val="000000"/>
          <w:sz w:val="20"/>
          <w:szCs w:val="20"/>
        </w:rPr>
        <w:t>344 regions in the United States, excluding Alaska and Hawaii. Prior-period amounts have been restated to conform to the current-period presentation.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Average temperatures during Fiscal 2021 were 2.8% warmer than normal and 2.2% warmer than the prior year</w:t>
      </w:r>
      <w:r>
        <w:rPr>
          <w:rFonts w:eastAsia="Times New Roman"/>
          <w:color w:val="000000"/>
          <w:sz w:val="20"/>
          <w:szCs w:val="20"/>
        </w:rPr>
        <w:t>. Total retail gallons sold decreased during Fiscal 2021 principally reflecting structural conservation and other residual volume loss and the greater impact of COVID-19 on commercial volumes compared to Fiscal 2020. These decreases were partially offset b</w:t>
      </w:r>
      <w:r>
        <w:rPr>
          <w:rFonts w:eastAsia="Times New Roman"/>
          <w:color w:val="000000"/>
          <w:sz w:val="20"/>
          <w:szCs w:val="20"/>
        </w:rPr>
        <w:t xml:space="preserve">y higher resale and motor fuel volumes during Fiscal 2021.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Total revenues increased $233 million during Fiscal 2021 largely reflecting higher average propane selling prices ($255 million) and increased wholesale volumes ($26 million) partially offset by</w:t>
      </w:r>
      <w:r>
        <w:rPr>
          <w:rFonts w:eastAsia="Times New Roman"/>
          <w:color w:val="000000"/>
          <w:sz w:val="20"/>
          <w:szCs w:val="20"/>
        </w:rPr>
        <w:t xml:space="preserve"> the lower retail propane volumes ($39 million) compared to Fiscal 2020. Average daily wholesale propane commodity prices during Fiscal 2021 at Mont Belvieu, Texas, one of the major supply points in the U.S., were approximately 97% higher than such prices </w:t>
      </w:r>
      <w:r>
        <w:rPr>
          <w:rFonts w:eastAsia="Times New Roman"/>
          <w:color w:val="000000"/>
          <w:sz w:val="20"/>
          <w:szCs w:val="20"/>
        </w:rPr>
        <w:t>during Fiscal 2020. Total cost of sales increased $257 million during Fiscal 2021 largely attributable to the higher average propane product costs ($245 million) and higher wholesale propane volumes ($24 million), partially offset by the lower retail propa</w:t>
      </w:r>
      <w:r>
        <w:rPr>
          <w:rFonts w:eastAsia="Times New Roman"/>
          <w:color w:val="000000"/>
          <w:sz w:val="20"/>
          <w:szCs w:val="20"/>
        </w:rPr>
        <w:t>ne volumes ($16 million).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AmeriGas Propane total margin decreased $24 million in Fiscal 2021 largely attributable to the lower retail propane volumes ($24 million) and decreased non-propane margin ($13 million) principally reflecting lower fees and servi</w:t>
      </w:r>
      <w:r>
        <w:rPr>
          <w:rFonts w:eastAsia="Times New Roman"/>
          <w:color w:val="000000"/>
          <w:sz w:val="20"/>
          <w:szCs w:val="20"/>
        </w:rPr>
        <w:t xml:space="preserve">ces partially offset by increased cylinder sales. These decreases were partially offset by higher average propane margin ($10 million) resulting from the rising propane cost environment and effective margin management efforts.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Operating income and earni</w:t>
      </w:r>
      <w:r>
        <w:rPr>
          <w:rFonts w:eastAsia="Times New Roman"/>
          <w:color w:val="000000"/>
          <w:sz w:val="20"/>
          <w:szCs w:val="20"/>
        </w:rPr>
        <w:t>ngs before interest expense and income taxes increased $12 million during Fiscal 2021 reflecting lower operating and administrative expenses ($21 million) compared to Fiscal 2020, higher other income ($10 million) attributable to customer fees and gains on</w:t>
      </w:r>
      <w:r>
        <w:rPr>
          <w:rFonts w:eastAsia="Times New Roman"/>
          <w:color w:val="000000"/>
          <w:sz w:val="20"/>
          <w:szCs w:val="20"/>
        </w:rPr>
        <w:t xml:space="preserve"> the early settlement of certain commodity derivative instruments during Fiscal 2021, and lower depreciation and amortization expense ($5 million). These positive impacts were largely offset by the previously mentioned decrease in total margin ($24 million</w:t>
      </w:r>
      <w:r>
        <w:rPr>
          <w:rFonts w:eastAsia="Times New Roman"/>
          <w:color w:val="000000"/>
          <w:sz w:val="20"/>
          <w:szCs w:val="20"/>
        </w:rPr>
        <w:t>). The decrease in operating and administrative expenses in Fiscal 2021 reflects, among other things, lower employee compensation and benefits-related costs ($26 million), decreased equipment operating and maintenance expenses ($7 million), and lower gener</w:t>
      </w:r>
      <w:r>
        <w:rPr>
          <w:rFonts w:eastAsia="Times New Roman"/>
          <w:color w:val="000000"/>
          <w:sz w:val="20"/>
          <w:szCs w:val="20"/>
        </w:rPr>
        <w:t>al insurance costs ($4 million) compared to Fiscal 2020. These decreases were partially offset by increased advertising expenses ($7 million) and higher vehicle lease expense ($4 million) compared to Fiscal 2020. The lower operating and administrative expe</w:t>
      </w:r>
      <w:r>
        <w:rPr>
          <w:rFonts w:eastAsia="Times New Roman"/>
          <w:color w:val="000000"/>
          <w:sz w:val="20"/>
          <w:szCs w:val="20"/>
        </w:rPr>
        <w:t>nses reflect the partial benefits related to the previously mentioned ongoing business transformation initiatives.</w:t>
      </w:r>
    </w:p>
    <w:p w:rsidR="00000000" w:rsidRDefault="00DF5BC2">
      <w:pPr>
        <w:jc w:val="both"/>
        <w:rPr>
          <w:rFonts w:eastAsia="Times New Roman"/>
        </w:rPr>
      </w:pPr>
    </w:p>
    <w:p w:rsidR="00000000" w:rsidRDefault="00DF5BC2">
      <w:pPr>
        <w:jc w:val="center"/>
        <w:divId w:val="1840927789"/>
        <w:rPr>
          <w:rFonts w:eastAsia="Times New Roman"/>
        </w:rPr>
      </w:pPr>
      <w:r>
        <w:rPr>
          <w:rFonts w:eastAsia="Times New Roman"/>
          <w:color w:val="000000"/>
          <w:sz w:val="20"/>
          <w:szCs w:val="20"/>
        </w:rPr>
        <w:t>54</w:t>
      </w:r>
    </w:p>
    <w:p w:rsidR="00000000" w:rsidRDefault="00DF5BC2">
      <w:pPr>
        <w:rPr>
          <w:rFonts w:eastAsia="Times New Roman"/>
        </w:rPr>
      </w:pPr>
      <w:r>
        <w:rPr>
          <w:rFonts w:eastAsia="Times New Roman"/>
        </w:rPr>
        <w:pict>
          <v:rect id="_x0000_i1081" style="width:0;height:1.5pt" o:hralign="center" o:hrstd="t" o:hr="t" fillcolor="#a0a0a0" stroked="f"/>
        </w:pict>
      </w:r>
    </w:p>
    <w:p w:rsidR="00000000" w:rsidRDefault="00DF5BC2">
      <w:pPr>
        <w:divId w:val="1712537426"/>
        <w:rPr>
          <w:rFonts w:eastAsia="Times New Roman"/>
        </w:rPr>
      </w:pPr>
      <w:hyperlink w:anchor="ica38aa2cb9a04eba8f8cadac27ee7fb9_7" w:history="1">
        <w:r>
          <w:rPr>
            <w:rStyle w:val="a3"/>
            <w:rFonts w:eastAsia="Times New Roman"/>
            <w:b/>
            <w:bCs/>
            <w:sz w:val="20"/>
            <w:szCs w:val="20"/>
          </w:rPr>
          <w:t>Table of Contents</w:t>
        </w:r>
      </w:hyperlink>
    </w:p>
    <w:tbl>
      <w:tblPr>
        <w:tblW w:w="4978" w:type="pct"/>
        <w:tblCellMar>
          <w:top w:w="15" w:type="dxa"/>
          <w:left w:w="15" w:type="dxa"/>
          <w:bottom w:w="15" w:type="dxa"/>
          <w:right w:w="15" w:type="dxa"/>
        </w:tblCellMar>
        <w:tblLook w:val="04A0" w:firstRow="1" w:lastRow="0" w:firstColumn="1" w:lastColumn="0" w:noHBand="0" w:noVBand="1"/>
      </w:tblPr>
      <w:tblGrid>
        <w:gridCol w:w="37"/>
        <w:gridCol w:w="3928"/>
        <w:gridCol w:w="36"/>
        <w:gridCol w:w="36"/>
        <w:gridCol w:w="36"/>
        <w:gridCol w:w="36"/>
        <w:gridCol w:w="120"/>
        <w:gridCol w:w="720"/>
        <w:gridCol w:w="187"/>
        <w:gridCol w:w="36"/>
        <w:gridCol w:w="36"/>
        <w:gridCol w:w="36"/>
        <w:gridCol w:w="120"/>
        <w:gridCol w:w="720"/>
        <w:gridCol w:w="187"/>
        <w:gridCol w:w="36"/>
        <w:gridCol w:w="36"/>
        <w:gridCol w:w="36"/>
        <w:gridCol w:w="120"/>
        <w:gridCol w:w="720"/>
        <w:gridCol w:w="36"/>
        <w:gridCol w:w="36"/>
        <w:gridCol w:w="36"/>
        <w:gridCol w:w="36"/>
        <w:gridCol w:w="37"/>
        <w:gridCol w:w="682"/>
        <w:gridCol w:w="187"/>
      </w:tblGrid>
      <w:tr w:rsidR="00000000">
        <w:tc>
          <w:tcPr>
            <w:tcW w:w="50" w:type="pct"/>
            <w:vAlign w:val="center"/>
            <w:hideMark/>
          </w:tcPr>
          <w:p w:rsidR="00000000" w:rsidRDefault="00DF5BC2">
            <w:pPr>
              <w:rPr>
                <w:rFonts w:eastAsia="Times New Roman"/>
              </w:rPr>
            </w:pPr>
          </w:p>
        </w:tc>
        <w:tc>
          <w:tcPr>
            <w:tcW w:w="24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UGI International</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Increase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2,651 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2,127 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1,053 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622 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757 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Degree days - % colder (warmer) than normal (b)</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(a</w:t>
      </w:r>
      <w:r>
        <w:rPr>
          <w:rFonts w:eastAsia="Times New Roman"/>
          <w:color w:val="000000"/>
          <w:sz w:val="20"/>
          <w:szCs w:val="20"/>
        </w:rPr>
        <w:t>)Total margin represents total revenues less total cost of sales and in Fiscal 2020, LPG cylinder filling costs of $28 million. For financial statement purposes, LPG cylinder filling costs in Fiscal 2020 are included in “Operating and administrative expens</w:t>
      </w:r>
      <w:r>
        <w:rPr>
          <w:rFonts w:eastAsia="Times New Roman"/>
          <w:color w:val="000000"/>
          <w:sz w:val="20"/>
          <w:szCs w:val="20"/>
        </w:rPr>
        <w:t>es” on the 2020 Consolidated Statement of Income (but are excluded from operating and administrative expenses presented above). LPG cylinder filling costs are included in “Cost of sales” on the 2021 Consolidated Statement of Income.</w:t>
      </w:r>
    </w:p>
    <w:p w:rsidR="00000000" w:rsidRDefault="00DF5BC2">
      <w:pPr>
        <w:ind w:hanging="360"/>
        <w:jc w:val="both"/>
        <w:rPr>
          <w:rFonts w:eastAsia="Times New Roman"/>
        </w:rPr>
      </w:pPr>
      <w:r>
        <w:rPr>
          <w:rFonts w:eastAsia="Times New Roman"/>
          <w:color w:val="000000"/>
          <w:sz w:val="20"/>
          <w:szCs w:val="20"/>
        </w:rPr>
        <w:t xml:space="preserve">(b)Beginning in Fiscal </w:t>
      </w:r>
      <w:r>
        <w:rPr>
          <w:rFonts w:eastAsia="Times New Roman"/>
          <w:color w:val="000000"/>
          <w:sz w:val="20"/>
          <w:szCs w:val="20"/>
        </w:rPr>
        <w:t>2021, deviation from average heating degree days is determined on a rolling 10-year period utilizing volume-weighted weather data at locations in our UGI International service territories. Prior-period amounts have been restated to conform to the current-p</w:t>
      </w:r>
      <w:r>
        <w:rPr>
          <w:rFonts w:eastAsia="Times New Roman"/>
          <w:color w:val="000000"/>
          <w:sz w:val="20"/>
          <w:szCs w:val="20"/>
        </w:rPr>
        <w:t>eriod presentation.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Average temperatures during Fiscal 2021 were slightly colder than normal and 14.1% colder than Fiscal 2020. Total LPG retail gallons sold during Fiscal 2021 increased 5% compared to Fiscal 2020 largely attributable to higher bulk volu</w:t>
      </w:r>
      <w:r>
        <w:rPr>
          <w:rFonts w:eastAsia="Times New Roman"/>
          <w:color w:val="000000"/>
          <w:sz w:val="20"/>
          <w:szCs w:val="20"/>
        </w:rPr>
        <w:t>mes reflecting the effects of the colder weather on heating-related bulk sales. These volume improvements also reflect small acquisitions in Switzerland and Finland and the recovery of certain volume decreases attributable to COVID-19 during Fiscal 2021, a</w:t>
      </w:r>
      <w:r>
        <w:rPr>
          <w:rFonts w:eastAsia="Times New Roman"/>
          <w:color w:val="000000"/>
          <w:sz w:val="20"/>
          <w:szCs w:val="20"/>
        </w:rPr>
        <w:t>nd were partially offset by the termination of a high-volume, low-margin autogas contract in Italy during Fiscal 2020. Average wholesale prices for propane and butane during Fiscal 2021 in northwest Europe were approximately 52% and 33% higher, respectivel</w:t>
      </w:r>
      <w:r>
        <w:rPr>
          <w:rFonts w:eastAsia="Times New Roman"/>
          <w:color w:val="000000"/>
          <w:sz w:val="20"/>
          <w:szCs w:val="20"/>
        </w:rPr>
        <w:t>y, compared to Fiscal 2020.</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UGI International base-currency results are translated into U.S. dollars based upon exchange rates experienced during the reporting periods. The functional currency of a significant portion of our UGI International results is </w:t>
      </w:r>
      <w:r>
        <w:rPr>
          <w:rFonts w:eastAsia="Times New Roman"/>
          <w:color w:val="000000"/>
          <w:sz w:val="20"/>
          <w:szCs w:val="20"/>
        </w:rPr>
        <w:t>the euro and, to a much lesser extent, the British pound sterling. During Fiscal 2021 and Fiscal 2020, the average unweighted euro-to-dollar translation rates were approximately $1.20 and $1.12, respectively, and the average unweighted British pound sterli</w:t>
      </w:r>
      <w:r>
        <w:rPr>
          <w:rFonts w:eastAsia="Times New Roman"/>
          <w:color w:val="000000"/>
          <w:sz w:val="20"/>
          <w:szCs w:val="20"/>
        </w:rPr>
        <w:t>ng-to-dollar translation rates were approximately $1.37 and $1.28, respectively. Fluctuations in these foreign currency exchange rates can have a significant impact on the individual financial statement components discussed below. The net effect of changes</w:t>
      </w:r>
      <w:r>
        <w:rPr>
          <w:rFonts w:eastAsia="Times New Roman"/>
          <w:color w:val="000000"/>
          <w:sz w:val="20"/>
          <w:szCs w:val="20"/>
        </w:rPr>
        <w:t xml:space="preserve"> in foreign currency exchange rates on UGI International’s earnings before interest expense and income taxes resulted in a net benefit of $26 million in Fiscal 2021. However, the impact of these changes is mitigated by the effects of forward foreign curren</w:t>
      </w:r>
      <w:r>
        <w:rPr>
          <w:rFonts w:eastAsia="Times New Roman"/>
          <w:color w:val="000000"/>
          <w:sz w:val="20"/>
          <w:szCs w:val="20"/>
        </w:rPr>
        <w:t>cy exchange contracts entered into over a multi-year period intended to substantially offset this volatility. These forward foreign currency exchange contracts resulted in realized net gains of $1 million and $15 million, respectively, in Fiscal 2021 and F</w:t>
      </w:r>
      <w:r>
        <w:rPr>
          <w:rFonts w:eastAsia="Times New Roman"/>
          <w:color w:val="000000"/>
          <w:sz w:val="20"/>
          <w:szCs w:val="20"/>
        </w:rPr>
        <w:t xml:space="preserve">iscal 2020.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International revenues and cost of sales increased $524 million and $379 million, respectively, during Fiscal 2021. The increase in revenues and cost of sales principally reflects the translation effects of stronger foreign currencies (a</w:t>
      </w:r>
      <w:r>
        <w:rPr>
          <w:rFonts w:eastAsia="Times New Roman"/>
          <w:color w:val="000000"/>
          <w:sz w:val="20"/>
          <w:szCs w:val="20"/>
        </w:rPr>
        <w:t>pproximately $174 million and $102 million, respectively), the effects of higher average butane and propane selling prices and product costs compared to Fiscal 2020, and the previously mentioned increase in bulk volumes. Energy marketing activities also co</w:t>
      </w:r>
      <w:r>
        <w:rPr>
          <w:rFonts w:eastAsia="Times New Roman"/>
          <w:color w:val="000000"/>
          <w:sz w:val="20"/>
          <w:szCs w:val="20"/>
        </w:rPr>
        <w:t>ntributed to the increased revenues and cost of sales during Fiscal 2021 largely related to higher natural gas volumes and prices.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International total margin increased $145 million during Fiscal 2021 reflecting the translation effects of stronger for</w:t>
      </w:r>
      <w:r>
        <w:rPr>
          <w:rFonts w:eastAsia="Times New Roman"/>
          <w:color w:val="000000"/>
          <w:sz w:val="20"/>
          <w:szCs w:val="20"/>
        </w:rPr>
        <w:t>eign currencies (approximately $72 million), the previously mentioned increase in total LPG volumes, lower costs associated with energy conservation certificates, and higher average LPG unit margins including the continued effects of margin management effo</w:t>
      </w:r>
      <w:r>
        <w:rPr>
          <w:rFonts w:eastAsia="Times New Roman"/>
          <w:color w:val="000000"/>
          <w:sz w:val="20"/>
          <w:szCs w:val="20"/>
        </w:rPr>
        <w:t>rts. These margin improvements include the impact of LPG assets acquired in Fiscal 2021 and higher margin from energy marketing activities principally reflecting increased natural gas volumes.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International operating income and earnings before intere</w:t>
      </w:r>
      <w:r>
        <w:rPr>
          <w:rFonts w:eastAsia="Times New Roman"/>
          <w:color w:val="000000"/>
          <w:sz w:val="20"/>
          <w:szCs w:val="20"/>
        </w:rPr>
        <w:t>st expense and income taxes increased $73 million and $58 million, respectively, during Fiscal 2021. The increase in operating income principally reflects the increase in total margin partially offset by higher operating and administrative expenses ($77 mi</w:t>
      </w:r>
      <w:r>
        <w:rPr>
          <w:rFonts w:eastAsia="Times New Roman"/>
          <w:color w:val="000000"/>
          <w:sz w:val="20"/>
          <w:szCs w:val="20"/>
        </w:rPr>
        <w:t xml:space="preserve">llion) which was largely attributable to the effects of stronger foreign currencies ($38 million) compared to Fiscal 2020. The increase in operating and administrative expenses also reflects higher maintenance, distribution and employee compensation costs </w:t>
      </w:r>
      <w:r>
        <w:rPr>
          <w:rFonts w:eastAsia="Times New Roman"/>
          <w:color w:val="000000"/>
          <w:sz w:val="20"/>
          <w:szCs w:val="20"/>
        </w:rPr>
        <w:t xml:space="preserve">attributable to the increased volumes. The increase in earnings before interest expense and income taxes in Fiscal 2021 largely reflects the increase in operating income partially </w:t>
      </w:r>
    </w:p>
    <w:p w:rsidR="00000000" w:rsidRDefault="00DF5BC2">
      <w:pPr>
        <w:jc w:val="center"/>
        <w:divId w:val="1628507233"/>
        <w:rPr>
          <w:rFonts w:eastAsia="Times New Roman"/>
        </w:rPr>
      </w:pPr>
      <w:r>
        <w:rPr>
          <w:rFonts w:eastAsia="Times New Roman"/>
          <w:color w:val="000000"/>
          <w:sz w:val="20"/>
          <w:szCs w:val="20"/>
        </w:rPr>
        <w:t>55</w:t>
      </w:r>
    </w:p>
    <w:p w:rsidR="00000000" w:rsidRDefault="00DF5BC2">
      <w:pPr>
        <w:rPr>
          <w:rFonts w:eastAsia="Times New Roman"/>
        </w:rPr>
      </w:pPr>
      <w:r>
        <w:rPr>
          <w:rFonts w:eastAsia="Times New Roman"/>
        </w:rPr>
        <w:pict>
          <v:rect id="_x0000_i1082" style="width:0;height:1.5pt" o:hralign="center" o:hrstd="t" o:hr="t" fillcolor="#a0a0a0" stroked="f"/>
        </w:pict>
      </w:r>
    </w:p>
    <w:p w:rsidR="00000000" w:rsidRDefault="00DF5BC2">
      <w:pPr>
        <w:divId w:val="213659921"/>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 xml:space="preserve">offset by lower realized gains on foreign currency exchange contracts entered into in order to reduce volatility in UGI International earnings resulting from the effects of changes in foreign currency exchange rates </w:t>
      </w:r>
      <w:r>
        <w:rPr>
          <w:rFonts w:eastAsia="Times New Roman"/>
          <w:color w:val="000000"/>
          <w:sz w:val="20"/>
          <w:szCs w:val="20"/>
        </w:rPr>
        <w:t>($14 million).</w:t>
      </w:r>
    </w:p>
    <w:p w:rsidR="00000000" w:rsidRDefault="00DF5BC2">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982"/>
        <w:gridCol w:w="37"/>
        <w:gridCol w:w="36"/>
        <w:gridCol w:w="36"/>
        <w:gridCol w:w="36"/>
        <w:gridCol w:w="120"/>
        <w:gridCol w:w="774"/>
        <w:gridCol w:w="36"/>
        <w:gridCol w:w="36"/>
        <w:gridCol w:w="36"/>
        <w:gridCol w:w="36"/>
        <w:gridCol w:w="120"/>
        <w:gridCol w:w="774"/>
        <w:gridCol w:w="36"/>
        <w:gridCol w:w="36"/>
        <w:gridCol w:w="36"/>
        <w:gridCol w:w="36"/>
        <w:gridCol w:w="121"/>
        <w:gridCol w:w="774"/>
        <w:gridCol w:w="37"/>
        <w:gridCol w:w="37"/>
        <w:gridCol w:w="37"/>
        <w:gridCol w:w="36"/>
        <w:gridCol w:w="37"/>
        <w:gridCol w:w="762"/>
        <w:gridCol w:w="187"/>
      </w:tblGrid>
      <w:tr w:rsidR="00000000">
        <w:tc>
          <w:tcPr>
            <w:tcW w:w="50" w:type="pct"/>
            <w:vAlign w:val="center"/>
            <w:hideMark/>
          </w:tcPr>
          <w:p w:rsidR="00000000" w:rsidRDefault="00DF5BC2">
            <w:pPr>
              <w:jc w:val="both"/>
              <w:rPr>
                <w:rFonts w:eastAsia="Times New Roman"/>
              </w:rPr>
            </w:pPr>
          </w:p>
        </w:tc>
        <w:tc>
          <w:tcPr>
            <w:tcW w:w="24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Midstream &amp; Marketing</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1,406 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1,247 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bl>
    <w:p w:rsidR="00000000" w:rsidRDefault="00DF5BC2">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Average temperatures across Midstream &amp; Marketing’s energy marketing</w:t>
      </w:r>
      <w:r>
        <w:rPr>
          <w:rFonts w:eastAsia="Times New Roman"/>
          <w:color w:val="000000"/>
          <w:sz w:val="20"/>
          <w:szCs w:val="20"/>
        </w:rPr>
        <w:t xml:space="preserve"> territory during Fiscal 2021 were 6.9% warmer than normal and 2.6% warmer than the prior year. Midstream &amp; Marketing’s prior year results include contributions from operating activities attributable to its HVAC business and ownership interest in Conemaugh</w:t>
      </w:r>
      <w:r>
        <w:rPr>
          <w:rFonts w:eastAsia="Times New Roman"/>
          <w:color w:val="000000"/>
          <w:sz w:val="20"/>
          <w:szCs w:val="20"/>
        </w:rPr>
        <w:t>, both of which were sold in September 2020. Losses associated with the disposal of these assets are reflected in “Corporate &amp; Other” (see “Non-GAAP Financial Measures” above).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Midstream &amp; Marketing’s revenues increased $159 million compared to the prior</w:t>
      </w:r>
      <w:r>
        <w:rPr>
          <w:rFonts w:eastAsia="Times New Roman"/>
          <w:color w:val="000000"/>
          <w:sz w:val="20"/>
          <w:szCs w:val="20"/>
        </w:rPr>
        <w:t xml:space="preserve"> year principally reflecting increased revenues from natural gas ($144 million) and renewable energy ($27 million) marketing activities and higher capacity management revenues ($24 million) which were impacted by the timing of certain mark-to-market contra</w:t>
      </w:r>
      <w:r>
        <w:rPr>
          <w:rFonts w:eastAsia="Times New Roman"/>
          <w:color w:val="000000"/>
          <w:sz w:val="20"/>
          <w:szCs w:val="20"/>
        </w:rPr>
        <w:t>ct settlements. Higher revenues associated with electricity marketing ($8 million) and natural gas gathering activities ($6 million) also contributed to the increase. These factors were partially offset by the absence of revenues attributable to its former</w:t>
      </w:r>
      <w:r>
        <w:rPr>
          <w:rFonts w:eastAsia="Times New Roman"/>
          <w:color w:val="000000"/>
          <w:sz w:val="20"/>
          <w:szCs w:val="20"/>
        </w:rPr>
        <w:t xml:space="preserve"> HVAC business and ownership interest in Conemaugh ($59 million). Midstream &amp; Marketing cost of sales was $1,033 million in Fiscal 2021 compared to $892 million in Fiscal 2020. The $141 million increase principally reflects higher cost of sales related to </w:t>
      </w:r>
      <w:r>
        <w:rPr>
          <w:rFonts w:eastAsia="Times New Roman"/>
          <w:color w:val="000000"/>
          <w:sz w:val="20"/>
          <w:szCs w:val="20"/>
        </w:rPr>
        <w:t>natural gas ($138 million), renewable energy ($20 million), and electricity ($7 million) marketing activities, partially offset by the absence of costs attributable to HVAC and Conemaugh ($30 million). The increases in both natural gas revenues and cost of</w:t>
      </w:r>
      <w:r>
        <w:rPr>
          <w:rFonts w:eastAsia="Times New Roman"/>
          <w:color w:val="000000"/>
          <w:sz w:val="20"/>
          <w:szCs w:val="20"/>
        </w:rPr>
        <w:t xml:space="preserve"> sales during Fiscal 2021 are largely attributable to higher average natural gas prices compared to the prior year partially offset by lower volumes attributable to weather that was warmer than the prior year.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Midstream &amp; Marketing total margin increase</w:t>
      </w:r>
      <w:r>
        <w:rPr>
          <w:rFonts w:eastAsia="Times New Roman"/>
          <w:color w:val="000000"/>
          <w:sz w:val="20"/>
          <w:szCs w:val="20"/>
        </w:rPr>
        <w:t>d $18 million in Fiscal 2021 reflecting improved capacity management margin ($24 million), higher margin from renewable energy ($7 million) and natural gas ($5 million) marketing activities, and higher margin from natural gas gathering activities ($6 milli</w:t>
      </w:r>
      <w:r>
        <w:rPr>
          <w:rFonts w:eastAsia="Times New Roman"/>
          <w:color w:val="000000"/>
          <w:sz w:val="20"/>
          <w:szCs w:val="20"/>
        </w:rPr>
        <w:t>on). These margin improvements include the impact of acquisitions and new assets placed into service since the fourth quarter of Fiscal 2020, and were partially offset by the absence of margins attributable to HVAC and Conemaugh ($29 million).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Midstream </w:t>
      </w:r>
      <w:r>
        <w:rPr>
          <w:rFonts w:eastAsia="Times New Roman"/>
          <w:color w:val="000000"/>
          <w:sz w:val="20"/>
          <w:szCs w:val="20"/>
        </w:rPr>
        <w:t>&amp; Marketing operating income and earnings before interest expense and income taxes during Fiscal 2021 increased $20 million and $22 million, respectively, compared to the prior year. The increase in operating income principally reflects the increase in tot</w:t>
      </w:r>
      <w:r>
        <w:rPr>
          <w:rFonts w:eastAsia="Times New Roman"/>
          <w:color w:val="000000"/>
          <w:sz w:val="20"/>
          <w:szCs w:val="20"/>
        </w:rPr>
        <w:t>al margin and lower operating and administrative expenses compared to the prior year, partially offset by an adjustment to the contingent consideration related to the GHI acquisition ($9 million). The decrease in operating and administrative expenses was l</w:t>
      </w:r>
      <w:r>
        <w:rPr>
          <w:rFonts w:eastAsia="Times New Roman"/>
          <w:color w:val="000000"/>
          <w:sz w:val="20"/>
          <w:szCs w:val="20"/>
        </w:rPr>
        <w:t>argely related to the absence of the previously mentioned divested assets partially offset by an increase in employee and benefits-related costs and increases related to new assets placed into service. The increase in earnings before interest expense and i</w:t>
      </w:r>
      <w:r>
        <w:rPr>
          <w:rFonts w:eastAsia="Times New Roman"/>
          <w:color w:val="000000"/>
          <w:sz w:val="20"/>
          <w:szCs w:val="20"/>
        </w:rPr>
        <w:t xml:space="preserve">ncome taxes reflects the improvement in operating income and incremental equity method earnings related to the investment in Pine Run. </w:t>
      </w:r>
    </w:p>
    <w:p w:rsidR="00000000" w:rsidRDefault="00DF5BC2">
      <w:pPr>
        <w:jc w:val="center"/>
        <w:divId w:val="1103304866"/>
        <w:rPr>
          <w:rFonts w:eastAsia="Times New Roman"/>
        </w:rPr>
      </w:pPr>
      <w:r>
        <w:rPr>
          <w:rFonts w:eastAsia="Times New Roman"/>
          <w:color w:val="000000"/>
          <w:sz w:val="20"/>
          <w:szCs w:val="20"/>
        </w:rPr>
        <w:t>56</w:t>
      </w:r>
    </w:p>
    <w:p w:rsidR="00000000" w:rsidRDefault="00DF5BC2">
      <w:pPr>
        <w:rPr>
          <w:rFonts w:eastAsia="Times New Roman"/>
        </w:rPr>
      </w:pPr>
      <w:r>
        <w:rPr>
          <w:rFonts w:eastAsia="Times New Roman"/>
        </w:rPr>
        <w:pict>
          <v:rect id="_x0000_i1083" style="width:0;height:1.5pt" o:hralign="center" o:hrstd="t" o:hr="t" fillcolor="#a0a0a0" stroked="f"/>
        </w:pict>
      </w:r>
    </w:p>
    <w:p w:rsidR="00000000" w:rsidRDefault="00DF5BC2">
      <w:pPr>
        <w:divId w:val="1523741969"/>
        <w:rPr>
          <w:rFonts w:eastAsia="Times New Roman"/>
        </w:rPr>
      </w:pPr>
      <w:hyperlink w:anchor="ica38aa2cb9a04eba8f8cadac27ee7fb9_7" w:history="1">
        <w:r>
          <w:rPr>
            <w:rStyle w:val="a3"/>
            <w:rFonts w:eastAsia="Times New Roman"/>
            <w:b/>
            <w:bCs/>
            <w:sz w:val="20"/>
            <w:szCs w:val="20"/>
          </w:rPr>
          <w:t>Table of Contents</w:t>
        </w:r>
      </w:hyperlink>
    </w:p>
    <w:tbl>
      <w:tblPr>
        <w:tblW w:w="4978" w:type="pct"/>
        <w:tblCellMar>
          <w:top w:w="15" w:type="dxa"/>
          <w:left w:w="15" w:type="dxa"/>
          <w:bottom w:w="15" w:type="dxa"/>
          <w:right w:w="15" w:type="dxa"/>
        </w:tblCellMar>
        <w:tblLook w:val="04A0" w:firstRow="1" w:lastRow="0" w:firstColumn="1" w:lastColumn="0" w:noHBand="0" w:noVBand="1"/>
      </w:tblPr>
      <w:tblGrid>
        <w:gridCol w:w="39"/>
        <w:gridCol w:w="3926"/>
        <w:gridCol w:w="38"/>
        <w:gridCol w:w="36"/>
        <w:gridCol w:w="36"/>
        <w:gridCol w:w="36"/>
        <w:gridCol w:w="120"/>
        <w:gridCol w:w="718"/>
        <w:gridCol w:w="187"/>
        <w:gridCol w:w="36"/>
        <w:gridCol w:w="36"/>
        <w:gridCol w:w="36"/>
        <w:gridCol w:w="120"/>
        <w:gridCol w:w="720"/>
        <w:gridCol w:w="187"/>
        <w:gridCol w:w="36"/>
        <w:gridCol w:w="36"/>
        <w:gridCol w:w="36"/>
        <w:gridCol w:w="120"/>
        <w:gridCol w:w="720"/>
        <w:gridCol w:w="36"/>
        <w:gridCol w:w="36"/>
        <w:gridCol w:w="36"/>
        <w:gridCol w:w="36"/>
        <w:gridCol w:w="38"/>
        <w:gridCol w:w="681"/>
        <w:gridCol w:w="187"/>
      </w:tblGrid>
      <w:tr w:rsidR="00000000">
        <w:trPr>
          <w:divId w:val="314073479"/>
        </w:trPr>
        <w:tc>
          <w:tcPr>
            <w:tcW w:w="50" w:type="pct"/>
            <w:vAlign w:val="center"/>
            <w:hideMark/>
          </w:tcPr>
          <w:p w:rsidR="00000000" w:rsidRDefault="00DF5BC2">
            <w:pPr>
              <w:rPr>
                <w:rFonts w:eastAsia="Times New Roman"/>
              </w:rPr>
            </w:pPr>
          </w:p>
        </w:tc>
        <w:tc>
          <w:tcPr>
            <w:tcW w:w="24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314073479"/>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UGI Utilities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Increase</w:t>
            </w:r>
          </w:p>
        </w:tc>
      </w:tr>
      <w:tr w:rsidR="00000000">
        <w:trPr>
          <w:divId w:val="31407347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31407347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1,079 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1,030 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31407347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616 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577 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31407347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31407347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31407347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31407347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Natural gas system throughput – bcf</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31407347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Core market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31407347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Total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31407347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998 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31407347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Natural gas degree days – % warmer than normal (b)</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(a)Total margin represents total revenues less total cost of sales and revenue-related taxes (i.e. Electric Utility gross</w:t>
      </w:r>
      <w:r>
        <w:rPr>
          <w:rFonts w:eastAsia="Times New Roman"/>
          <w:color w:val="000000"/>
          <w:sz w:val="20"/>
          <w:szCs w:val="20"/>
        </w:rPr>
        <w:t xml:space="preserve"> receipts taxes) of $5 million in both Fiscal 2021 and Fiscal 2020. For financial statement purposes, revenue-related taxes are included in “Operating and administrative expenses” on the Consolidated Statements of Income (but are excluded from operating ex</w:t>
      </w:r>
      <w:r>
        <w:rPr>
          <w:rFonts w:eastAsia="Times New Roman"/>
          <w:color w:val="000000"/>
          <w:sz w:val="20"/>
          <w:szCs w:val="20"/>
        </w:rPr>
        <w:t>penses presented above).</w:t>
      </w:r>
    </w:p>
    <w:p w:rsidR="00000000" w:rsidRDefault="00DF5BC2">
      <w:pPr>
        <w:ind w:hanging="360"/>
        <w:jc w:val="both"/>
        <w:rPr>
          <w:rFonts w:eastAsia="Times New Roman"/>
        </w:rPr>
      </w:pPr>
      <w:r>
        <w:rPr>
          <w:rFonts w:eastAsia="Times New Roman"/>
          <w:color w:val="000000"/>
          <w:sz w:val="20"/>
          <w:szCs w:val="20"/>
        </w:rPr>
        <w:t>(b)Beginning in Fiscal 2021, deviation from average heating degree days is determined on a rolling 10-year period utilizing volume-weighted weather data based on weather statistics provided by NOAA for airports located within UGI U</w:t>
      </w:r>
      <w:r>
        <w:rPr>
          <w:rFonts w:eastAsia="Times New Roman"/>
          <w:color w:val="000000"/>
          <w:sz w:val="20"/>
          <w:szCs w:val="20"/>
        </w:rPr>
        <w:t>tilities natural gas service territory. Prior-period amounts have been restated to conform to the current-period presentation.</w:t>
      </w:r>
    </w:p>
    <w:p w:rsidR="00000000" w:rsidRDefault="00DF5BC2">
      <w:pPr>
        <w:jc w:val="both"/>
        <w:rPr>
          <w:rFonts w:eastAsia="Times New Roman"/>
        </w:rPr>
      </w:pPr>
    </w:p>
    <w:p w:rsidR="00000000" w:rsidRDefault="00DF5BC2">
      <w:pPr>
        <w:jc w:val="both"/>
        <w:divId w:val="515535147"/>
        <w:rPr>
          <w:rFonts w:eastAsia="Times New Roman"/>
        </w:rPr>
      </w:pPr>
      <w:r>
        <w:rPr>
          <w:rFonts w:eastAsia="Times New Roman"/>
          <w:color w:val="000000"/>
          <w:sz w:val="20"/>
          <w:szCs w:val="20"/>
        </w:rPr>
        <w:t xml:space="preserve">Temperatures in UGI Utilities’ </w:t>
      </w:r>
      <w:r>
        <w:rPr>
          <w:rFonts w:eastAsia="Times New Roman"/>
          <w:color w:val="000000"/>
          <w:sz w:val="20"/>
          <w:szCs w:val="20"/>
        </w:rPr>
        <w:t xml:space="preserve">natural gas service territory during Fiscal 2021 were 7.9% warmer than normal and slightly warmer than the prior year. UGI Utilities’ core market volumes increased (2 bcf) during Fiscal 2021 reflecting the effects of continued growth in the number of core </w:t>
      </w:r>
      <w:r>
        <w:rPr>
          <w:rFonts w:eastAsia="Times New Roman"/>
          <w:color w:val="000000"/>
          <w:sz w:val="20"/>
          <w:szCs w:val="20"/>
        </w:rPr>
        <w:t xml:space="preserve">market customers and the recovery of certain volume decreases attributable to COVID-19 during Fiscal 2021, partially offset by the warmer weather compared to the prior year. Total natural gas distribution system throughput increased slightly during Fiscal </w:t>
      </w:r>
      <w:r>
        <w:rPr>
          <w:rFonts w:eastAsia="Times New Roman"/>
          <w:color w:val="000000"/>
          <w:sz w:val="20"/>
          <w:szCs w:val="20"/>
        </w:rPr>
        <w:t>2021 primarily attributable to the impact of the Mountaineer Acquisition and the increase in core market volumes, partially offset by lower large delivery service volumes. Electric Utility distribution sales volumes increased during Fiscal 2021 primarily a</w:t>
      </w:r>
      <w:r>
        <w:rPr>
          <w:rFonts w:eastAsia="Times New Roman"/>
          <w:color w:val="000000"/>
          <w:sz w:val="20"/>
          <w:szCs w:val="20"/>
        </w:rPr>
        <w:t xml:space="preserve">ttributable to customer growth. </w:t>
      </w:r>
    </w:p>
    <w:p w:rsidR="00000000" w:rsidRDefault="00DF5BC2">
      <w:pPr>
        <w:jc w:val="both"/>
        <w:rPr>
          <w:rFonts w:eastAsia="Times New Roman"/>
        </w:rPr>
      </w:pPr>
      <w:r>
        <w:rPr>
          <w:rFonts w:eastAsia="Times New Roman"/>
          <w:color w:val="000000"/>
          <w:sz w:val="20"/>
          <w:szCs w:val="20"/>
        </w:rPr>
        <w:t xml:space="preserve">UGI Utilities revenues increased $49 million in Fiscal 2021 reflecting a $42 million increase in natural gas revenues and a $7 million increase in Electric Utility revenues. The increase in natural gas revenues principally </w:t>
      </w:r>
      <w:r>
        <w:rPr>
          <w:rFonts w:eastAsia="Times New Roman"/>
          <w:color w:val="000000"/>
          <w:sz w:val="20"/>
          <w:szCs w:val="20"/>
        </w:rPr>
        <w:t>reflects the increase in base rates that went into effect as part of a phased approach on January 1, 2021 and July 1, 2021, higher revenues from off system sales, and incremental revenues attributable to the Mountaineer acquisition ($9 million) in Septembe</w:t>
      </w:r>
      <w:r>
        <w:rPr>
          <w:rFonts w:eastAsia="Times New Roman"/>
          <w:color w:val="000000"/>
          <w:sz w:val="20"/>
          <w:szCs w:val="20"/>
        </w:rPr>
        <w:t xml:space="preserve">r 2021. These factors were partially offset by lower PGC rates compared to the prior year. The increase in Electric Utility revenues during Fiscal 2021 is largely attributable to the increased distribution sales volumes and higher DS rates compared to the </w:t>
      </w:r>
      <w:r>
        <w:rPr>
          <w:rFonts w:eastAsia="Times New Roman"/>
          <w:color w:val="000000"/>
          <w:sz w:val="20"/>
          <w:szCs w:val="20"/>
        </w:rPr>
        <w:t xml:space="preserve">prior year.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UGI Utilities cost of sales was $458 million in Fiscal 2021 compared with $448 million in Fiscal 2020 reflecting higher natural gas </w:t>
      </w:r>
      <w:r>
        <w:rPr>
          <w:rFonts w:eastAsia="Times New Roman"/>
          <w:color w:val="000000"/>
          <w:sz w:val="20"/>
          <w:szCs w:val="20"/>
          <w:shd w:val="clear" w:color="auto" w:fill="FFFFFF"/>
        </w:rPr>
        <w:t>($8 million) and Electric Utility ($2 million) cost of sales compared to the prior year. H</w:t>
      </w:r>
      <w:r>
        <w:rPr>
          <w:rFonts w:eastAsia="Times New Roman"/>
          <w:color w:val="000000"/>
          <w:sz w:val="20"/>
          <w:szCs w:val="20"/>
        </w:rPr>
        <w:t>igher natural gas c</w:t>
      </w:r>
      <w:r>
        <w:rPr>
          <w:rFonts w:eastAsia="Times New Roman"/>
          <w:color w:val="000000"/>
          <w:sz w:val="20"/>
          <w:szCs w:val="20"/>
        </w:rPr>
        <w:t>ost of sales associated with off system sales and incremental cost of sales related to Mountaineer were partially offset by lower PGC rates compared to the prior year. Electric Utility cost of sales increased during Fiscal 2021 reflecting the increased vol</w:t>
      </w:r>
      <w:r>
        <w:rPr>
          <w:rFonts w:eastAsia="Times New Roman"/>
          <w:color w:val="000000"/>
          <w:sz w:val="20"/>
          <w:szCs w:val="20"/>
        </w:rPr>
        <w:t xml:space="preserve">umes and DS rates compared to the prior year.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Utilities total margin increased $39 million during Fiscal 2021 reflecting higher natural gas margin ($34 million) and Electric Utility margin ($5 million). The increase in natural gas margin reflects hi</w:t>
      </w:r>
      <w:r>
        <w:rPr>
          <w:rFonts w:eastAsia="Times New Roman"/>
          <w:color w:val="000000"/>
          <w:sz w:val="20"/>
          <w:szCs w:val="20"/>
        </w:rPr>
        <w:t>gher margin from core market customers ($18 million) largely attributable to the previously mentioned increase in base rates, incremental margin attributable to Mountaineer ($6 million), and higher margin from large delivery service customers. The increase</w:t>
      </w:r>
      <w:r>
        <w:rPr>
          <w:rFonts w:eastAsia="Times New Roman"/>
          <w:color w:val="000000"/>
          <w:sz w:val="20"/>
          <w:szCs w:val="20"/>
        </w:rPr>
        <w:t>d natural gas margin also benefited from the implementation of a DSIC effective April 1, 2021 and higher customer account fees compared to the prior year. The increase in Electric Utility margin is largely attributable to the increase in distribution sales</w:t>
      </w:r>
      <w:r>
        <w:rPr>
          <w:rFonts w:eastAsia="Times New Roman"/>
          <w:color w:val="000000"/>
          <w:sz w:val="20"/>
          <w:szCs w:val="20"/>
        </w:rPr>
        <w:t xml:space="preserve"> volumes compared to the prior year.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UGI Utilities operating income and earnings before interest expense and income taxes during Fiscal 2021 increased $12 million and $13 million, respectively, compared to the prior year. These increases largely reflect</w:t>
      </w:r>
      <w:r>
        <w:rPr>
          <w:rFonts w:eastAsia="Times New Roman"/>
          <w:color w:val="000000"/>
          <w:sz w:val="20"/>
          <w:szCs w:val="20"/>
        </w:rPr>
        <w:t xml:space="preserve"> the previously mentioned increase in total margin, partially offset by higher operating and administrative expenses ($15 million) and depreciation expense ($14 million) compared to the prior year. The increase in operating and administrative expenses refl</w:t>
      </w:r>
      <w:r>
        <w:rPr>
          <w:rFonts w:eastAsia="Times New Roman"/>
          <w:color w:val="000000"/>
          <w:sz w:val="20"/>
          <w:szCs w:val="20"/>
        </w:rPr>
        <w:t xml:space="preserve">ects incremental activities related to Mountaineer ($7 million) as well as higher contracted labor expenses and employee costs. The higher depreciation expense compared to the prior year includes the effects of continued distribution system and IT capital </w:t>
      </w:r>
      <w:r>
        <w:rPr>
          <w:rFonts w:eastAsia="Times New Roman"/>
          <w:color w:val="000000"/>
          <w:sz w:val="20"/>
          <w:szCs w:val="20"/>
        </w:rPr>
        <w:t xml:space="preserve">expenditure activity and incremental depreciation attributable to Mountaineer. </w:t>
      </w:r>
    </w:p>
    <w:p w:rsidR="00000000" w:rsidRDefault="00DF5BC2">
      <w:pPr>
        <w:jc w:val="center"/>
        <w:divId w:val="739139307"/>
        <w:rPr>
          <w:rFonts w:eastAsia="Times New Roman"/>
        </w:rPr>
      </w:pPr>
      <w:r>
        <w:rPr>
          <w:rFonts w:eastAsia="Times New Roman"/>
          <w:color w:val="000000"/>
          <w:sz w:val="20"/>
          <w:szCs w:val="20"/>
        </w:rPr>
        <w:t>57</w:t>
      </w:r>
    </w:p>
    <w:p w:rsidR="00000000" w:rsidRDefault="00DF5BC2">
      <w:pPr>
        <w:rPr>
          <w:rFonts w:eastAsia="Times New Roman"/>
        </w:rPr>
      </w:pPr>
      <w:r>
        <w:rPr>
          <w:rFonts w:eastAsia="Times New Roman"/>
        </w:rPr>
        <w:pict>
          <v:rect id="_x0000_i1084" style="width:0;height:1.5pt" o:hralign="center" o:hrstd="t" o:hr="t" fillcolor="#a0a0a0" stroked="f"/>
        </w:pict>
      </w:r>
    </w:p>
    <w:p w:rsidR="00000000" w:rsidRDefault="00DF5BC2">
      <w:pPr>
        <w:divId w:val="176233699"/>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Interest Expense and Income Taxes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consolidated inter</w:t>
      </w:r>
      <w:r>
        <w:rPr>
          <w:rFonts w:eastAsia="Times New Roman"/>
          <w:color w:val="000000"/>
          <w:sz w:val="20"/>
          <w:szCs w:val="20"/>
        </w:rPr>
        <w:t>est expense during Fiscal 2021 was $310 million compared to $322 million during the prior year. The $12 million decrease in interest expense principally reflects lower average short-term borrowings outstanding compared to the prior year, partially offset b</w:t>
      </w:r>
      <w:r>
        <w:rPr>
          <w:rFonts w:eastAsia="Times New Roman"/>
          <w:color w:val="000000"/>
          <w:sz w:val="20"/>
          <w:szCs w:val="20"/>
        </w:rPr>
        <w:t xml:space="preserve">y incremental interest on the UGI Utilities, Inc.’s senior notes issued during the year.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effective income tax rate increased between Fiscal 2021 and Fiscal 2020 due primarily to an increase in the concentration of foreign earnings largely attributab</w:t>
      </w:r>
      <w:r>
        <w:rPr>
          <w:rFonts w:eastAsia="Times New Roman"/>
          <w:color w:val="000000"/>
          <w:sz w:val="20"/>
          <w:szCs w:val="20"/>
        </w:rPr>
        <w:t>le to gains on commodity derivatives reflecting foreign statutory tax rates that exceed the U.S. statutory rate and a lower NOL benefit under the CARES Act compared to the prior year. These items were partially offset by an election made in the current yea</w:t>
      </w:r>
      <w:r>
        <w:rPr>
          <w:rFonts w:eastAsia="Times New Roman"/>
          <w:color w:val="000000"/>
          <w:sz w:val="20"/>
          <w:szCs w:val="20"/>
        </w:rPr>
        <w:t xml:space="preserve">r available under a tax law change in Italy which allowed the Company to step up its tax basis on certain assets in exchange for paying a three percent substitute tax in connection with such election. This election resulted in a $23 million net benefit in </w:t>
      </w:r>
      <w:r>
        <w:rPr>
          <w:rFonts w:eastAsia="Times New Roman"/>
          <w:color w:val="000000"/>
          <w:sz w:val="20"/>
          <w:szCs w:val="20"/>
        </w:rPr>
        <w:t xml:space="preserve">the current period resulting in incremental tax basis that will be deductible in future periods. For additional information on our income taxes, including tax law changes, see Note 7 to Consolidated Financial Statements.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Financial Condition and Liquidity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Company expects to have sufficient liquidity including cash on hand and available borrowing capacity to continue to support long-term commitments and ongoing operations despite uncertainties associated with the outbr</w:t>
      </w:r>
      <w:r>
        <w:rPr>
          <w:rFonts w:eastAsia="Times New Roman"/>
          <w:color w:val="000000"/>
          <w:sz w:val="20"/>
          <w:szCs w:val="20"/>
        </w:rPr>
        <w:t>eak and continued impact of COVID-19. Our total available liquidity balance, comprising cash and cash equivalents and available borrowing capacity on our revolving credit facilities, totaled approximately $2.2 billion and $1.5 billion at September 30, 2021</w:t>
      </w:r>
      <w:r>
        <w:rPr>
          <w:rFonts w:eastAsia="Times New Roman"/>
          <w:color w:val="000000"/>
          <w:sz w:val="20"/>
          <w:szCs w:val="20"/>
        </w:rPr>
        <w:t xml:space="preserve"> and 2020, respectively. Our total available liquidity at September 30, 2021 includes $468 million of cash collateral received from derivative counterparties resulting from the impact of rising commodity prices and an accumulation of derivative assets asso</w:t>
      </w:r>
      <w:r>
        <w:rPr>
          <w:rFonts w:eastAsia="Times New Roman"/>
          <w:color w:val="000000"/>
          <w:sz w:val="20"/>
          <w:szCs w:val="20"/>
        </w:rPr>
        <w:t xml:space="preserve">ciated with our commodity derivative instruments. The Company does not have any near-term senior note or term loan maturities. While the Company’s operations and financial performance continue to be impacted by COVID-19, it is a rapidly evolving situation </w:t>
      </w:r>
      <w:r>
        <w:rPr>
          <w:rFonts w:eastAsia="Times New Roman"/>
          <w:color w:val="000000"/>
          <w:sz w:val="20"/>
          <w:szCs w:val="20"/>
        </w:rPr>
        <w:t xml:space="preserve">and the Company cannot predict the ultimate impact that COVID-19 will have on its liquidity, debt covenants, financial condition or the timing of capital expenditures. UGI and its subsidiaries were in compliance with all debt covenants as of September 30, </w:t>
      </w:r>
      <w:r>
        <w:rPr>
          <w:rFonts w:eastAsia="Times New Roman"/>
          <w:color w:val="000000"/>
          <w:sz w:val="20"/>
          <w:szCs w:val="20"/>
        </w:rPr>
        <w:t>2021.</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depend on both internal and external sources of liquidity to provide funds for working capital and to fund capital requirements. Our short-term cash requirements not met by cash generated from operations are generally satisfied with borrowings u</w:t>
      </w:r>
      <w:r>
        <w:rPr>
          <w:rFonts w:eastAsia="Times New Roman"/>
          <w:color w:val="000000"/>
          <w:sz w:val="20"/>
          <w:szCs w:val="20"/>
        </w:rPr>
        <w:t>nder credit facilities and, in the case of Midstream &amp; Marketing, also from a Receivables Facility. Long-term cash requirements are generally met through the issuance of long-term debt or equity securities. We believe that each of our business units has su</w:t>
      </w:r>
      <w:r>
        <w:rPr>
          <w:rFonts w:eastAsia="Times New Roman"/>
          <w:color w:val="000000"/>
          <w:sz w:val="20"/>
          <w:szCs w:val="20"/>
        </w:rPr>
        <w:t xml:space="preserve">fficient liquidity in the forms of cash and cash equivalents on hand; cash expected to be generated from operations; credit facility and Receivables Facility borrowing capacity; and the ability to obtain long-term financing to meet anticipated contractual </w:t>
      </w:r>
      <w:r>
        <w:rPr>
          <w:rFonts w:eastAsia="Times New Roman"/>
          <w:color w:val="000000"/>
          <w:sz w:val="20"/>
          <w:szCs w:val="20"/>
        </w:rPr>
        <w:t>and projected cash commitments. Issuances of debt and equity securities in the capital markets and additional credit facilities may not, however, be available to us on acceptable terms.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primary sources of UGI’s cash and cash equivalents are the divid</w:t>
      </w:r>
      <w:r>
        <w:rPr>
          <w:rFonts w:eastAsia="Times New Roman"/>
          <w:color w:val="000000"/>
          <w:sz w:val="20"/>
          <w:szCs w:val="20"/>
        </w:rPr>
        <w:t>ends and other cash payments made to UGI or its corporate subsidiaries by its principal business units. Our cash and cash equivalents totaled $855 million at September 30, 2021, compared with $336 million at September 30, 2020. Our cash and cash equivalent</w:t>
      </w:r>
      <w:r>
        <w:rPr>
          <w:rFonts w:eastAsia="Times New Roman"/>
          <w:color w:val="000000"/>
          <w:sz w:val="20"/>
          <w:szCs w:val="20"/>
        </w:rPr>
        <w:t>s at September 30, 2021 includes the previously mentioned $468 million of cash collateral deposits received from our derivative instrument counterparties. This is attributable to significant mark-to-market gains on our commodity derivative instruments resu</w:t>
      </w:r>
      <w:r>
        <w:rPr>
          <w:rFonts w:eastAsia="Times New Roman"/>
          <w:color w:val="000000"/>
          <w:sz w:val="20"/>
          <w:szCs w:val="20"/>
        </w:rPr>
        <w:t>lting from the steep rise in commodity prices during Fiscal 2021. This cash could be returned to such counterparties as commodity prices and their impact to our commodity derivative instruments stabilizes or reverses. Excluding these collateral deposits re</w:t>
      </w:r>
      <w:r>
        <w:rPr>
          <w:rFonts w:eastAsia="Times New Roman"/>
          <w:color w:val="000000"/>
          <w:sz w:val="20"/>
          <w:szCs w:val="20"/>
        </w:rPr>
        <w:t>ceived and cash and cash equivalents that reside at UGI’s operating subsidiaries, at September 30, 2021 and 2020, our cash and cash equivalents totaled $172 million and $112 million, respectively. Such cash is available to pay dividends on UGI Common Stock</w:t>
      </w:r>
      <w:r>
        <w:rPr>
          <w:rFonts w:eastAsia="Times New Roman"/>
          <w:color w:val="000000"/>
          <w:sz w:val="20"/>
          <w:szCs w:val="20"/>
        </w:rPr>
        <w:t xml:space="preserve"> and for investment purposes. </w:t>
      </w:r>
    </w:p>
    <w:p w:rsidR="00000000" w:rsidRDefault="00DF5BC2">
      <w:pPr>
        <w:jc w:val="center"/>
        <w:divId w:val="357320865"/>
        <w:rPr>
          <w:rFonts w:eastAsia="Times New Roman"/>
        </w:rPr>
      </w:pPr>
      <w:r>
        <w:rPr>
          <w:rFonts w:eastAsia="Times New Roman"/>
          <w:color w:val="000000"/>
          <w:sz w:val="20"/>
          <w:szCs w:val="20"/>
        </w:rPr>
        <w:t>58</w:t>
      </w:r>
    </w:p>
    <w:p w:rsidR="00000000" w:rsidRDefault="00DF5BC2">
      <w:pPr>
        <w:rPr>
          <w:rFonts w:eastAsia="Times New Roman"/>
        </w:rPr>
      </w:pPr>
      <w:r>
        <w:rPr>
          <w:rFonts w:eastAsia="Times New Roman"/>
        </w:rPr>
        <w:pict>
          <v:rect id="_x0000_i1085" style="width:0;height:1.5pt" o:hralign="center" o:hrstd="t" o:hr="t" fillcolor="#a0a0a0" stroked="f"/>
        </w:pict>
      </w:r>
    </w:p>
    <w:p w:rsidR="00000000" w:rsidRDefault="00DF5BC2">
      <w:pPr>
        <w:divId w:val="1757938951"/>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294796973"/>
        <w:rPr>
          <w:rFonts w:eastAsia="Times New Roman"/>
        </w:rPr>
      </w:pPr>
      <w:r>
        <w:rPr>
          <w:rFonts w:eastAsia="Times New Roman"/>
          <w:color w:val="000000"/>
          <w:sz w:val="20"/>
          <w:szCs w:val="20"/>
        </w:rPr>
        <w:t>During Fiscal 2021 and Fiscal 2020, our principal business units paid cash dividends and made other cash payments to UGI and its subsidiaries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7"/>
        <w:gridCol w:w="38"/>
        <w:gridCol w:w="36"/>
        <w:gridCol w:w="36"/>
        <w:gridCol w:w="36"/>
        <w:gridCol w:w="120"/>
        <w:gridCol w:w="796"/>
        <w:gridCol w:w="36"/>
        <w:gridCol w:w="36"/>
        <w:gridCol w:w="36"/>
        <w:gridCol w:w="36"/>
        <w:gridCol w:w="120"/>
        <w:gridCol w:w="798"/>
        <w:gridCol w:w="36"/>
      </w:tblGrid>
      <w:tr w:rsidR="00000000">
        <w:trPr>
          <w:divId w:val="816993813"/>
        </w:trPr>
        <w:tc>
          <w:tcPr>
            <w:tcW w:w="50" w:type="pct"/>
            <w:vAlign w:val="center"/>
            <w:hideMark/>
          </w:tcPr>
          <w:p w:rsidR="00000000" w:rsidRDefault="00DF5BC2">
            <w:pPr>
              <w:jc w:val="both"/>
              <w:rPr>
                <w:rFonts w:eastAsia="Times New Roman"/>
              </w:rPr>
            </w:pPr>
          </w:p>
        </w:tc>
        <w:tc>
          <w:tcPr>
            <w:tcW w:w="370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816993813"/>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816993813"/>
        </w:trPr>
        <w:tc>
          <w:tcPr>
            <w:tcW w:w="0" w:type="auto"/>
            <w:gridSpan w:val="3"/>
            <w:vAlign w:val="center"/>
            <w:hideMark/>
          </w:tcPr>
          <w:p w:rsidR="00000000" w:rsidRDefault="00DF5BC2">
            <w:pPr>
              <w:spacing w:after="100"/>
              <w:jc w:val="center"/>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81699381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1699381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 (a)</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1699381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1699381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1699381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149176747"/>
        <w:rPr>
          <w:rFonts w:eastAsia="Times New Roman"/>
        </w:rPr>
      </w:pPr>
    </w:p>
    <w:p w:rsidR="00000000" w:rsidRDefault="00DF5BC2">
      <w:pPr>
        <w:ind w:hanging="360"/>
        <w:jc w:val="both"/>
        <w:rPr>
          <w:rFonts w:eastAsia="Times New Roman"/>
        </w:rPr>
      </w:pPr>
      <w:r>
        <w:rPr>
          <w:rFonts w:eastAsia="Times New Roman"/>
          <w:color w:val="000000"/>
          <w:sz w:val="20"/>
          <w:szCs w:val="20"/>
        </w:rPr>
        <w:t>(</w:t>
      </w:r>
      <w:r>
        <w:rPr>
          <w:rFonts w:eastAsia="Times New Roman"/>
          <w:color w:val="000000"/>
          <w:sz w:val="20"/>
          <w:szCs w:val="20"/>
        </w:rPr>
        <w:t>a)    Represents cash payments to UGI International’s U.S. holding company subsidiary. Cash dividends in Fiscal 2020 were used, in part, to pay down all outstanding revolving credit facility borrowings on the UGI International Credit Facilities Agreement i</w:t>
      </w:r>
      <w:r>
        <w:rPr>
          <w:rFonts w:eastAsia="Times New Roman"/>
          <w:color w:val="000000"/>
          <w:sz w:val="20"/>
          <w:szCs w:val="20"/>
        </w:rPr>
        <w:t>n September 2020.</w:t>
      </w:r>
    </w:p>
    <w:p w:rsidR="00000000" w:rsidRDefault="00DF5BC2">
      <w:pPr>
        <w:ind w:hanging="360"/>
        <w:jc w:val="both"/>
        <w:rPr>
          <w:rFonts w:eastAsia="Times New Roman"/>
        </w:rPr>
      </w:pPr>
    </w:p>
    <w:p w:rsidR="00000000" w:rsidRDefault="00DF5BC2">
      <w:pPr>
        <w:ind w:hanging="360"/>
        <w:jc w:val="both"/>
        <w:rPr>
          <w:rFonts w:eastAsia="Times New Roman"/>
        </w:rPr>
      </w:pPr>
      <w:r>
        <w:rPr>
          <w:rFonts w:eastAsia="Times New Roman"/>
          <w:b/>
          <w:bCs/>
          <w:color w:val="000000"/>
          <w:sz w:val="20"/>
          <w:szCs w:val="20"/>
        </w:rPr>
        <w:t>Common and Preferred Stock</w:t>
      </w:r>
    </w:p>
    <w:p w:rsidR="00000000" w:rsidRDefault="00DF5BC2">
      <w:pPr>
        <w:ind w:hanging="360"/>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Issuance of Equity Units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May 25, 2021, the Company issued 2.2 million Equity Units with a total notional value of $220 million. Each Equity Unit has a stated amount of $100 and consists of (1) a 10% undivided beneficial ownership interest in one share of Convertible Preferred S</w:t>
      </w:r>
      <w:r>
        <w:rPr>
          <w:rFonts w:eastAsia="Times New Roman"/>
          <w:color w:val="000000"/>
          <w:sz w:val="20"/>
          <w:szCs w:val="20"/>
        </w:rPr>
        <w:t>tock with a liquidation preference of $1,000 per share and (2) a 2024 Purchase Contract. The Company received approximately $213 million in proceeds from the issuance of the Equity Units, net of offering expenses and underwriting costs and commissions, and</w:t>
      </w:r>
      <w:r>
        <w:rPr>
          <w:rFonts w:eastAsia="Times New Roman"/>
          <w:color w:val="000000"/>
          <w:sz w:val="20"/>
          <w:szCs w:val="20"/>
        </w:rPr>
        <w:t xml:space="preserve"> issued 220,000 shares of Convertible Preferred Stock, recording $213 million in “Preferred stock” on the accompanying Consolidated Balance Sheet. The proceeds were used to pay a portion of the purchase price for the Mountaineer Acquisition and related fee</w:t>
      </w:r>
      <w:r>
        <w:rPr>
          <w:rFonts w:eastAsia="Times New Roman"/>
          <w:color w:val="000000"/>
          <w:sz w:val="20"/>
          <w:szCs w:val="20"/>
        </w:rPr>
        <w:t xml:space="preserve">s and expenses, and for general corporate purposes. For additional information on the Mountaineer Acquisition and the issuance of Equity Units, see Notes 5 and 13 to the Consolidated Financial Statements. </w:t>
      </w:r>
    </w:p>
    <w:p w:rsidR="00000000" w:rsidRDefault="00DF5BC2">
      <w:pPr>
        <w:jc w:val="both"/>
        <w:divId w:val="1380010116"/>
        <w:rPr>
          <w:rFonts w:eastAsia="Times New Roman"/>
        </w:rPr>
      </w:pPr>
      <w:r>
        <w:rPr>
          <w:rFonts w:eastAsia="Times New Roman"/>
          <w:b/>
          <w:bCs/>
          <w:i/>
          <w:iCs/>
          <w:color w:val="000000"/>
          <w:sz w:val="20"/>
          <w:szCs w:val="20"/>
        </w:rPr>
        <w:t>Dividends</w:t>
      </w:r>
    </w:p>
    <w:p w:rsidR="00000000" w:rsidRDefault="00DF5BC2">
      <w:pPr>
        <w:jc w:val="both"/>
        <w:divId w:val="453448515"/>
        <w:rPr>
          <w:rFonts w:eastAsia="Times New Roman"/>
        </w:rPr>
      </w:pPr>
      <w:r>
        <w:rPr>
          <w:rFonts w:eastAsia="Times New Roman"/>
          <w:color w:val="000000"/>
          <w:sz w:val="20"/>
          <w:szCs w:val="20"/>
        </w:rPr>
        <w:t>Quarterly dividends per share of UGI Com</w:t>
      </w:r>
      <w:r>
        <w:rPr>
          <w:rFonts w:eastAsia="Times New Roman"/>
          <w:color w:val="000000"/>
          <w:sz w:val="20"/>
          <w:szCs w:val="20"/>
        </w:rPr>
        <w:t>mon Stock paid during Fiscal 2021 and Fiscal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549"/>
        <w:gridCol w:w="36"/>
        <w:gridCol w:w="36"/>
        <w:gridCol w:w="36"/>
        <w:gridCol w:w="36"/>
        <w:gridCol w:w="120"/>
        <w:gridCol w:w="1078"/>
        <w:gridCol w:w="36"/>
        <w:gridCol w:w="36"/>
        <w:gridCol w:w="36"/>
        <w:gridCol w:w="36"/>
        <w:gridCol w:w="120"/>
        <w:gridCol w:w="1078"/>
        <w:gridCol w:w="36"/>
      </w:tblGrid>
      <w:tr w:rsidR="00000000">
        <w:trPr>
          <w:divId w:val="1570505010"/>
        </w:trPr>
        <w:tc>
          <w:tcPr>
            <w:tcW w:w="50" w:type="pct"/>
            <w:vAlign w:val="center"/>
            <w:hideMark/>
          </w:tcPr>
          <w:p w:rsidR="00000000" w:rsidRDefault="00DF5BC2">
            <w:pPr>
              <w:jc w:val="both"/>
              <w:rPr>
                <w:rFonts w:eastAsia="Times New Roman"/>
              </w:rPr>
            </w:pPr>
          </w:p>
        </w:tc>
        <w:tc>
          <w:tcPr>
            <w:tcW w:w="339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9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9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57050501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2020</w:t>
            </w:r>
          </w:p>
        </w:tc>
      </w:tr>
      <w:tr w:rsidR="00000000">
        <w:trPr>
          <w:divId w:val="157050501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divId w:val="2139911861"/>
              <w:rPr>
                <w:rFonts w:eastAsia="Times New Roman"/>
              </w:rPr>
            </w:pPr>
            <w:r>
              <w:rPr>
                <w:rFonts w:eastAsia="Times New Roman"/>
                <w:color w:val="000000"/>
                <w:sz w:val="20"/>
                <w:szCs w:val="20"/>
              </w:rPr>
              <w:t>1</w:t>
            </w:r>
            <w:r>
              <w:rPr>
                <w:rFonts w:eastAsia="Times New Roman"/>
                <w:color w:val="000000"/>
                <w:sz w:val="13"/>
                <w:szCs w:val="13"/>
              </w:rPr>
              <w:t>s</w:t>
            </w:r>
            <w:r>
              <w:rPr>
                <w:rFonts w:eastAsia="Times New Roman"/>
                <w:color w:val="000000"/>
                <w:sz w:val="13"/>
                <w:szCs w:val="13"/>
              </w:rPr>
              <w:t>t</w:t>
            </w:r>
            <w:r>
              <w:rPr>
                <w:rFonts w:eastAsia="Times New Roman"/>
                <w:color w:val="000000"/>
                <w:sz w:val="20"/>
                <w:szCs w:val="20"/>
              </w:rPr>
              <w:t xml:space="preserve"> Quarter</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70505010"/>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435561242"/>
              <w:rPr>
                <w:rFonts w:eastAsia="Times New Roman"/>
              </w:rPr>
            </w:pPr>
            <w:r>
              <w:rPr>
                <w:rFonts w:eastAsia="Times New Roman"/>
                <w:color w:val="000000"/>
                <w:sz w:val="20"/>
                <w:szCs w:val="20"/>
              </w:rPr>
              <w:t>2</w:t>
            </w:r>
            <w:r>
              <w:rPr>
                <w:rFonts w:eastAsia="Times New Roman"/>
                <w:color w:val="000000"/>
                <w:sz w:val="13"/>
                <w:szCs w:val="13"/>
              </w:rPr>
              <w:t>n</w:t>
            </w:r>
            <w:r>
              <w:rPr>
                <w:rFonts w:eastAsia="Times New Roman"/>
                <w:color w:val="000000"/>
                <w:sz w:val="13"/>
                <w:szCs w:val="13"/>
              </w:rPr>
              <w:t>d</w:t>
            </w:r>
            <w:r>
              <w:rPr>
                <w:rFonts w:eastAsia="Times New Roman"/>
                <w:color w:val="000000"/>
                <w:sz w:val="20"/>
                <w:szCs w:val="20"/>
              </w:rPr>
              <w:t xml:space="preserve"> Quarter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0.330</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0.325</w:t>
            </w:r>
          </w:p>
        </w:tc>
      </w:tr>
      <w:tr w:rsidR="00000000">
        <w:trPr>
          <w:divId w:val="157050501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604772279"/>
              <w:rPr>
                <w:rFonts w:eastAsia="Times New Roman"/>
              </w:rPr>
            </w:pPr>
            <w:r>
              <w:rPr>
                <w:rFonts w:eastAsia="Times New Roman"/>
                <w:color w:val="000000"/>
                <w:sz w:val="20"/>
                <w:szCs w:val="20"/>
              </w:rPr>
              <w:t>3</w:t>
            </w:r>
            <w:r>
              <w:rPr>
                <w:rFonts w:eastAsia="Times New Roman"/>
                <w:color w:val="000000"/>
                <w:sz w:val="13"/>
                <w:szCs w:val="13"/>
              </w:rPr>
              <w:t>r</w:t>
            </w:r>
            <w:r>
              <w:rPr>
                <w:rFonts w:eastAsia="Times New Roman"/>
                <w:color w:val="000000"/>
                <w:sz w:val="13"/>
                <w:szCs w:val="13"/>
              </w:rPr>
              <w:t>d</w:t>
            </w:r>
            <w:r>
              <w:rPr>
                <w:rFonts w:eastAsia="Times New Roman"/>
                <w:color w:val="000000"/>
                <w:sz w:val="20"/>
                <w:szCs w:val="20"/>
              </w:rPr>
              <w:t xml:space="preserve"> Quarter</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0.345</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0.330</w:t>
            </w:r>
          </w:p>
        </w:tc>
      </w:tr>
      <w:tr w:rsidR="00000000">
        <w:trPr>
          <w:divId w:val="1570505010"/>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1617712699"/>
              <w:rPr>
                <w:rFonts w:eastAsia="Times New Roman"/>
              </w:rPr>
            </w:pPr>
            <w:r>
              <w:rPr>
                <w:rFonts w:eastAsia="Times New Roman"/>
                <w:color w:val="000000"/>
                <w:sz w:val="20"/>
                <w:szCs w:val="20"/>
              </w:rPr>
              <w:t>4</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Quarter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0.345</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0.330</w:t>
            </w:r>
          </w:p>
        </w:tc>
      </w:tr>
      <w:tr w:rsidR="00000000">
        <w:trPr>
          <w:divId w:val="157050501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1439716646"/>
        <w:rPr>
          <w:rFonts w:eastAsia="Times New Roman"/>
        </w:rPr>
      </w:pPr>
      <w:r>
        <w:rPr>
          <w:rFonts w:eastAsia="Times New Roman"/>
          <w:color w:val="000000"/>
          <w:sz w:val="20"/>
          <w:szCs w:val="20"/>
        </w:rPr>
        <w:t xml:space="preserve">On </w:t>
      </w:r>
      <w:r>
        <w:rPr>
          <w:rFonts w:eastAsia="Times New Roman"/>
          <w:color w:val="000000"/>
          <w:sz w:val="20"/>
          <w:szCs w:val="20"/>
        </w:rPr>
        <w:t>November 18, 2021, UGI’s Board of Directors declared a cash dividend equal to $0.345 per common share. The dividend will be payable on January 1, 2022, to shareholders of record on December 15, 2021.</w:t>
      </w:r>
    </w:p>
    <w:p w:rsidR="00000000" w:rsidRDefault="00DF5BC2">
      <w:pPr>
        <w:jc w:val="both"/>
        <w:rPr>
          <w:rFonts w:eastAsia="Times New Roman"/>
        </w:rPr>
      </w:pPr>
    </w:p>
    <w:p w:rsidR="00000000" w:rsidRDefault="00DF5BC2">
      <w:pPr>
        <w:divId w:val="1136333979"/>
        <w:rPr>
          <w:rFonts w:eastAsia="Times New Roman"/>
        </w:rPr>
      </w:pPr>
      <w:r>
        <w:rPr>
          <w:rFonts w:eastAsia="Times New Roman"/>
          <w:b/>
          <w:bCs/>
          <w:i/>
          <w:iCs/>
          <w:color w:val="000000"/>
          <w:sz w:val="20"/>
          <w:szCs w:val="20"/>
        </w:rPr>
        <w:t>Repurchases of Common Stock</w:t>
      </w:r>
    </w:p>
    <w:p w:rsidR="00000000" w:rsidRDefault="00DF5BC2">
      <w:pPr>
        <w:divId w:val="2091154019"/>
        <w:rPr>
          <w:rFonts w:eastAsia="Times New Roman"/>
        </w:rPr>
      </w:pPr>
    </w:p>
    <w:p w:rsidR="00000000" w:rsidRDefault="00DF5BC2">
      <w:pPr>
        <w:jc w:val="both"/>
        <w:rPr>
          <w:rFonts w:eastAsia="Times New Roman"/>
        </w:rPr>
      </w:pPr>
      <w:r>
        <w:rPr>
          <w:rFonts w:eastAsia="Times New Roman"/>
          <w:color w:val="000000"/>
          <w:sz w:val="20"/>
          <w:szCs w:val="20"/>
        </w:rPr>
        <w:t xml:space="preserve">During Fiscal 2020, the </w:t>
      </w:r>
      <w:r>
        <w:rPr>
          <w:rFonts w:eastAsia="Times New Roman"/>
          <w:color w:val="000000"/>
          <w:sz w:val="20"/>
          <w:szCs w:val="20"/>
        </w:rPr>
        <w:t>Company repurchased 1 million shares at a total purchase price of $38 million. There were no such repurchases during Fiscal 2021. For additional information on the authorization of these repurchases, see Note 13 to the Consolidated Financial Statements.</w:t>
      </w:r>
    </w:p>
    <w:p w:rsidR="00000000" w:rsidRDefault="00DF5BC2">
      <w:pPr>
        <w:jc w:val="center"/>
        <w:divId w:val="1453743161"/>
        <w:rPr>
          <w:rFonts w:eastAsia="Times New Roman"/>
        </w:rPr>
      </w:pPr>
      <w:r>
        <w:rPr>
          <w:rFonts w:eastAsia="Times New Roman"/>
          <w:color w:val="000000"/>
          <w:sz w:val="20"/>
          <w:szCs w:val="20"/>
        </w:rPr>
        <w:t>59</w:t>
      </w:r>
    </w:p>
    <w:p w:rsidR="00000000" w:rsidRDefault="00DF5BC2">
      <w:pPr>
        <w:rPr>
          <w:rFonts w:eastAsia="Times New Roman"/>
        </w:rPr>
      </w:pPr>
      <w:r>
        <w:rPr>
          <w:rFonts w:eastAsia="Times New Roman"/>
        </w:rPr>
        <w:pict>
          <v:rect id="_x0000_i1086" style="width:0;height:1.5pt" o:hralign="center" o:hrstd="t" o:hr="t" fillcolor="#a0a0a0" stroked="f"/>
        </w:pict>
      </w:r>
    </w:p>
    <w:p w:rsidR="00000000" w:rsidRDefault="00DF5BC2">
      <w:pPr>
        <w:divId w:val="2129884885"/>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Long-term Debt and Credit Facilities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Company’s debt outstanding at September </w:t>
      </w:r>
      <w:r>
        <w:rPr>
          <w:rFonts w:eastAsia="Times New Roman"/>
          <w:color w:val="000000"/>
          <w:sz w:val="20"/>
          <w:szCs w:val="20"/>
        </w:rPr>
        <w:t>30, 2021 and 2020, comprises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992"/>
        <w:gridCol w:w="38"/>
        <w:gridCol w:w="121"/>
        <w:gridCol w:w="760"/>
        <w:gridCol w:w="36"/>
        <w:gridCol w:w="36"/>
        <w:gridCol w:w="36"/>
        <w:gridCol w:w="36"/>
        <w:gridCol w:w="121"/>
        <w:gridCol w:w="962"/>
        <w:gridCol w:w="36"/>
        <w:gridCol w:w="36"/>
        <w:gridCol w:w="36"/>
        <w:gridCol w:w="36"/>
        <w:gridCol w:w="121"/>
        <w:gridCol w:w="818"/>
        <w:gridCol w:w="36"/>
        <w:gridCol w:w="36"/>
        <w:gridCol w:w="36"/>
        <w:gridCol w:w="36"/>
        <w:gridCol w:w="121"/>
        <w:gridCol w:w="598"/>
        <w:gridCol w:w="36"/>
        <w:gridCol w:w="36"/>
        <w:gridCol w:w="36"/>
        <w:gridCol w:w="36"/>
        <w:gridCol w:w="120"/>
        <w:gridCol w:w="350"/>
        <w:gridCol w:w="36"/>
        <w:gridCol w:w="36"/>
        <w:gridCol w:w="36"/>
        <w:gridCol w:w="36"/>
        <w:gridCol w:w="120"/>
        <w:gridCol w:w="500"/>
        <w:gridCol w:w="36"/>
        <w:gridCol w:w="36"/>
        <w:gridCol w:w="36"/>
        <w:gridCol w:w="36"/>
        <w:gridCol w:w="120"/>
        <w:gridCol w:w="500"/>
        <w:gridCol w:w="36"/>
      </w:tblGrid>
      <w:tr w:rsidR="00000000">
        <w:trPr>
          <w:divId w:val="550772409"/>
          <w:jc w:val="center"/>
        </w:trPr>
        <w:tc>
          <w:tcPr>
            <w:tcW w:w="50" w:type="pct"/>
            <w:vAlign w:val="center"/>
            <w:hideMark/>
          </w:tcPr>
          <w:p w:rsidR="00000000" w:rsidRDefault="00DF5BC2">
            <w:pPr>
              <w:jc w:val="both"/>
              <w:rPr>
                <w:rFonts w:eastAsia="Times New Roman"/>
              </w:rPr>
            </w:pPr>
          </w:p>
        </w:tc>
        <w:tc>
          <w:tcPr>
            <w:tcW w:w="143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7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7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550772409"/>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550772409"/>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(Millions of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AmeriGas Propane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Midstream &amp; Marketing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UGI Utilities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Corp. &amp; 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Total</w:t>
            </w:r>
          </w:p>
        </w:tc>
      </w:tr>
      <w:tr w:rsidR="00DF5BC2">
        <w:trPr>
          <w:divId w:val="550772409"/>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50772409"/>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550772409"/>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Long-term debt (including current maturities):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DF5BC2">
        <w:trPr>
          <w:divId w:val="550772409"/>
          <w:jc w:val="center"/>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1,290 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4,270 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50772409"/>
          <w:jc w:val="center"/>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Term loans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684 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765 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1,938 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1,741 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50772409"/>
          <w:jc w:val="center"/>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long-term debt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50772409"/>
          <w:jc w:val="center"/>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550772409"/>
          <w:jc w:val="center"/>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long-term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550772409"/>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991105422"/>
        <w:rPr>
          <w:rFonts w:eastAsia="Times New Roman"/>
        </w:rPr>
      </w:pPr>
      <w:r>
        <w:rPr>
          <w:rFonts w:eastAsia="Times New Roman"/>
          <w:b/>
          <w:bCs/>
          <w:i/>
          <w:iCs/>
          <w:color w:val="000000"/>
          <w:sz w:val="20"/>
          <w:szCs w:val="20"/>
        </w:rPr>
        <w:t>Significant Financing Activities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As further described in Note 5 to the consolidated financial statements, UGI acquired Mountaineer on September 1, 2021. Mountaineer has a credit facility agreement which provides for borrowings up to $100 mil</w:t>
      </w:r>
      <w:r>
        <w:rPr>
          <w:rFonts w:eastAsia="Times New Roman"/>
          <w:color w:val="000000"/>
          <w:sz w:val="20"/>
          <w:szCs w:val="20"/>
        </w:rPr>
        <w:t xml:space="preserve">lion, with an option to increase the maximum borrowing capacity to $200 million. The credit facility agreement is scheduled to expire in November 2024, with the option to extend the maturity for up to two additional one-year periods. Borrowings under this </w:t>
      </w:r>
      <w:r>
        <w:rPr>
          <w:rFonts w:eastAsia="Times New Roman"/>
          <w:color w:val="000000"/>
          <w:sz w:val="20"/>
          <w:szCs w:val="20"/>
        </w:rPr>
        <w:t>credit facility agreement bear interest at (1) a prime rate plus a margin or (2) an adjusted LIBOR plus a margin. Such margin is dependent upon Mountaineer’s unsecured debt rating.</w:t>
      </w:r>
    </w:p>
    <w:p w:rsidR="00000000" w:rsidRDefault="00DF5BC2">
      <w:pPr>
        <w:divId w:val="42406684"/>
        <w:rPr>
          <w:rFonts w:eastAsia="Times New Roman"/>
        </w:rPr>
      </w:pPr>
    </w:p>
    <w:p w:rsidR="00000000" w:rsidRDefault="00DF5BC2">
      <w:pPr>
        <w:jc w:val="both"/>
        <w:rPr>
          <w:rFonts w:eastAsia="Times New Roman"/>
        </w:rPr>
      </w:pPr>
      <w:r>
        <w:rPr>
          <w:rFonts w:eastAsia="Times New Roman"/>
          <w:color w:val="000000"/>
          <w:sz w:val="20"/>
          <w:szCs w:val="20"/>
        </w:rPr>
        <w:t>Mountaineer also has several unsecured senior notes and principal amounts</w:t>
      </w:r>
      <w:r>
        <w:rPr>
          <w:rFonts w:eastAsia="Times New Roman"/>
          <w:color w:val="000000"/>
          <w:sz w:val="20"/>
          <w:szCs w:val="20"/>
        </w:rPr>
        <w:t xml:space="preserve"> are due in full at maturity. Interest is payable on a semiannual basis in June and December for each of these senior notes. See Note 6 to the Consolidated Financial Statements for further information on these senior notes.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Utilities, Inc.’s Senior N</w:t>
      </w:r>
      <w:r>
        <w:rPr>
          <w:rFonts w:eastAsia="Times New Roman"/>
          <w:b/>
          <w:bCs/>
          <w:i/>
          <w:iCs/>
          <w:color w:val="000000"/>
          <w:sz w:val="20"/>
          <w:szCs w:val="20"/>
        </w:rPr>
        <w:t xml:space="preserve">otes. </w:t>
      </w:r>
      <w:r>
        <w:rPr>
          <w:rFonts w:eastAsia="Times New Roman"/>
          <w:color w:val="000000"/>
          <w:sz w:val="20"/>
          <w:szCs w:val="20"/>
        </w:rPr>
        <w:t>On May 7, 2021, UGI Utilities, Inc. entered into a Note Purchase Agreement with a consortium of lenders. Pursuant to the Note Purchase Agreement, UGI Utilities, Inc. issued $100 million aggregate principal amount of 1.59% Senior Notes due June 15, 20</w:t>
      </w:r>
      <w:r>
        <w:rPr>
          <w:rFonts w:eastAsia="Times New Roman"/>
          <w:color w:val="000000"/>
          <w:sz w:val="20"/>
          <w:szCs w:val="20"/>
        </w:rPr>
        <w:t>26 and $75 million aggregate principal amount of 1.64% Senior Notes due September 15, 2026 in June and September 2021, respectively. The net proceeds from these issuances were used to reduce short-term borrowings and for general corporate purposes.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2021 </w:t>
      </w:r>
      <w:r>
        <w:rPr>
          <w:rFonts w:eastAsia="Times New Roman"/>
          <w:b/>
          <w:bCs/>
          <w:i/>
          <w:iCs/>
          <w:color w:val="000000"/>
          <w:sz w:val="20"/>
          <w:szCs w:val="20"/>
        </w:rPr>
        <w:t xml:space="preserve">UGI Corporation Senior Credit Facility. </w:t>
      </w:r>
      <w:r>
        <w:rPr>
          <w:rFonts w:eastAsia="Times New Roman"/>
          <w:color w:val="000000"/>
          <w:sz w:val="20"/>
          <w:szCs w:val="20"/>
        </w:rPr>
        <w:t>On May 4, 2021, UGI amended the existing UGI Corporation Senior Credit Facility. The 2021 UGI Corporation Senior Credit Facility (1) extends the maturity date of the previous three-year $300 million term loan include</w:t>
      </w:r>
      <w:r>
        <w:rPr>
          <w:rFonts w:eastAsia="Times New Roman"/>
          <w:color w:val="000000"/>
          <w:sz w:val="20"/>
          <w:szCs w:val="20"/>
        </w:rPr>
        <w:t>d in the existing UGI Corporation Senior Credit Facility, which is now due in May 2025; and (2) includes a new four-year $215 million term loan commitment. Proceeds from new term loan borrowings under the 2021 UGI Corporation Senior Credit Facility were us</w:t>
      </w:r>
      <w:r>
        <w:rPr>
          <w:rFonts w:eastAsia="Times New Roman"/>
          <w:color w:val="000000"/>
          <w:sz w:val="20"/>
          <w:szCs w:val="20"/>
        </w:rPr>
        <w:t>ed to finance a portion of the Mountaineer Acquisition and for general corporate purposes.</w:t>
      </w:r>
    </w:p>
    <w:p w:rsidR="00000000" w:rsidRDefault="00DF5BC2">
      <w:pPr>
        <w:divId w:val="581719495"/>
        <w:rPr>
          <w:rFonts w:eastAsia="Times New Roman"/>
        </w:rPr>
      </w:pPr>
    </w:p>
    <w:p w:rsidR="00000000" w:rsidRDefault="00DF5BC2">
      <w:pPr>
        <w:jc w:val="both"/>
        <w:rPr>
          <w:rFonts w:eastAsia="Times New Roman"/>
        </w:rPr>
      </w:pPr>
      <w:r>
        <w:rPr>
          <w:rFonts w:eastAsia="Times New Roman"/>
          <w:color w:val="000000"/>
          <w:sz w:val="20"/>
          <w:szCs w:val="20"/>
        </w:rPr>
        <w:t>Borrowings on the new term loan under the 2021 UGI Corporation Senior Credit Facility bear interest subject to our election, at either (1) the associated prime rat</w:t>
      </w:r>
      <w:r>
        <w:rPr>
          <w:rFonts w:eastAsia="Times New Roman"/>
          <w:color w:val="000000"/>
          <w:sz w:val="20"/>
          <w:szCs w:val="20"/>
        </w:rPr>
        <w:t>e plus a margin or (2) an adjusted LIBOR or an alternate benchmark rate plus a margin and are due in their entirety at the maturity date. The applicable margin on the new borrowings, which is dependent upon a ratio of consolidated net indebtedness to conso</w:t>
      </w:r>
      <w:r>
        <w:rPr>
          <w:rFonts w:eastAsia="Times New Roman"/>
          <w:color w:val="000000"/>
          <w:sz w:val="20"/>
          <w:szCs w:val="20"/>
        </w:rPr>
        <w:t>lidated EBITDA, as defined, or UGI’s credit ratings, ranges from 0.125% to 1.50% if the prime rate option is elected and 1.125% to 2.50% if the LIBOR option is elected.</w:t>
      </w:r>
    </w:p>
    <w:p w:rsidR="00000000" w:rsidRDefault="00DF5BC2">
      <w:pPr>
        <w:jc w:val="both"/>
        <w:rPr>
          <w:rFonts w:eastAsia="Times New Roman"/>
        </w:rPr>
      </w:pPr>
    </w:p>
    <w:p w:rsidR="00000000" w:rsidRDefault="00DF5BC2">
      <w:pPr>
        <w:jc w:val="center"/>
        <w:divId w:val="1181817080"/>
        <w:rPr>
          <w:rFonts w:eastAsia="Times New Roman"/>
        </w:rPr>
      </w:pPr>
      <w:r>
        <w:rPr>
          <w:rFonts w:eastAsia="Times New Roman"/>
          <w:color w:val="000000"/>
          <w:sz w:val="20"/>
          <w:szCs w:val="20"/>
        </w:rPr>
        <w:t>60</w:t>
      </w:r>
    </w:p>
    <w:p w:rsidR="00000000" w:rsidRDefault="00DF5BC2">
      <w:pPr>
        <w:rPr>
          <w:rFonts w:eastAsia="Times New Roman"/>
        </w:rPr>
      </w:pPr>
      <w:r>
        <w:rPr>
          <w:rFonts w:eastAsia="Times New Roman"/>
        </w:rPr>
        <w:pict>
          <v:rect id="_x0000_i1087" style="width:0;height:1.5pt" o:hralign="center" o:hrstd="t" o:hr="t" fillcolor="#a0a0a0" stroked="f"/>
        </w:pict>
      </w:r>
    </w:p>
    <w:p w:rsidR="00000000" w:rsidRDefault="00DF5BC2">
      <w:pPr>
        <w:divId w:val="505484008"/>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color w:val="000000"/>
          <w:sz w:val="20"/>
          <w:szCs w:val="20"/>
        </w:rPr>
        <w:t>Credit Facilities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Information about the Company’s principal credit agreements (excluding Energy Services’ </w:t>
      </w:r>
      <w:r>
        <w:rPr>
          <w:rFonts w:eastAsia="Times New Roman"/>
          <w:color w:val="000000"/>
          <w:sz w:val="20"/>
          <w:szCs w:val="20"/>
        </w:rPr>
        <w:t xml:space="preserve">Receivables Facility, which is discussed below) as of September 30, 2021 and 2020, is presented in the tables below. </w:t>
      </w:r>
    </w:p>
    <w:tbl>
      <w:tblPr>
        <w:tblW w:w="4970" w:type="pct"/>
        <w:jc w:val="center"/>
        <w:tblCellMar>
          <w:top w:w="15" w:type="dxa"/>
          <w:left w:w="15" w:type="dxa"/>
          <w:bottom w:w="15" w:type="dxa"/>
          <w:right w:w="15" w:type="dxa"/>
        </w:tblCellMar>
        <w:tblLook w:val="04A0" w:firstRow="1" w:lastRow="0" w:firstColumn="1" w:lastColumn="0" w:noHBand="0" w:noVBand="1"/>
      </w:tblPr>
      <w:tblGrid>
        <w:gridCol w:w="51"/>
        <w:gridCol w:w="1646"/>
        <w:gridCol w:w="39"/>
        <w:gridCol w:w="36"/>
        <w:gridCol w:w="36"/>
        <w:gridCol w:w="36"/>
        <w:gridCol w:w="63"/>
        <w:gridCol w:w="816"/>
        <w:gridCol w:w="36"/>
        <w:gridCol w:w="36"/>
        <w:gridCol w:w="36"/>
        <w:gridCol w:w="36"/>
        <w:gridCol w:w="121"/>
        <w:gridCol w:w="678"/>
        <w:gridCol w:w="36"/>
        <w:gridCol w:w="36"/>
        <w:gridCol w:w="36"/>
        <w:gridCol w:w="36"/>
        <w:gridCol w:w="121"/>
        <w:gridCol w:w="916"/>
        <w:gridCol w:w="36"/>
        <w:gridCol w:w="36"/>
        <w:gridCol w:w="36"/>
        <w:gridCol w:w="36"/>
        <w:gridCol w:w="121"/>
        <w:gridCol w:w="914"/>
        <w:gridCol w:w="36"/>
        <w:gridCol w:w="36"/>
        <w:gridCol w:w="36"/>
        <w:gridCol w:w="36"/>
        <w:gridCol w:w="121"/>
        <w:gridCol w:w="822"/>
        <w:gridCol w:w="36"/>
        <w:gridCol w:w="36"/>
        <w:gridCol w:w="36"/>
        <w:gridCol w:w="36"/>
        <w:gridCol w:w="70"/>
        <w:gridCol w:w="742"/>
        <w:gridCol w:w="187"/>
      </w:tblGrid>
      <w:tr w:rsidR="00000000">
        <w:trPr>
          <w:divId w:val="1766340529"/>
          <w:jc w:val="center"/>
        </w:trPr>
        <w:tc>
          <w:tcPr>
            <w:tcW w:w="50" w:type="pct"/>
            <w:vAlign w:val="center"/>
            <w:hideMark/>
          </w:tcPr>
          <w:p w:rsidR="00000000" w:rsidRDefault="00DF5BC2">
            <w:pPr>
              <w:jc w:val="both"/>
              <w:rPr>
                <w:rFonts w:eastAsia="Times New Roman"/>
              </w:rPr>
            </w:pPr>
          </w:p>
        </w:tc>
        <w:tc>
          <w:tcPr>
            <w:tcW w:w="118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5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1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9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766340529"/>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(Currency in millions)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Expiration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Total Capacity</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Borrowings Outstanding</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Letters of Credit and Guarantees Outstanding</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Available Borrowing Capacity</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Weighted Average Interest Rate - End of Year</w:t>
            </w:r>
          </w:p>
        </w:tc>
      </w:tr>
      <w:tr w:rsidR="00000000">
        <w:trPr>
          <w:divId w:val="1766340529"/>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September 30,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766340529"/>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December 2022</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1766340529"/>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 LLC (a)</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October 2023</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N.A.</w:t>
            </w:r>
          </w:p>
        </w:tc>
      </w:tr>
      <w:tr w:rsidR="00000000">
        <w:trPr>
          <w:divId w:val="1766340529"/>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March 2025</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N.A.</w:t>
            </w:r>
          </w:p>
        </w:tc>
      </w:tr>
      <w:tr w:rsidR="00000000">
        <w:trPr>
          <w:divId w:val="1766340529"/>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 Inc.</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1766340529"/>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Mountaineer</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N.M.</w:t>
            </w:r>
          </w:p>
        </w:tc>
      </w:tr>
      <w:tr w:rsidR="00000000">
        <w:trPr>
          <w:divId w:val="1766340529"/>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Corporation (b)</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August 2024</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1766340529"/>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September 30, 2020</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766340529"/>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December 2022</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1766340529"/>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 LLC (a)</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October 2023</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N.A.</w:t>
            </w:r>
          </w:p>
        </w:tc>
      </w:tr>
      <w:tr w:rsidR="00000000">
        <w:trPr>
          <w:divId w:val="1766340529"/>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Energy Services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March 2025</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N.A.</w:t>
            </w:r>
          </w:p>
        </w:tc>
      </w:tr>
      <w:tr w:rsidR="00000000">
        <w:trPr>
          <w:divId w:val="1766340529"/>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 Inc.</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June 2024</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1766340529"/>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Corporation (b)</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August 2024</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bl>
    <w:p w:rsidR="00000000" w:rsidRDefault="00DF5BC2">
      <w:pPr>
        <w:ind w:hanging="360"/>
        <w:jc w:val="both"/>
        <w:rPr>
          <w:rFonts w:eastAsia="Times New Roman"/>
        </w:rPr>
      </w:pPr>
      <w:r>
        <w:rPr>
          <w:rFonts w:eastAsia="Times New Roman"/>
          <w:color w:val="000000"/>
          <w:sz w:val="20"/>
          <w:szCs w:val="20"/>
        </w:rPr>
        <w:t>(a)</w:t>
      </w:r>
      <w:r>
        <w:rPr>
          <w:rFonts w:eastAsia="Times New Roman"/>
          <w:color w:val="000000"/>
          <w:sz w:val="20"/>
          <w:szCs w:val="20"/>
        </w:rPr>
        <w:t xml:space="preserve">The UGI International Credit Facilities Agreement permits UGI International, LLC to borrow in euros or dollars. </w:t>
      </w:r>
    </w:p>
    <w:p w:rsidR="00000000" w:rsidRDefault="00DF5BC2">
      <w:pPr>
        <w:ind w:hanging="360"/>
        <w:jc w:val="both"/>
        <w:rPr>
          <w:rFonts w:eastAsia="Times New Roman"/>
        </w:rPr>
      </w:pPr>
      <w:r>
        <w:rPr>
          <w:rFonts w:eastAsia="Times New Roman"/>
          <w:color w:val="000000"/>
          <w:sz w:val="20"/>
          <w:szCs w:val="20"/>
        </w:rPr>
        <w:t>(b)Borrowings outstanding have been classified as “Long-term debt” on the Consolidated Balance Sheets. In October 2021 and 2020, the Company re</w:t>
      </w:r>
      <w:r>
        <w:rPr>
          <w:rFonts w:eastAsia="Times New Roman"/>
          <w:color w:val="000000"/>
          <w:sz w:val="20"/>
          <w:szCs w:val="20"/>
        </w:rPr>
        <w:t>paid $70 million and $30 million, respectively, of such borrowings and classified these repayments as “Current maturities of long-term debt” on the Consolidated Balance Sheets.</w:t>
      </w:r>
    </w:p>
    <w:p w:rsidR="00000000" w:rsidRDefault="00DF5BC2">
      <w:pPr>
        <w:jc w:val="both"/>
        <w:rPr>
          <w:rFonts w:eastAsia="Times New Roman"/>
        </w:rPr>
      </w:pPr>
      <w:r>
        <w:rPr>
          <w:rFonts w:eastAsia="Times New Roman"/>
          <w:color w:val="000000"/>
          <w:sz w:val="20"/>
          <w:szCs w:val="20"/>
        </w:rPr>
        <w:t>N.A. - Not applicable</w:t>
      </w:r>
    </w:p>
    <w:p w:rsidR="00000000" w:rsidRDefault="00DF5BC2">
      <w:pPr>
        <w:divId w:val="424423640"/>
        <w:rPr>
          <w:rFonts w:eastAsia="Times New Roman"/>
        </w:rPr>
      </w:pPr>
      <w:r>
        <w:rPr>
          <w:rFonts w:eastAsia="Times New Roman"/>
          <w:color w:val="000000"/>
          <w:sz w:val="20"/>
          <w:szCs w:val="20"/>
        </w:rPr>
        <w:t>N.M. - Not meaningful</w:t>
      </w:r>
    </w:p>
    <w:p w:rsidR="00000000" w:rsidRDefault="00DF5BC2">
      <w:pPr>
        <w:divId w:val="1868835614"/>
        <w:rPr>
          <w:rFonts w:eastAsia="Times New Roman"/>
        </w:rPr>
      </w:pPr>
    </w:p>
    <w:p w:rsidR="00000000" w:rsidRDefault="00DF5BC2">
      <w:pPr>
        <w:jc w:val="both"/>
        <w:rPr>
          <w:rFonts w:eastAsia="Times New Roman"/>
        </w:rPr>
      </w:pPr>
      <w:r>
        <w:rPr>
          <w:rFonts w:eastAsia="Times New Roman"/>
          <w:color w:val="000000"/>
          <w:sz w:val="20"/>
          <w:szCs w:val="20"/>
        </w:rPr>
        <w:t>The average daily and peak short-</w:t>
      </w:r>
      <w:r>
        <w:rPr>
          <w:rFonts w:eastAsia="Times New Roman"/>
          <w:color w:val="000000"/>
          <w:sz w:val="20"/>
          <w:szCs w:val="20"/>
        </w:rPr>
        <w:t>term borrowings under the Company’s principal credit agreements during Fiscal 2021 and Fiscal 2020 are as follows:</w:t>
      </w:r>
    </w:p>
    <w:tbl>
      <w:tblPr>
        <w:tblW w:w="4978" w:type="pct"/>
        <w:tblCellMar>
          <w:top w:w="15" w:type="dxa"/>
          <w:left w:w="15" w:type="dxa"/>
          <w:bottom w:w="15" w:type="dxa"/>
          <w:right w:w="15" w:type="dxa"/>
        </w:tblCellMar>
        <w:tblLook w:val="04A0" w:firstRow="1" w:lastRow="0" w:firstColumn="1" w:lastColumn="0" w:noHBand="0" w:noVBand="1"/>
      </w:tblPr>
      <w:tblGrid>
        <w:gridCol w:w="38"/>
        <w:gridCol w:w="3993"/>
        <w:gridCol w:w="37"/>
        <w:gridCol w:w="36"/>
        <w:gridCol w:w="36"/>
        <w:gridCol w:w="36"/>
        <w:gridCol w:w="121"/>
        <w:gridCol w:w="785"/>
        <w:gridCol w:w="36"/>
        <w:gridCol w:w="36"/>
        <w:gridCol w:w="36"/>
        <w:gridCol w:w="36"/>
        <w:gridCol w:w="120"/>
        <w:gridCol w:w="786"/>
        <w:gridCol w:w="36"/>
        <w:gridCol w:w="36"/>
        <w:gridCol w:w="36"/>
        <w:gridCol w:w="36"/>
        <w:gridCol w:w="121"/>
        <w:gridCol w:w="786"/>
        <w:gridCol w:w="36"/>
        <w:gridCol w:w="36"/>
        <w:gridCol w:w="36"/>
        <w:gridCol w:w="36"/>
        <w:gridCol w:w="120"/>
        <w:gridCol w:w="786"/>
        <w:gridCol w:w="36"/>
      </w:tblGrid>
      <w:tr w:rsidR="00000000">
        <w:trPr>
          <w:divId w:val="1408376855"/>
        </w:trPr>
        <w:tc>
          <w:tcPr>
            <w:tcW w:w="50" w:type="pct"/>
            <w:vAlign w:val="center"/>
            <w:hideMark/>
          </w:tcPr>
          <w:p w:rsidR="00000000" w:rsidRDefault="00DF5BC2">
            <w:pPr>
              <w:jc w:val="both"/>
              <w:rPr>
                <w:rFonts w:eastAsia="Times New Roman"/>
              </w:rPr>
            </w:pPr>
          </w:p>
        </w:tc>
        <w:tc>
          <w:tcPr>
            <w:tcW w:w="24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408376855"/>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1408376855"/>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(Currency in millions)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Peak</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Peak</w:t>
            </w:r>
          </w:p>
        </w:tc>
      </w:tr>
      <w:tr w:rsidR="00000000">
        <w:trPr>
          <w:divId w:val="14083768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0837685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 LLC</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08376855"/>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0837685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 Inc.</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08376855"/>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Mountaineer</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0837685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Corporation</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456139815"/>
        <w:rPr>
          <w:rFonts w:eastAsia="Times New Roman"/>
        </w:rPr>
      </w:pPr>
      <w:r>
        <w:rPr>
          <w:rFonts w:eastAsia="Times New Roman"/>
          <w:b/>
          <w:bCs/>
          <w:i/>
          <w:iCs/>
          <w:color w:val="000000"/>
          <w:sz w:val="20"/>
          <w:szCs w:val="20"/>
        </w:rPr>
        <w:t>Receivables Facility.</w:t>
      </w:r>
      <w:r>
        <w:rPr>
          <w:rFonts w:eastAsia="Times New Roman"/>
          <w:color w:val="000000"/>
          <w:sz w:val="20"/>
          <w:szCs w:val="20"/>
        </w:rPr>
        <w:t xml:space="preserve"> Energy Services also has a Receivables Facility with an issuer of receivables-backed commercial pap</w:t>
      </w:r>
      <w:r>
        <w:rPr>
          <w:rFonts w:eastAsia="Times New Roman"/>
          <w:color w:val="000000"/>
          <w:sz w:val="20"/>
          <w:szCs w:val="20"/>
        </w:rPr>
        <w:t>er. On October 22, 2021, the expiration date of the Receivables Facility was extended to October 21, 2022. The Receivables Facility provides Energy Services with the ability to borrow up to $150 million of eligible receivables during the period November th</w:t>
      </w:r>
      <w:r>
        <w:rPr>
          <w:rFonts w:eastAsia="Times New Roman"/>
          <w:color w:val="000000"/>
          <w:sz w:val="20"/>
          <w:szCs w:val="20"/>
        </w:rPr>
        <w:t>rough April, and up to $75 million of eligible receivables during the period May through October. Energy Services uses the Receivables Facility to fund working capital, margin calls under commodity futures contracts, capital expenditures, dividends and for</w:t>
      </w:r>
      <w:r>
        <w:rPr>
          <w:rFonts w:eastAsia="Times New Roman"/>
          <w:color w:val="000000"/>
          <w:sz w:val="20"/>
          <w:szCs w:val="20"/>
        </w:rPr>
        <w:t xml:space="preserve"> general corporate purposes. </w:t>
      </w:r>
    </w:p>
    <w:p w:rsidR="00000000" w:rsidRDefault="00DF5BC2">
      <w:pPr>
        <w:jc w:val="both"/>
        <w:divId w:val="211380474"/>
        <w:rPr>
          <w:rFonts w:eastAsia="Times New Roman"/>
        </w:rPr>
      </w:pPr>
      <w:r>
        <w:rPr>
          <w:rFonts w:eastAsia="Times New Roman"/>
          <w:color w:val="000000"/>
          <w:sz w:val="20"/>
          <w:szCs w:val="20"/>
        </w:rPr>
        <w:t xml:space="preserve">At September 30, 2021, the outstanding balance of trade receivables was $61 million, none of which was sold to the bank. At September 30, 2020, the outstanding balance of trade receivables was $50 million of which $19 million </w:t>
      </w:r>
      <w:r>
        <w:rPr>
          <w:rFonts w:eastAsia="Times New Roman"/>
          <w:color w:val="000000"/>
          <w:sz w:val="20"/>
          <w:szCs w:val="20"/>
        </w:rPr>
        <w:t xml:space="preserve">was sold to the bank. Amounts sold to the bank are reflected as “Short-term borrowings” on the Consolidated Balance Sheet. During Fiscal 2021 and Fiscal 2020, peak sales of receivables were $87 million and $97 million, respectively. During Fiscal 2021 and </w:t>
      </w:r>
      <w:r>
        <w:rPr>
          <w:rFonts w:eastAsia="Times New Roman"/>
          <w:color w:val="000000"/>
          <w:sz w:val="20"/>
          <w:szCs w:val="20"/>
        </w:rPr>
        <w:t>Fiscal 2020, average daily amounts sold were $21 million and $45 million, respectively.</w:t>
      </w:r>
    </w:p>
    <w:p w:rsidR="00000000" w:rsidRDefault="00DF5BC2">
      <w:pPr>
        <w:jc w:val="both"/>
        <w:divId w:val="1730958834"/>
        <w:rPr>
          <w:rFonts w:eastAsia="Times New Roman"/>
        </w:rPr>
      </w:pPr>
      <w:r>
        <w:rPr>
          <w:rFonts w:eastAsia="Times New Roman"/>
          <w:color w:val="000000"/>
          <w:sz w:val="20"/>
          <w:szCs w:val="20"/>
        </w:rPr>
        <w:t>For further information on the Company’s long-term debt and credit facilities, see Note 6 to Consolidated Financial Statements.</w:t>
      </w:r>
    </w:p>
    <w:p w:rsidR="00000000" w:rsidRDefault="00DF5BC2">
      <w:pPr>
        <w:jc w:val="center"/>
        <w:divId w:val="1368066227"/>
        <w:rPr>
          <w:rFonts w:eastAsia="Times New Roman"/>
        </w:rPr>
      </w:pPr>
      <w:r>
        <w:rPr>
          <w:rFonts w:eastAsia="Times New Roman"/>
          <w:color w:val="000000"/>
          <w:sz w:val="20"/>
          <w:szCs w:val="20"/>
        </w:rPr>
        <w:t>61</w:t>
      </w:r>
    </w:p>
    <w:p w:rsidR="00000000" w:rsidRDefault="00DF5BC2">
      <w:pPr>
        <w:rPr>
          <w:rFonts w:eastAsia="Times New Roman"/>
        </w:rPr>
      </w:pPr>
      <w:r>
        <w:rPr>
          <w:rFonts w:eastAsia="Times New Roman"/>
        </w:rPr>
        <w:pict>
          <v:rect id="_x0000_i1088" style="width:0;height:1.5pt" o:hralign="center" o:hrstd="t" o:hr="t" fillcolor="#a0a0a0" stroked="f"/>
        </w:pict>
      </w:r>
    </w:p>
    <w:p w:rsidR="00000000" w:rsidRDefault="00DF5BC2">
      <w:pPr>
        <w:divId w:val="126283674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1649824863"/>
        <w:rPr>
          <w:rFonts w:eastAsia="Times New Roman"/>
        </w:rPr>
      </w:pPr>
      <w:r>
        <w:rPr>
          <w:rFonts w:eastAsia="Times New Roman"/>
          <w:b/>
          <w:bCs/>
          <w:color w:val="000000"/>
          <w:sz w:val="20"/>
          <w:szCs w:val="20"/>
        </w:rPr>
        <w:t>Cash Flows</w:t>
      </w:r>
    </w:p>
    <w:p w:rsidR="00000000" w:rsidRDefault="00DF5BC2">
      <w:pPr>
        <w:jc w:val="both"/>
        <w:divId w:val="1607157690"/>
        <w:rPr>
          <w:rFonts w:eastAsia="Times New Roman"/>
        </w:rPr>
      </w:pPr>
      <w:r>
        <w:rPr>
          <w:rFonts w:eastAsia="Times New Roman"/>
          <w:color w:val="000000"/>
          <w:sz w:val="20"/>
          <w:szCs w:val="20"/>
        </w:rPr>
        <w:t>Due to the seasonal nature of the Company’s businesses, cash flows from operating activities are generally strongest during the second and third fiscal quarters when cus</w:t>
      </w:r>
      <w:r>
        <w:rPr>
          <w:rFonts w:eastAsia="Times New Roman"/>
          <w:color w:val="000000"/>
          <w:sz w:val="20"/>
          <w:szCs w:val="20"/>
        </w:rPr>
        <w:t>tomers pay for natural gas, LPG, electricity and other energy products and services consumed during the peak heating season months. Conversely, operating cash flows are generally at their lowest levels during the fourth and first fiscal quarters when the C</w:t>
      </w:r>
      <w:r>
        <w:rPr>
          <w:rFonts w:eastAsia="Times New Roman"/>
          <w:color w:val="000000"/>
          <w:sz w:val="20"/>
          <w:szCs w:val="20"/>
        </w:rPr>
        <w:t>ompany’s investment in working capital, principally inventories and accounts receivable, is generally greatest.</w:t>
      </w:r>
    </w:p>
    <w:p w:rsidR="00000000" w:rsidRDefault="00DF5BC2">
      <w:pPr>
        <w:jc w:val="both"/>
        <w:divId w:val="1295868425"/>
        <w:rPr>
          <w:rFonts w:eastAsia="Times New Roman"/>
        </w:rPr>
      </w:pPr>
      <w:r>
        <w:rPr>
          <w:rFonts w:eastAsia="Times New Roman"/>
          <w:b/>
          <w:bCs/>
          <w:color w:val="000000"/>
          <w:sz w:val="20"/>
          <w:szCs w:val="20"/>
        </w:rPr>
        <w:t>Operating Activities:</w:t>
      </w:r>
    </w:p>
    <w:p w:rsidR="00000000" w:rsidRDefault="00DF5BC2">
      <w:pPr>
        <w:jc w:val="both"/>
        <w:divId w:val="507453083"/>
        <w:rPr>
          <w:rFonts w:eastAsia="Times New Roman"/>
        </w:rPr>
      </w:pPr>
      <w:r>
        <w:rPr>
          <w:rFonts w:eastAsia="Times New Roman"/>
          <w:color w:val="000000"/>
          <w:sz w:val="20"/>
          <w:szCs w:val="20"/>
        </w:rPr>
        <w:t xml:space="preserve">Year-to-year variations in our cash flows from operating activities can be significantly affected by changes in operating </w:t>
      </w:r>
      <w:r>
        <w:rPr>
          <w:rFonts w:eastAsia="Times New Roman"/>
          <w:color w:val="000000"/>
          <w:sz w:val="20"/>
          <w:szCs w:val="20"/>
        </w:rPr>
        <w:t>working capital especially during periods with significant changes in energy commodity prices. Cash flows from operating activities in Fiscal 2021 and Fiscal 2020 were $1,481 million and $1,102 million, respectively. Cash flows from operating activities be</w:t>
      </w:r>
      <w:r>
        <w:rPr>
          <w:rFonts w:eastAsia="Times New Roman"/>
          <w:color w:val="000000"/>
          <w:sz w:val="20"/>
          <w:szCs w:val="20"/>
        </w:rPr>
        <w:t>fore changes in operating working capital were $1,200 million in Fiscal 2021 and $1,176 million in Fiscal 2020. Changes in operating working capital provided (used) operating cash flow of $281 million in Fiscal 2021 and $(74) million in Fiscal 2020. Change</w:t>
      </w:r>
      <w:r>
        <w:rPr>
          <w:rFonts w:eastAsia="Times New Roman"/>
          <w:color w:val="000000"/>
          <w:sz w:val="20"/>
          <w:szCs w:val="20"/>
        </w:rPr>
        <w:t>s in operating working capital during Fiscal 2021 reflect cash generated from changes in accounts payable and higher cash received for commodity derivative instrument collateral deposits in the Fiscal 2021 as compared to Fiscal 2020, as well as cash genera</w:t>
      </w:r>
      <w:r>
        <w:rPr>
          <w:rFonts w:eastAsia="Times New Roman"/>
          <w:color w:val="000000"/>
          <w:sz w:val="20"/>
          <w:szCs w:val="20"/>
        </w:rPr>
        <w:t>ted from changes in income taxes receivable and other current liabilities. These changes were partially offset by an increase in cash required to fund changes in accounts receivable and inventories due to rising commodity prices during Fiscal 2021, net ref</w:t>
      </w:r>
      <w:r>
        <w:rPr>
          <w:rFonts w:eastAsia="Times New Roman"/>
          <w:color w:val="000000"/>
          <w:sz w:val="20"/>
          <w:szCs w:val="20"/>
        </w:rPr>
        <w:t>unds of deferred fuel and power costs compared to net recoveries during the Fiscal 2020 as well as an increase in cash required to fund changes in other current assets.</w:t>
      </w:r>
    </w:p>
    <w:p w:rsidR="00000000" w:rsidRDefault="00DF5BC2">
      <w:pPr>
        <w:jc w:val="both"/>
        <w:divId w:val="896286713"/>
        <w:rPr>
          <w:rFonts w:eastAsia="Times New Roman"/>
        </w:rPr>
      </w:pPr>
      <w:r>
        <w:rPr>
          <w:rFonts w:eastAsia="Times New Roman"/>
          <w:b/>
          <w:bCs/>
          <w:color w:val="000000"/>
          <w:sz w:val="20"/>
          <w:szCs w:val="20"/>
        </w:rPr>
        <w:t>Investing Activities:</w:t>
      </w:r>
    </w:p>
    <w:p w:rsidR="00000000" w:rsidRDefault="00DF5BC2">
      <w:pPr>
        <w:jc w:val="both"/>
        <w:divId w:val="1079210640"/>
        <w:rPr>
          <w:rFonts w:eastAsia="Times New Roman"/>
        </w:rPr>
      </w:pPr>
      <w:r>
        <w:rPr>
          <w:rFonts w:eastAsia="Times New Roman"/>
          <w:color w:val="000000"/>
          <w:sz w:val="20"/>
          <w:szCs w:val="20"/>
        </w:rPr>
        <w:t>Investing activity cash flow is principally affected by cash expe</w:t>
      </w:r>
      <w:r>
        <w:rPr>
          <w:rFonts w:eastAsia="Times New Roman"/>
          <w:color w:val="000000"/>
          <w:sz w:val="20"/>
          <w:szCs w:val="20"/>
        </w:rPr>
        <w:t>nditures for property, plant and equipment; cash paid for acquisitions of businesses and assets; investments in equity method investees; and cash proceeds from sales and retirements of property, plant and equipment. Cash expenditures for property, plant an</w:t>
      </w:r>
      <w:r>
        <w:rPr>
          <w:rFonts w:eastAsia="Times New Roman"/>
          <w:color w:val="000000"/>
          <w:sz w:val="20"/>
          <w:szCs w:val="20"/>
        </w:rPr>
        <w:t xml:space="preserve">d equipment totaled $690 million in Fiscal 2021 and $655 million in Fiscal 2020. Cash payments for property, plant and equipment were higher in Fiscal 2021 compared with Fiscal 2020 reflecting, in part, the return of normal capital spending in the absence </w:t>
      </w:r>
      <w:r>
        <w:rPr>
          <w:rFonts w:eastAsia="Times New Roman"/>
          <w:color w:val="000000"/>
          <w:sz w:val="20"/>
          <w:szCs w:val="20"/>
        </w:rPr>
        <w:t>of curtailments experienced at the onset of the COVID-19 pandemic in Fiscal 2020. Cash used for acquisitions of businesses and assets in Fiscal 2021 reflects UGI’s acquisition of Mountaineer. Cash used for investments in equity method investees in Fiscal 2</w:t>
      </w:r>
      <w:r>
        <w:rPr>
          <w:rFonts w:eastAsia="Times New Roman"/>
          <w:color w:val="000000"/>
          <w:sz w:val="20"/>
          <w:szCs w:val="20"/>
        </w:rPr>
        <w:t xml:space="preserve">021 includes contributions to Pine Run of $56 million to fund the acquisition of Pine Run Midstream, LLC. </w:t>
      </w:r>
    </w:p>
    <w:p w:rsidR="00000000" w:rsidRDefault="00DF5BC2">
      <w:pPr>
        <w:jc w:val="both"/>
        <w:divId w:val="783311329"/>
        <w:rPr>
          <w:rFonts w:eastAsia="Times New Roman"/>
        </w:rPr>
      </w:pPr>
      <w:r>
        <w:rPr>
          <w:rFonts w:eastAsia="Times New Roman"/>
          <w:b/>
          <w:bCs/>
          <w:color w:val="000000"/>
          <w:sz w:val="20"/>
          <w:szCs w:val="20"/>
        </w:rPr>
        <w:t>Financing Activities:</w:t>
      </w:r>
    </w:p>
    <w:p w:rsidR="00000000" w:rsidRDefault="00DF5BC2">
      <w:pPr>
        <w:jc w:val="both"/>
        <w:divId w:val="637995746"/>
        <w:rPr>
          <w:rFonts w:eastAsia="Times New Roman"/>
        </w:rPr>
      </w:pPr>
      <w:r>
        <w:rPr>
          <w:rFonts w:eastAsia="Times New Roman"/>
          <w:color w:val="000000"/>
          <w:sz w:val="20"/>
          <w:szCs w:val="20"/>
        </w:rPr>
        <w:t>Changes in cash flow from financing activities are primarily due to issuances and repayments of long-term debt; short-term borr</w:t>
      </w:r>
      <w:r>
        <w:rPr>
          <w:rFonts w:eastAsia="Times New Roman"/>
          <w:color w:val="000000"/>
          <w:sz w:val="20"/>
          <w:szCs w:val="20"/>
        </w:rPr>
        <w:t>owings; dividends on UGI Common Stock; and issuances or repurchases of equity instruments.</w:t>
      </w:r>
    </w:p>
    <w:p w:rsidR="00000000" w:rsidRDefault="00DF5BC2">
      <w:pPr>
        <w:jc w:val="both"/>
        <w:divId w:val="255213953"/>
        <w:rPr>
          <w:rFonts w:eastAsia="Times New Roman"/>
        </w:rPr>
      </w:pPr>
      <w:r>
        <w:rPr>
          <w:rFonts w:eastAsia="Times New Roman"/>
          <w:color w:val="000000"/>
          <w:sz w:val="20"/>
          <w:szCs w:val="20"/>
        </w:rPr>
        <w:t xml:space="preserve">Cash flow provided by financing activities was $166 million in Fiscal 2021 compared to cash used to fund financing activities of $635 million in Fiscal 2020. During </w:t>
      </w:r>
      <w:r>
        <w:rPr>
          <w:rFonts w:eastAsia="Times New Roman"/>
          <w:color w:val="000000"/>
          <w:sz w:val="20"/>
          <w:szCs w:val="20"/>
        </w:rPr>
        <w:t xml:space="preserve">Fiscal 2021, the Company received $213 million in net cash proceeds from the issuance of Equity Units and $215 million from the issuance of a new variable rate term loan due in May 2025. These funds were used partially to fund the Mountaineer Acquisition. </w:t>
      </w:r>
      <w:r>
        <w:rPr>
          <w:rFonts w:eastAsia="Times New Roman"/>
          <w:color w:val="000000"/>
          <w:sz w:val="20"/>
          <w:szCs w:val="20"/>
        </w:rPr>
        <w:t>Also during Fiscal 2021 and Fiscal 2020, UGI Utilities, Inc. issued $175 million of senior notes and $150 million of senior notes, respectively. In Fiscal 2021 and Fiscal 2020, the Company had net repayments on credit facilities and the Receivables Facilit</w:t>
      </w:r>
      <w:r>
        <w:rPr>
          <w:rFonts w:eastAsia="Times New Roman"/>
          <w:color w:val="000000"/>
          <w:sz w:val="20"/>
          <w:szCs w:val="20"/>
        </w:rPr>
        <w:t>y of $35 million and $449 million, respectively. Cash used to fund changes in financing activities in Fiscal 2020 includes $38 million of cash paid to repurchase UGI Common Stock.</w:t>
      </w:r>
    </w:p>
    <w:p w:rsidR="00000000" w:rsidRDefault="00DF5BC2">
      <w:pPr>
        <w:jc w:val="center"/>
        <w:divId w:val="2108697383"/>
        <w:rPr>
          <w:rFonts w:eastAsia="Times New Roman"/>
        </w:rPr>
      </w:pPr>
      <w:r>
        <w:rPr>
          <w:rFonts w:eastAsia="Times New Roman"/>
          <w:color w:val="000000"/>
          <w:sz w:val="20"/>
          <w:szCs w:val="20"/>
        </w:rPr>
        <w:t>62</w:t>
      </w:r>
    </w:p>
    <w:p w:rsidR="00000000" w:rsidRDefault="00DF5BC2">
      <w:pPr>
        <w:rPr>
          <w:rFonts w:eastAsia="Times New Roman"/>
        </w:rPr>
      </w:pPr>
      <w:r>
        <w:rPr>
          <w:rFonts w:eastAsia="Times New Roman"/>
        </w:rPr>
        <w:pict>
          <v:rect id="_x0000_i1089" style="width:0;height:1.5pt" o:hralign="center" o:hrstd="t" o:hr="t" fillcolor="#a0a0a0" stroked="f"/>
        </w:pict>
      </w:r>
    </w:p>
    <w:p w:rsidR="00000000" w:rsidRDefault="00DF5BC2">
      <w:pPr>
        <w:divId w:val="1806463227"/>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6101818"/>
        <w:rPr>
          <w:rFonts w:eastAsia="Times New Roman"/>
        </w:rPr>
      </w:pPr>
      <w:r>
        <w:rPr>
          <w:rFonts w:eastAsia="Times New Roman"/>
          <w:b/>
          <w:bCs/>
          <w:color w:val="000000"/>
          <w:sz w:val="20"/>
          <w:szCs w:val="20"/>
        </w:rPr>
        <w:t>Capital Expenditures</w:t>
      </w:r>
    </w:p>
    <w:p w:rsidR="00000000" w:rsidRDefault="00DF5BC2">
      <w:pPr>
        <w:jc w:val="both"/>
        <w:divId w:val="203955281"/>
        <w:rPr>
          <w:rFonts w:eastAsia="Times New Roman"/>
        </w:rPr>
      </w:pPr>
      <w:r>
        <w:rPr>
          <w:rFonts w:eastAsia="Times New Roman"/>
          <w:color w:val="000000"/>
          <w:sz w:val="20"/>
          <w:szCs w:val="20"/>
        </w:rPr>
        <w:t xml:space="preserve">In the following table, we present capital expenditures (which exclude acquisitions of businesses and assets) for Fiscal 2021 and Fiscal 2020. We also provide </w:t>
      </w:r>
      <w:r>
        <w:rPr>
          <w:rFonts w:eastAsia="Times New Roman"/>
          <w:color w:val="000000"/>
          <w:sz w:val="20"/>
          <w:szCs w:val="20"/>
        </w:rPr>
        <w:t>amounts we expect to spend in Fiscal 2022. We expect to finance a substantial portion of our Fiscal 2022 capital expenditures from cash generated by operations and cash on hand.</w:t>
      </w:r>
    </w:p>
    <w:tbl>
      <w:tblPr>
        <w:tblW w:w="5000" w:type="pct"/>
        <w:tblCellMar>
          <w:top w:w="15" w:type="dxa"/>
          <w:left w:w="15" w:type="dxa"/>
          <w:bottom w:w="15" w:type="dxa"/>
          <w:right w:w="15" w:type="dxa"/>
        </w:tblCellMar>
        <w:tblLook w:val="04A0" w:firstRow="1" w:lastRow="0" w:firstColumn="1" w:lastColumn="0" w:noHBand="0" w:noVBand="1"/>
      </w:tblPr>
      <w:tblGrid>
        <w:gridCol w:w="39"/>
        <w:gridCol w:w="5066"/>
        <w:gridCol w:w="38"/>
        <w:gridCol w:w="36"/>
        <w:gridCol w:w="36"/>
        <w:gridCol w:w="36"/>
        <w:gridCol w:w="121"/>
        <w:gridCol w:w="789"/>
        <w:gridCol w:w="36"/>
        <w:gridCol w:w="36"/>
        <w:gridCol w:w="36"/>
        <w:gridCol w:w="36"/>
        <w:gridCol w:w="120"/>
        <w:gridCol w:w="790"/>
        <w:gridCol w:w="36"/>
        <w:gridCol w:w="36"/>
        <w:gridCol w:w="36"/>
        <w:gridCol w:w="36"/>
        <w:gridCol w:w="120"/>
        <w:gridCol w:w="791"/>
        <w:gridCol w:w="36"/>
      </w:tblGrid>
      <w:tr w:rsidR="00000000">
        <w:trPr>
          <w:divId w:val="1253734498"/>
        </w:trPr>
        <w:tc>
          <w:tcPr>
            <w:tcW w:w="50" w:type="pct"/>
            <w:vAlign w:val="center"/>
            <w:hideMark/>
          </w:tcPr>
          <w:p w:rsidR="00000000" w:rsidRDefault="00DF5BC2">
            <w:pPr>
              <w:jc w:val="both"/>
              <w:rPr>
                <w:rFonts w:eastAsia="Times New Roman"/>
              </w:rPr>
            </w:pPr>
          </w:p>
        </w:tc>
        <w:tc>
          <w:tcPr>
            <w:tcW w:w="30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253734498"/>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2022</w:t>
            </w:r>
            <w:r>
              <w:rPr>
                <w:rFonts w:eastAsia="Times New Roman"/>
                <w:color w:val="000000"/>
                <w:sz w:val="20"/>
                <w:szCs w:val="20"/>
              </w:rPr>
              <w:br/>
              <w:t>(estimate)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1253734498"/>
        </w:trPr>
        <w:tc>
          <w:tcPr>
            <w:tcW w:w="0" w:type="auto"/>
            <w:gridSpan w:val="3"/>
            <w:vAlign w:val="center"/>
            <w:hideMark/>
          </w:tcPr>
          <w:p w:rsidR="00000000" w:rsidRDefault="00DF5BC2">
            <w:pPr>
              <w:spacing w:after="100"/>
              <w:jc w:val="center"/>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5373449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5373449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5373449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5373449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5373449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Corporate &amp; </w:t>
            </w: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5373449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2023701152"/>
        <w:rPr>
          <w:rFonts w:eastAsia="Times New Roman"/>
        </w:rPr>
      </w:pPr>
    </w:p>
    <w:p w:rsidR="00000000" w:rsidRDefault="00DF5BC2">
      <w:pPr>
        <w:jc w:val="both"/>
        <w:rPr>
          <w:rFonts w:eastAsia="Times New Roman"/>
        </w:rPr>
      </w:pPr>
      <w:r>
        <w:rPr>
          <w:rFonts w:eastAsia="Times New Roman"/>
          <w:color w:val="000000"/>
          <w:sz w:val="20"/>
          <w:szCs w:val="20"/>
        </w:rPr>
        <w:t>Capital expenditures at Midstream &amp; Marketing declined during Fiscal 20</w:t>
      </w:r>
      <w:r>
        <w:rPr>
          <w:rFonts w:eastAsia="Times New Roman"/>
          <w:color w:val="000000"/>
          <w:sz w:val="20"/>
          <w:szCs w:val="20"/>
        </w:rPr>
        <w:t>21 primarily due to the use of funds to invest in Pine Run. Increased levels of capital expenditures estimated in Fiscal 2022 reflect natural gas infrastructure expansion and investments in renewable energy projects at Midstream &amp; Marketing; replacement an</w:t>
      </w:r>
      <w:r>
        <w:rPr>
          <w:rFonts w:eastAsia="Times New Roman"/>
          <w:color w:val="000000"/>
          <w:sz w:val="20"/>
          <w:szCs w:val="20"/>
        </w:rPr>
        <w:t>d betterment projects at UGI Utilities, Inc.; and the addition of Mountaineer’s capital expenditure programs.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Contractual Cash Obligations and Commitments</w:t>
      </w:r>
    </w:p>
    <w:p w:rsidR="00000000" w:rsidRDefault="00DF5BC2">
      <w:pPr>
        <w:jc w:val="both"/>
        <w:divId w:val="518542345"/>
        <w:rPr>
          <w:rFonts w:eastAsia="Times New Roman"/>
        </w:rPr>
      </w:pPr>
      <w:r>
        <w:rPr>
          <w:rFonts w:eastAsia="Times New Roman"/>
          <w:color w:val="000000"/>
          <w:sz w:val="20"/>
          <w:szCs w:val="20"/>
        </w:rPr>
        <w:t>The Company has contractual cash obligations that extend beyond Fiscal 2021. The following table pr</w:t>
      </w:r>
      <w:r>
        <w:rPr>
          <w:rFonts w:eastAsia="Times New Roman"/>
          <w:color w:val="000000"/>
          <w:sz w:val="20"/>
          <w:szCs w:val="20"/>
        </w:rPr>
        <w:t>esents contractual cash obligations with non-affiliates under agreements existing as of September 30, 2021:</w:t>
      </w:r>
    </w:p>
    <w:tbl>
      <w:tblPr>
        <w:tblW w:w="4978" w:type="pct"/>
        <w:tblCellMar>
          <w:top w:w="15" w:type="dxa"/>
          <w:left w:w="15" w:type="dxa"/>
          <w:bottom w:w="15" w:type="dxa"/>
          <w:right w:w="15" w:type="dxa"/>
        </w:tblCellMar>
        <w:tblLook w:val="04A0" w:firstRow="1" w:lastRow="0" w:firstColumn="1" w:lastColumn="0" w:noHBand="0" w:noVBand="1"/>
      </w:tblPr>
      <w:tblGrid>
        <w:gridCol w:w="40"/>
        <w:gridCol w:w="2955"/>
        <w:gridCol w:w="39"/>
        <w:gridCol w:w="36"/>
        <w:gridCol w:w="36"/>
        <w:gridCol w:w="36"/>
        <w:gridCol w:w="120"/>
        <w:gridCol w:w="780"/>
        <w:gridCol w:w="36"/>
        <w:gridCol w:w="36"/>
        <w:gridCol w:w="36"/>
        <w:gridCol w:w="36"/>
        <w:gridCol w:w="120"/>
        <w:gridCol w:w="781"/>
        <w:gridCol w:w="36"/>
        <w:gridCol w:w="36"/>
        <w:gridCol w:w="36"/>
        <w:gridCol w:w="36"/>
        <w:gridCol w:w="120"/>
        <w:gridCol w:w="781"/>
        <w:gridCol w:w="36"/>
        <w:gridCol w:w="36"/>
        <w:gridCol w:w="36"/>
        <w:gridCol w:w="36"/>
        <w:gridCol w:w="120"/>
        <w:gridCol w:w="781"/>
        <w:gridCol w:w="36"/>
        <w:gridCol w:w="36"/>
        <w:gridCol w:w="36"/>
        <w:gridCol w:w="36"/>
        <w:gridCol w:w="121"/>
        <w:gridCol w:w="791"/>
        <w:gridCol w:w="36"/>
      </w:tblGrid>
      <w:tr w:rsidR="00000000">
        <w:trPr>
          <w:divId w:val="385109983"/>
        </w:trPr>
        <w:tc>
          <w:tcPr>
            <w:tcW w:w="50" w:type="pct"/>
            <w:vAlign w:val="center"/>
            <w:hideMark/>
          </w:tcPr>
          <w:p w:rsidR="00000000" w:rsidRDefault="00DF5BC2">
            <w:pPr>
              <w:jc w:val="both"/>
              <w:rPr>
                <w:rFonts w:eastAsia="Times New Roman"/>
              </w:rPr>
            </w:pPr>
          </w:p>
        </w:tc>
        <w:tc>
          <w:tcPr>
            <w:tcW w:w="182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385109983"/>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7"/>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Payments Due by Period</w:t>
            </w:r>
          </w:p>
        </w:tc>
      </w:tr>
      <w:tr w:rsidR="00000000">
        <w:trPr>
          <w:divId w:val="385109983"/>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Fiscal</w:t>
            </w:r>
            <w:r>
              <w:rPr>
                <w:rFonts w:eastAsia="Times New Roman"/>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Fiscal</w:t>
            </w:r>
            <w:r>
              <w:rPr>
                <w:rFonts w:eastAsia="Times New Roman"/>
                <w:color w:val="000000"/>
                <w:sz w:val="20"/>
                <w:szCs w:val="20"/>
              </w:rPr>
              <w:br/>
              <w:t>2023 - 2024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Fiscal</w:t>
            </w:r>
            <w:r>
              <w:rPr>
                <w:rFonts w:eastAsia="Times New Roman"/>
                <w:color w:val="000000"/>
                <w:sz w:val="20"/>
                <w:szCs w:val="20"/>
              </w:rPr>
              <w:br/>
              <w:t>2025 - 2026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Thereafter</w:t>
            </w:r>
          </w:p>
        </w:tc>
      </w:tr>
      <w:tr w:rsidR="00000000">
        <w:trPr>
          <w:divId w:val="38510998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Long-term debt (a)</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8510998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on long-term fixed-rate debt (a)(b)(c)</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1,962 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8510998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8510998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Propane supply contracts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8510998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 supply contracts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8510998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Midstream &amp; </w:t>
            </w:r>
            <w:r>
              <w:rPr>
                <w:rFonts w:eastAsia="Times New Roman"/>
                <w:color w:val="000000"/>
                <w:sz w:val="20"/>
                <w:szCs w:val="20"/>
              </w:rPr>
              <w:t>Marketing supply contracts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1,202 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8510998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 construction, supply, storage and transportation contracts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8510998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Derivative instruments (d)</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8510998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10,764 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(a)Based upon stated maturity dates for debt outstanding at Septem</w:t>
      </w:r>
      <w:r>
        <w:rPr>
          <w:rFonts w:eastAsia="Times New Roman"/>
          <w:color w:val="000000"/>
          <w:sz w:val="20"/>
          <w:szCs w:val="20"/>
        </w:rPr>
        <w:t>ber 30, 2021.</w:t>
      </w:r>
    </w:p>
    <w:p w:rsidR="00000000" w:rsidRDefault="00DF5BC2">
      <w:pPr>
        <w:ind w:hanging="360"/>
        <w:jc w:val="both"/>
        <w:divId w:val="1332877145"/>
        <w:rPr>
          <w:rFonts w:eastAsia="Times New Roman"/>
        </w:rPr>
      </w:pPr>
      <w:r>
        <w:rPr>
          <w:rFonts w:eastAsia="Times New Roman"/>
          <w:color w:val="000000"/>
          <w:sz w:val="20"/>
          <w:szCs w:val="20"/>
        </w:rPr>
        <w:t>(b)Based upon stated interest rates adjusted for the effects of interest rate swaps.</w:t>
      </w:r>
    </w:p>
    <w:p w:rsidR="00000000" w:rsidRDefault="00DF5BC2">
      <w:pPr>
        <w:ind w:hanging="360"/>
        <w:jc w:val="both"/>
        <w:divId w:val="1330018572"/>
        <w:rPr>
          <w:rFonts w:eastAsia="Times New Roman"/>
        </w:rPr>
      </w:pPr>
      <w:r>
        <w:rPr>
          <w:rFonts w:eastAsia="Times New Roman"/>
          <w:color w:val="000000"/>
          <w:sz w:val="20"/>
          <w:szCs w:val="20"/>
        </w:rPr>
        <w:t>(c)Calculated using applicable interest rates or forward interest rate curves, and UGI’s and its subsidiaries’ leverage ratios, as of September 30, 2021.</w:t>
      </w:r>
    </w:p>
    <w:p w:rsidR="00000000" w:rsidRDefault="00DF5BC2">
      <w:pPr>
        <w:ind w:hanging="360"/>
        <w:jc w:val="both"/>
        <w:divId w:val="2082022046"/>
        <w:rPr>
          <w:rFonts w:eastAsia="Times New Roman"/>
        </w:rPr>
      </w:pPr>
      <w:r>
        <w:rPr>
          <w:rFonts w:eastAsia="Times New Roman"/>
          <w:color w:val="000000"/>
          <w:sz w:val="20"/>
          <w:szCs w:val="20"/>
        </w:rPr>
        <w:t>(d)</w:t>
      </w:r>
      <w:r>
        <w:rPr>
          <w:rFonts w:eastAsia="Times New Roman"/>
          <w:color w:val="000000"/>
          <w:sz w:val="20"/>
          <w:szCs w:val="20"/>
        </w:rPr>
        <w:t>Represents the sum of amounts due if derivative instrument liabilities were settled at the September 30, 2021 amounts reflected in the Consolidated Balance Sheet (but excluding amounts associated with interest rate contracts).</w:t>
      </w:r>
    </w:p>
    <w:p w:rsidR="00000000" w:rsidRDefault="00DF5BC2">
      <w:pPr>
        <w:jc w:val="both"/>
        <w:divId w:val="492985953"/>
        <w:rPr>
          <w:rFonts w:eastAsia="Times New Roman"/>
        </w:rPr>
      </w:pPr>
      <w:r>
        <w:rPr>
          <w:rFonts w:eastAsia="Times New Roman"/>
          <w:color w:val="000000"/>
          <w:sz w:val="20"/>
          <w:szCs w:val="20"/>
        </w:rPr>
        <w:t>“Other noncurrent liabilities</w:t>
      </w:r>
      <w:r>
        <w:rPr>
          <w:rFonts w:eastAsia="Times New Roman"/>
          <w:color w:val="000000"/>
          <w:sz w:val="20"/>
          <w:szCs w:val="20"/>
        </w:rPr>
        <w:t>” included in our Consolidated Balance Sheet at September 30, 2021, principally comprise operating lease liabilities (see Note 16 to Consolidated Financial Statements); regulatory liabilities (see Note 9 to Consolidated Financial Statements); refundable ta</w:t>
      </w:r>
      <w:r>
        <w:rPr>
          <w:rFonts w:eastAsia="Times New Roman"/>
          <w:color w:val="000000"/>
          <w:sz w:val="20"/>
          <w:szCs w:val="20"/>
        </w:rPr>
        <w:t>nk and cylinder deposits (as further described in Note 2 to Consolidated Financial Statements under the caption “Refundable Tank and Cylinder Deposits”); litigation, property and casualty liabilities and obligations under environmental remediation agreemen</w:t>
      </w:r>
      <w:r>
        <w:rPr>
          <w:rFonts w:eastAsia="Times New Roman"/>
          <w:color w:val="000000"/>
          <w:sz w:val="20"/>
          <w:szCs w:val="20"/>
        </w:rPr>
        <w:t>ts (see Note 17 to Consolidated Financial Statements); pension and other postretirement benefit liabilities recorded in accordance with accounting guidance relating to employee retirement plans (see Note 8 to Consolidated Financial Statements); and liabili</w:t>
      </w:r>
      <w:r>
        <w:rPr>
          <w:rFonts w:eastAsia="Times New Roman"/>
          <w:color w:val="000000"/>
          <w:sz w:val="20"/>
          <w:szCs w:val="20"/>
        </w:rPr>
        <w:t>ties associated with executive compensation plans (see Note 14 to Consolidated Financial Statements). These liabilities, with the exception of operating lease liabilities, are not included in the table of Contractual Cash Obligations and Commitments becaus</w:t>
      </w:r>
      <w:r>
        <w:rPr>
          <w:rFonts w:eastAsia="Times New Roman"/>
          <w:color w:val="000000"/>
          <w:sz w:val="20"/>
          <w:szCs w:val="20"/>
        </w:rPr>
        <w:t xml:space="preserve">e they are estimates of future payments and not contractually fixed as to timing or amount. Required minimum contributions to the U.S. Pension Plans (as further described below under </w:t>
      </w:r>
    </w:p>
    <w:p w:rsidR="00000000" w:rsidRDefault="00DF5BC2">
      <w:pPr>
        <w:jc w:val="center"/>
        <w:divId w:val="1243874583"/>
        <w:rPr>
          <w:rFonts w:eastAsia="Times New Roman"/>
        </w:rPr>
      </w:pPr>
      <w:r>
        <w:rPr>
          <w:rFonts w:eastAsia="Times New Roman"/>
          <w:color w:val="000000"/>
          <w:sz w:val="20"/>
          <w:szCs w:val="20"/>
        </w:rPr>
        <w:t>63</w:t>
      </w:r>
    </w:p>
    <w:p w:rsidR="00000000" w:rsidRDefault="00DF5BC2">
      <w:pPr>
        <w:rPr>
          <w:rFonts w:eastAsia="Times New Roman"/>
        </w:rPr>
      </w:pPr>
      <w:r>
        <w:rPr>
          <w:rFonts w:eastAsia="Times New Roman"/>
        </w:rPr>
        <w:pict>
          <v:rect id="_x0000_i1090" style="width:0;height:1.5pt" o:hralign="center" o:hrstd="t" o:hr="t" fillcolor="#a0a0a0" stroked="f"/>
        </w:pict>
      </w:r>
    </w:p>
    <w:p w:rsidR="00000000" w:rsidRDefault="00DF5BC2">
      <w:pPr>
        <w:divId w:val="216209406"/>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1417552188"/>
        <w:rPr>
          <w:rFonts w:eastAsia="Times New Roman"/>
        </w:rPr>
      </w:pPr>
      <w:r>
        <w:rPr>
          <w:rFonts w:eastAsia="Times New Roman"/>
          <w:color w:val="000000"/>
          <w:sz w:val="20"/>
          <w:szCs w:val="20"/>
        </w:rPr>
        <w:t>“U.S. Pension Plans”) in Fiscal 2022 are not expected to be material. Required minimum contributions to the U.S. Pension Plans in years beyond Fiscal 2022 will depend, in large par</w:t>
      </w:r>
      <w:r>
        <w:rPr>
          <w:rFonts w:eastAsia="Times New Roman"/>
          <w:color w:val="000000"/>
          <w:sz w:val="20"/>
          <w:szCs w:val="20"/>
        </w:rPr>
        <w:t xml:space="preserve">t, on the impacts of future returns on pension plan assets and interest rates on pension plan liabilities. </w:t>
      </w:r>
    </w:p>
    <w:p w:rsidR="00000000" w:rsidRDefault="00DF5BC2">
      <w:pPr>
        <w:jc w:val="both"/>
        <w:divId w:val="351537754"/>
        <w:rPr>
          <w:rFonts w:eastAsia="Times New Roman"/>
        </w:rPr>
      </w:pPr>
      <w:r>
        <w:rPr>
          <w:rFonts w:eastAsia="Times New Roman"/>
          <w:b/>
          <w:bCs/>
          <w:color w:val="000000"/>
          <w:sz w:val="20"/>
          <w:szCs w:val="20"/>
        </w:rPr>
        <w:t>U.S. Pension Plans</w:t>
      </w:r>
    </w:p>
    <w:p w:rsidR="00000000" w:rsidRDefault="00DF5BC2">
      <w:pPr>
        <w:jc w:val="both"/>
        <w:divId w:val="593174126"/>
        <w:rPr>
          <w:rFonts w:eastAsia="Times New Roman"/>
        </w:rPr>
      </w:pPr>
      <w:r>
        <w:rPr>
          <w:rFonts w:eastAsia="Times New Roman"/>
          <w:color w:val="000000"/>
          <w:sz w:val="20"/>
          <w:szCs w:val="20"/>
        </w:rPr>
        <w:t>The U.S. Pension Plans consist of (1) a defined benefit pension plan for employees hired prior to January 1, 2009, of UGI, UGI Ut</w:t>
      </w:r>
      <w:r>
        <w:rPr>
          <w:rFonts w:eastAsia="Times New Roman"/>
          <w:color w:val="000000"/>
          <w:sz w:val="20"/>
          <w:szCs w:val="20"/>
        </w:rPr>
        <w:t>ilities, Inc. and certain of UGI’s other domestic wholly owned subsidiaries, and (2) a noncontributory defined benefit pension plan covering substantially all Mountaineer employees. The fair values of the U.S. Pension Plans’ assets totaled $717 million and</w:t>
      </w:r>
      <w:r>
        <w:rPr>
          <w:rFonts w:eastAsia="Times New Roman"/>
          <w:color w:val="000000"/>
          <w:sz w:val="20"/>
          <w:szCs w:val="20"/>
        </w:rPr>
        <w:t xml:space="preserve"> $566 million at September 30, 2021 and 2020, respectively. At September 30, 2021 and 2020, the underfunded positions of the U.S. Pension Plans, defined as the excess of the PBO over the U.S. Pension Plans’ assets, were $109 million and $170 million, respe</w:t>
      </w:r>
      <w:r>
        <w:rPr>
          <w:rFonts w:eastAsia="Times New Roman"/>
          <w:color w:val="000000"/>
          <w:sz w:val="20"/>
          <w:szCs w:val="20"/>
        </w:rPr>
        <w:t>ctively.</w:t>
      </w:r>
    </w:p>
    <w:p w:rsidR="00000000" w:rsidRDefault="00DF5BC2">
      <w:pPr>
        <w:jc w:val="both"/>
        <w:divId w:val="1877816628"/>
        <w:rPr>
          <w:rFonts w:eastAsia="Times New Roman"/>
        </w:rPr>
      </w:pPr>
      <w:r>
        <w:rPr>
          <w:rFonts w:eastAsia="Times New Roman"/>
          <w:color w:val="000000"/>
          <w:sz w:val="20"/>
          <w:szCs w:val="20"/>
        </w:rPr>
        <w:t>We believe we are in compliance with regulations governing defined benefit pension plans, including the ERISA rules and regulations. Required minimum contributions to the U.S. Pension Plans in Fiscal 2022 are not expected to be material. Pre-tax p</w:t>
      </w:r>
      <w:r>
        <w:rPr>
          <w:rFonts w:eastAsia="Times New Roman"/>
          <w:color w:val="000000"/>
          <w:sz w:val="20"/>
          <w:szCs w:val="20"/>
        </w:rPr>
        <w:t>ension cost associated with the U.S. Pension Plans in Fiscal 2021 was not material. Pre-tax pension cost associated with the U.S. Pension Plans in Fiscal 2022 is not expected to be material.</w:t>
      </w:r>
    </w:p>
    <w:p w:rsidR="00000000" w:rsidRDefault="00DF5BC2">
      <w:pPr>
        <w:jc w:val="both"/>
        <w:divId w:val="608439484"/>
        <w:rPr>
          <w:rFonts w:eastAsia="Times New Roman"/>
        </w:rPr>
      </w:pPr>
      <w:r>
        <w:rPr>
          <w:rFonts w:eastAsia="Times New Roman"/>
          <w:color w:val="000000"/>
          <w:sz w:val="20"/>
          <w:szCs w:val="20"/>
        </w:rPr>
        <w:t>GAAP guidance associated with pension and other postretirement pl</w:t>
      </w:r>
      <w:r>
        <w:rPr>
          <w:rFonts w:eastAsia="Times New Roman"/>
          <w:color w:val="000000"/>
          <w:sz w:val="20"/>
          <w:szCs w:val="20"/>
        </w:rPr>
        <w:t>ans generally requires recognition of an asset or liability in the statement of financial position reflecting the funded status of pension and other postretirement benefit plans with current year changes recognized in shareholders’ equity unless such amoun</w:t>
      </w:r>
      <w:r>
        <w:rPr>
          <w:rFonts w:eastAsia="Times New Roman"/>
          <w:color w:val="000000"/>
          <w:sz w:val="20"/>
          <w:szCs w:val="20"/>
        </w:rPr>
        <w:t xml:space="preserve">ts are subject to regulatory recovery. At September 30, 2021, we have recorded after-tax charges to UGI Corporation’s stockholders’ equity of $8 million and recorded regulatory assets totaling $108 million in order to reflect the funded status of the U.S. </w:t>
      </w:r>
      <w:r>
        <w:rPr>
          <w:rFonts w:eastAsia="Times New Roman"/>
          <w:color w:val="000000"/>
          <w:sz w:val="20"/>
          <w:szCs w:val="20"/>
        </w:rPr>
        <w:t>Pension Plans. For a more detailed discussion of the U.S. Pension Plans and our other postretirement benefit plans, see Note 8 to Consolidated Financial Statements.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Related Party Transactions</w:t>
      </w:r>
    </w:p>
    <w:p w:rsidR="00000000" w:rsidRDefault="00DF5BC2">
      <w:pPr>
        <w:jc w:val="both"/>
        <w:divId w:val="526063466"/>
        <w:rPr>
          <w:rFonts w:eastAsia="Times New Roman"/>
        </w:rPr>
      </w:pPr>
      <w:r>
        <w:rPr>
          <w:rFonts w:eastAsia="Times New Roman"/>
          <w:color w:val="000000"/>
          <w:sz w:val="20"/>
          <w:szCs w:val="20"/>
        </w:rPr>
        <w:t xml:space="preserve">During Fiscal 2021 and Fiscal 2020, we did not enter into any </w:t>
      </w:r>
      <w:r>
        <w:rPr>
          <w:rFonts w:eastAsia="Times New Roman"/>
          <w:color w:val="000000"/>
          <w:sz w:val="20"/>
          <w:szCs w:val="20"/>
        </w:rPr>
        <w:t>related-party transactions that had a material effect on our financial condition, results of operations or cash flows.</w:t>
      </w:r>
    </w:p>
    <w:p w:rsidR="00000000" w:rsidRDefault="00DF5BC2">
      <w:pPr>
        <w:divId w:val="1052384286"/>
        <w:rPr>
          <w:rFonts w:eastAsia="Times New Roman"/>
        </w:rPr>
      </w:pPr>
    </w:p>
    <w:p w:rsidR="00000000" w:rsidRDefault="00DF5BC2">
      <w:pPr>
        <w:jc w:val="both"/>
        <w:rPr>
          <w:rFonts w:eastAsia="Times New Roman"/>
        </w:rPr>
      </w:pPr>
      <w:r>
        <w:rPr>
          <w:rFonts w:eastAsia="Times New Roman"/>
          <w:b/>
          <w:bCs/>
          <w:color w:val="000000"/>
          <w:sz w:val="20"/>
          <w:szCs w:val="20"/>
          <w:u w:val="single"/>
        </w:rPr>
        <w:t>Off-Balance-Sheet Arrangements</w:t>
      </w:r>
    </w:p>
    <w:p w:rsidR="00000000" w:rsidRDefault="00DF5BC2">
      <w:pPr>
        <w:jc w:val="both"/>
        <w:divId w:val="1098134393"/>
        <w:rPr>
          <w:rFonts w:eastAsia="Times New Roman"/>
        </w:rPr>
      </w:pPr>
      <w:r>
        <w:rPr>
          <w:rFonts w:eastAsia="Times New Roman"/>
          <w:color w:val="000000"/>
          <w:sz w:val="20"/>
          <w:szCs w:val="20"/>
        </w:rPr>
        <w:t>UGI primarily enters into guarantee arrangements on behalf of its consolidated subsidiaries. These arrangements are not subject to the recognition and measurement guidance relating to guarantees under GAAP.</w:t>
      </w:r>
    </w:p>
    <w:p w:rsidR="00000000" w:rsidRDefault="00DF5BC2">
      <w:pPr>
        <w:jc w:val="both"/>
        <w:divId w:val="1363631042"/>
        <w:rPr>
          <w:rFonts w:eastAsia="Times New Roman"/>
        </w:rPr>
      </w:pPr>
      <w:r>
        <w:rPr>
          <w:rFonts w:eastAsia="Times New Roman"/>
          <w:color w:val="000000"/>
          <w:sz w:val="20"/>
          <w:szCs w:val="20"/>
        </w:rPr>
        <w:t>We do not have any off-balance-sheet arrangements</w:t>
      </w:r>
      <w:r>
        <w:rPr>
          <w:rFonts w:eastAsia="Times New Roman"/>
          <w:color w:val="000000"/>
          <w:sz w:val="20"/>
          <w:szCs w:val="20"/>
        </w:rPr>
        <w:t xml:space="preserve"> that are expected to have a material effect on our financial condition, change in financial condition, revenues or expenses, results of operations, liquidity, capital expenditures or capital resources.</w:t>
      </w:r>
    </w:p>
    <w:p w:rsidR="00000000" w:rsidRDefault="00DF5BC2">
      <w:pPr>
        <w:divId w:val="1177035828"/>
        <w:rPr>
          <w:rFonts w:eastAsia="Times New Roman"/>
        </w:rPr>
      </w:pPr>
    </w:p>
    <w:p w:rsidR="00000000" w:rsidRDefault="00DF5BC2">
      <w:pPr>
        <w:jc w:val="both"/>
        <w:rPr>
          <w:rFonts w:eastAsia="Times New Roman"/>
        </w:rPr>
      </w:pPr>
      <w:r>
        <w:rPr>
          <w:rFonts w:eastAsia="Times New Roman"/>
          <w:b/>
          <w:bCs/>
          <w:color w:val="000000"/>
          <w:sz w:val="20"/>
          <w:szCs w:val="20"/>
          <w:u w:val="single"/>
        </w:rPr>
        <w:t>Utility Regulatory Matters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Base Rate Filings. </w:t>
      </w:r>
      <w:r>
        <w:rPr>
          <w:rFonts w:eastAsia="Times New Roman"/>
          <w:color w:val="000000"/>
          <w:sz w:val="20"/>
          <w:szCs w:val="20"/>
        </w:rPr>
        <w:t xml:space="preserve">On </w:t>
      </w:r>
      <w:r>
        <w:rPr>
          <w:rFonts w:eastAsia="Times New Roman"/>
          <w:color w:val="000000"/>
          <w:sz w:val="20"/>
          <w:szCs w:val="20"/>
        </w:rPr>
        <w:t>February 8, 2021, Electric Utility filed a rate request with the PAPUC to increase its annual base distribution revenues by $9 million. On October 28, 2021, the PAPUC issued a final Order approving a settlement that permitted Electric Utility, effective No</w:t>
      </w:r>
      <w:r>
        <w:rPr>
          <w:rFonts w:eastAsia="Times New Roman"/>
          <w:color w:val="000000"/>
          <w:sz w:val="20"/>
          <w:szCs w:val="20"/>
        </w:rPr>
        <w:t>vember 9, 2021, to increase its base distribution revenues by $6 million.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January 28, 2020, Gas Utility filed a request with the PAPUC to increase its annual base distribution operating revenues by $75 million annually. On October 8, 2020, the PAPUC i</w:t>
      </w:r>
      <w:r>
        <w:rPr>
          <w:rFonts w:eastAsia="Times New Roman"/>
          <w:color w:val="000000"/>
          <w:sz w:val="20"/>
          <w:szCs w:val="20"/>
        </w:rPr>
        <w:t>ssued a final Order approving a settlement that permits Gas Utility to increase its annual base distribution rates by $20 million, through a phased approach, with $10 million beginning January 1, 2021 and an additional $10 million beginning July 1, 2021. A</w:t>
      </w:r>
      <w:r>
        <w:rPr>
          <w:rFonts w:eastAsia="Times New Roman"/>
          <w:color w:val="000000"/>
          <w:sz w:val="20"/>
          <w:szCs w:val="20"/>
        </w:rPr>
        <w:t>dditionally, Gas Utility was authorized to implement a DSIC once Gas Utility total property, plant and equipment less accumulated depreciation reaches $2,875 million. This threshold was achieved in December 2020, and Gas Utility implemented a DSIC effectiv</w:t>
      </w:r>
      <w:r>
        <w:rPr>
          <w:rFonts w:eastAsia="Times New Roman"/>
          <w:color w:val="000000"/>
          <w:sz w:val="20"/>
          <w:szCs w:val="20"/>
        </w:rPr>
        <w:t>e April 1, 2021. The PAPUC’s final Order also includes enhanced COVID-19 customer assistance measures, including the establishment of an Emergency Relief Program for a defined set of payment troubled customers (“ERP”). Additionally, the PAPUC’s final Order</w:t>
      </w:r>
      <w:r>
        <w:rPr>
          <w:rFonts w:eastAsia="Times New Roman"/>
          <w:color w:val="000000"/>
          <w:sz w:val="20"/>
          <w:szCs w:val="20"/>
        </w:rPr>
        <w:t xml:space="preserve"> permits Gas Utility to establish a regulatory asset for certain incremental expenses attributable to the ongoing COVID-19 pandemic, most notably expenses related to the ERP and uncollectible accounts expense, through the effective date of rates in the nex</w:t>
      </w:r>
      <w:r>
        <w:rPr>
          <w:rFonts w:eastAsia="Times New Roman"/>
          <w:color w:val="000000"/>
          <w:sz w:val="20"/>
          <w:szCs w:val="20"/>
        </w:rPr>
        <w:t>t Gas Utility base rate case, to be recovered and amortized over a 10-year period. In accordance with the terms of the Joint Petition, Gas Utility is not permitted to file a rate case prior to January 1, 2022.</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January 28, 2019, Gas Utility filed a rat</w:t>
      </w:r>
      <w:r>
        <w:rPr>
          <w:rFonts w:eastAsia="Times New Roman"/>
          <w:color w:val="000000"/>
          <w:sz w:val="20"/>
          <w:szCs w:val="20"/>
        </w:rPr>
        <w:t>e request with the PAPUC to increase the base operating revenues for residential, commercial, and industrial customers throughout its Pennsylvania service territory by an aggregate $71 million. On October 4, 2019, the PAPUC issued a final Order approving a</w:t>
      </w:r>
      <w:r>
        <w:rPr>
          <w:rFonts w:eastAsia="Times New Roman"/>
          <w:color w:val="000000"/>
          <w:sz w:val="20"/>
          <w:szCs w:val="20"/>
        </w:rPr>
        <w:t xml:space="preserve"> settlement that permitted Gas Utility, effective October 11, 2019, to increase </w:t>
      </w:r>
    </w:p>
    <w:p w:rsidR="00000000" w:rsidRDefault="00DF5BC2">
      <w:pPr>
        <w:jc w:val="center"/>
        <w:divId w:val="1721903363"/>
        <w:rPr>
          <w:rFonts w:eastAsia="Times New Roman"/>
        </w:rPr>
      </w:pPr>
      <w:r>
        <w:rPr>
          <w:rFonts w:eastAsia="Times New Roman"/>
          <w:color w:val="000000"/>
          <w:sz w:val="20"/>
          <w:szCs w:val="20"/>
        </w:rPr>
        <w:t>64</w:t>
      </w:r>
    </w:p>
    <w:p w:rsidR="00000000" w:rsidRDefault="00DF5BC2">
      <w:pPr>
        <w:rPr>
          <w:rFonts w:eastAsia="Times New Roman"/>
        </w:rPr>
      </w:pPr>
      <w:r>
        <w:rPr>
          <w:rFonts w:eastAsia="Times New Roman"/>
        </w:rPr>
        <w:pict>
          <v:rect id="_x0000_i1091" style="width:0;height:1.5pt" o:hralign="center" o:hrstd="t" o:hr="t" fillcolor="#a0a0a0" stroked="f"/>
        </w:pict>
      </w:r>
    </w:p>
    <w:p w:rsidR="00000000" w:rsidRDefault="00DF5BC2">
      <w:pPr>
        <w:divId w:val="168605898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its base distribution revenues by $30 million under a single</w:t>
      </w:r>
      <w:r>
        <w:rPr>
          <w:rFonts w:eastAsia="Times New Roman"/>
          <w:color w:val="000000"/>
          <w:sz w:val="20"/>
          <w:szCs w:val="20"/>
        </w:rPr>
        <w:t xml:space="preserve"> consolidated tariff, approved a plan for uniform class rates, and permitted Gas Utility to extend its Energy Efficiency and Conservation and Growth Extension Tariff programs by an additional term of five years. The PAPUC’s final Order approved a negative </w:t>
      </w:r>
      <w:r>
        <w:rPr>
          <w:rFonts w:eastAsia="Times New Roman"/>
          <w:color w:val="000000"/>
          <w:sz w:val="20"/>
          <w:szCs w:val="20"/>
        </w:rPr>
        <w:t xml:space="preserve">surcharge, to return to customers $24 million of tax benefits experienced by Gas Utility over the period January 1, 2018 to June 30, 2018, plus applicable interest, in accordance with the May 17, 2018 PAPUC Order, which became effective for a twelve-month </w:t>
      </w:r>
      <w:r>
        <w:rPr>
          <w:rFonts w:eastAsia="Times New Roman"/>
          <w:color w:val="000000"/>
          <w:sz w:val="20"/>
          <w:szCs w:val="20"/>
        </w:rPr>
        <w:t>period beginning on October 11, 2019, the effective date of Gas Utility’s new base rates, subject to final reconciliation of any over- or under-crediting of the tax savings.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Market Risk Disclosures</w:t>
      </w:r>
    </w:p>
    <w:p w:rsidR="00000000" w:rsidRDefault="00DF5BC2">
      <w:pPr>
        <w:jc w:val="both"/>
        <w:rPr>
          <w:rFonts w:eastAsia="Times New Roman"/>
        </w:rPr>
      </w:pPr>
    </w:p>
    <w:p w:rsidR="00000000" w:rsidRDefault="00DF5BC2">
      <w:pPr>
        <w:jc w:val="both"/>
        <w:divId w:val="1998916560"/>
        <w:rPr>
          <w:rFonts w:eastAsia="Times New Roman"/>
        </w:rPr>
      </w:pPr>
      <w:r>
        <w:rPr>
          <w:rFonts w:eastAsia="Times New Roman"/>
          <w:color w:val="000000"/>
          <w:sz w:val="20"/>
          <w:szCs w:val="20"/>
        </w:rPr>
        <w:t>Our primary market risk exposures are (1) commodity pr</w:t>
      </w:r>
      <w:r>
        <w:rPr>
          <w:rFonts w:eastAsia="Times New Roman"/>
          <w:color w:val="000000"/>
          <w:sz w:val="20"/>
          <w:szCs w:val="20"/>
        </w:rPr>
        <w:t>ice risk; (2) interest rate risk; and (3) foreign currency exchange rate risk. Although we use derivative financial and commodity instruments to reduce market price risk associated with forecasted transactions, we do not use derivative financial and commod</w:t>
      </w:r>
      <w:r>
        <w:rPr>
          <w:rFonts w:eastAsia="Times New Roman"/>
          <w:color w:val="000000"/>
          <w:sz w:val="20"/>
          <w:szCs w:val="20"/>
        </w:rPr>
        <w:t>ity instruments for speculative or trading purposes.</w:t>
      </w:r>
    </w:p>
    <w:p w:rsidR="00000000" w:rsidRDefault="00DF5BC2">
      <w:pPr>
        <w:jc w:val="both"/>
        <w:divId w:val="749229184"/>
        <w:rPr>
          <w:rFonts w:eastAsia="Times New Roman"/>
        </w:rPr>
      </w:pPr>
      <w:r>
        <w:rPr>
          <w:rFonts w:eastAsia="Times New Roman"/>
          <w:b/>
          <w:bCs/>
          <w:color w:val="000000"/>
          <w:sz w:val="20"/>
          <w:szCs w:val="20"/>
        </w:rPr>
        <w:t>Commodity Price Risk</w:t>
      </w:r>
    </w:p>
    <w:p w:rsidR="00000000" w:rsidRDefault="00DF5BC2">
      <w:pPr>
        <w:jc w:val="both"/>
        <w:rPr>
          <w:rFonts w:eastAsia="Times New Roman"/>
        </w:rPr>
      </w:pPr>
      <w:r>
        <w:rPr>
          <w:rFonts w:eastAsia="Times New Roman"/>
          <w:color w:val="000000"/>
          <w:sz w:val="20"/>
          <w:szCs w:val="20"/>
        </w:rPr>
        <w:t xml:space="preserve">The risk associated with fluctuations in the prices the Partnership and our UGI International operations pay for LPG is principally a result of market forces reflecting changes in supply and demand for LPG and other energy commodities. Their profitability </w:t>
      </w:r>
      <w:r>
        <w:rPr>
          <w:rFonts w:eastAsia="Times New Roman"/>
          <w:color w:val="000000"/>
          <w:sz w:val="20"/>
          <w:szCs w:val="20"/>
        </w:rPr>
        <w:t>is sensitive to changes in LPG supply costs. Increases in supply costs are generally passed on to customers. The Partnership and UGI International may not, however, always be able to pass through product cost increases fully or on a timely basis, particula</w:t>
      </w:r>
      <w:r>
        <w:rPr>
          <w:rFonts w:eastAsia="Times New Roman"/>
          <w:color w:val="000000"/>
          <w:sz w:val="20"/>
          <w:szCs w:val="20"/>
        </w:rPr>
        <w:t>rly when product costs rise rapidly. In order to reduce the volatility of LPG market price risk, the Partnership uses contracts for the forward purchase or sale of propane, propane fixed-price supply agreements and over-the-counter derivative commodity ins</w:t>
      </w:r>
      <w:r>
        <w:rPr>
          <w:rFonts w:eastAsia="Times New Roman"/>
          <w:color w:val="000000"/>
          <w:sz w:val="20"/>
          <w:szCs w:val="20"/>
        </w:rPr>
        <w:t>truments including price swap contracts. Our UGI International operations use over-the-counter derivative commodity instruments and may from time to time enter into other derivative contracts, similar to those used by the Partnership, to reduce market risk</w:t>
      </w:r>
      <w:r>
        <w:rPr>
          <w:rFonts w:eastAsia="Times New Roman"/>
          <w:color w:val="000000"/>
          <w:sz w:val="20"/>
          <w:szCs w:val="20"/>
        </w:rPr>
        <w:t xml:space="preserve"> associated with a portion of their LPG purchases. Over-the-counter derivative commodity instruments used to economically hedge forecasted purchases of LPG are generally settled at expiration of the contract.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UGI Utilities’ tariffs contain clauses that </w:t>
      </w:r>
      <w:r>
        <w:rPr>
          <w:rFonts w:eastAsia="Times New Roman"/>
          <w:color w:val="000000"/>
          <w:sz w:val="20"/>
          <w:szCs w:val="20"/>
        </w:rPr>
        <w:t>permit recovery of all prudently incurred costs of natural gas it sells to its retail core-market customers, including the cost of financial instruments used to hedge purchased gas costs. The recovery clauses provide for periodic adjustments for the differ</w:t>
      </w:r>
      <w:r>
        <w:rPr>
          <w:rFonts w:eastAsia="Times New Roman"/>
          <w:color w:val="000000"/>
          <w:sz w:val="20"/>
          <w:szCs w:val="20"/>
        </w:rPr>
        <w:t xml:space="preserve">ence between the total amounts actually billed to customers through PGC and PGA rates and the recoverable costs incurred. Because of this ratemaking mechanism, there is limited commodity price risk associated with our UGI Utilities operations. Gas Utility </w:t>
      </w:r>
      <w:r>
        <w:rPr>
          <w:rFonts w:eastAsia="Times New Roman"/>
          <w:color w:val="000000"/>
          <w:sz w:val="20"/>
          <w:szCs w:val="20"/>
        </w:rPr>
        <w:t>uses derivative financial instruments, including natural gas futures and option contracts traded on the NYMEX, to reduce volatility in the cost of gas it purchases for its retail core-market customers. The cost of these derivative financial instruments, ne</w:t>
      </w:r>
      <w:r>
        <w:rPr>
          <w:rFonts w:eastAsia="Times New Roman"/>
          <w:color w:val="000000"/>
          <w:sz w:val="20"/>
          <w:szCs w:val="20"/>
        </w:rPr>
        <w:t xml:space="preserve">t of any associated gains or losses, is included in Gas Utility's PGC recovery mechanism.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In order to manage market price risk relating to substantially all of Midstream &amp; Marketing’s fixed-price sale contracts for physical natural gas and electricity, </w:t>
      </w:r>
      <w:r>
        <w:rPr>
          <w:rFonts w:eastAsia="Times New Roman"/>
          <w:color w:val="000000"/>
          <w:sz w:val="20"/>
          <w:szCs w:val="20"/>
        </w:rPr>
        <w:t>Midstream &amp; Marketing enters into NYMEX, ICE and over-the-counter natural gas and electricity futures and option contracts, and natural gas basis swap contracts or enters into fixed-price supply arrangements. Midstream &amp; Marketing also uses NYMEX and over-</w:t>
      </w:r>
      <w:r>
        <w:rPr>
          <w:rFonts w:eastAsia="Times New Roman"/>
          <w:color w:val="000000"/>
          <w:sz w:val="20"/>
          <w:szCs w:val="20"/>
        </w:rPr>
        <w:t>the-counter electricity futures contracts to economically hedge a portion of its anticipated sales of electricity from its electricity generation facilities. Although Midstream &amp; Marketing’s fixed-price supply arrangements mitigate most risks associated wi</w:t>
      </w:r>
      <w:r>
        <w:rPr>
          <w:rFonts w:eastAsia="Times New Roman"/>
          <w:color w:val="000000"/>
          <w:sz w:val="20"/>
          <w:szCs w:val="20"/>
        </w:rPr>
        <w:t>th its fixed-price sales contracts, should any of the suppliers under these arrangements fail to perform, increases, if any, in the cost of replacement natural gas or electricity would adversely impact Midstream &amp; Marketing’s results. In order to reduce th</w:t>
      </w:r>
      <w:r>
        <w:rPr>
          <w:rFonts w:eastAsia="Times New Roman"/>
          <w:color w:val="000000"/>
          <w:sz w:val="20"/>
          <w:szCs w:val="20"/>
        </w:rPr>
        <w:t>is risk of supplier nonperformance, Midstream &amp; Marketing has diversified its purchases across a number of suppliers. UGI International’s natural gas and electricity marketing businesses also use natural gas and electricity futures and forward contracts to</w:t>
      </w:r>
      <w:r>
        <w:rPr>
          <w:rFonts w:eastAsia="Times New Roman"/>
          <w:color w:val="000000"/>
          <w:sz w:val="20"/>
          <w:szCs w:val="20"/>
        </w:rPr>
        <w:t xml:space="preserve"> economically hedge market risk associated with fixed-price sales and purchase contracts.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Midstream &amp; Marketing has entered into fixed-price sales agreements for a portion of the electricity expected to be generated by its electric generation assets. In </w:t>
      </w:r>
      <w:r>
        <w:rPr>
          <w:rFonts w:eastAsia="Times New Roman"/>
          <w:color w:val="000000"/>
          <w:sz w:val="20"/>
          <w:szCs w:val="20"/>
        </w:rPr>
        <w:t xml:space="preserve">the event that these generation assets would not be able to produce all of the electricity needed to supply electricity under these agreements, Midstream &amp; Marketing would be required to purchase electricity on the spot market or under contract with other </w:t>
      </w:r>
      <w:r>
        <w:rPr>
          <w:rFonts w:eastAsia="Times New Roman"/>
          <w:color w:val="000000"/>
          <w:sz w:val="20"/>
          <w:szCs w:val="20"/>
        </w:rPr>
        <w:t>electricity suppliers. Accordingly, increases in the cost of replacement power could negatively impact Midstream &amp; Marketing’s results.</w:t>
      </w:r>
    </w:p>
    <w:p w:rsidR="00000000" w:rsidRDefault="00DF5BC2">
      <w:pPr>
        <w:jc w:val="both"/>
        <w:rPr>
          <w:rFonts w:eastAsia="Times New Roman"/>
        </w:rPr>
      </w:pPr>
    </w:p>
    <w:p w:rsidR="00000000" w:rsidRDefault="00DF5BC2">
      <w:pPr>
        <w:jc w:val="both"/>
        <w:divId w:val="1467240242"/>
        <w:rPr>
          <w:rFonts w:eastAsia="Times New Roman"/>
        </w:rPr>
      </w:pPr>
      <w:r>
        <w:rPr>
          <w:rFonts w:eastAsia="Times New Roman"/>
          <w:b/>
          <w:bCs/>
          <w:color w:val="000000"/>
          <w:sz w:val="20"/>
          <w:szCs w:val="20"/>
        </w:rPr>
        <w:t>Interest Rate Risk</w:t>
      </w:r>
    </w:p>
    <w:p w:rsidR="00000000" w:rsidRDefault="00DF5BC2">
      <w:pPr>
        <w:jc w:val="both"/>
        <w:rPr>
          <w:rFonts w:eastAsia="Times New Roman"/>
        </w:rPr>
      </w:pPr>
      <w:r>
        <w:rPr>
          <w:rFonts w:eastAsia="Times New Roman"/>
          <w:color w:val="000000"/>
          <w:sz w:val="20"/>
          <w:szCs w:val="20"/>
        </w:rPr>
        <w:t>We have both fixed-rate and variable-rate debt. Changes in interest rates impact the cash flows of variable-rate debt but generally do not impact their fair value. Conversely, changes in interest rates impact the fair value of fixed-rate debt but do not im</w:t>
      </w:r>
      <w:r>
        <w:rPr>
          <w:rFonts w:eastAsia="Times New Roman"/>
          <w:color w:val="000000"/>
          <w:sz w:val="20"/>
          <w:szCs w:val="20"/>
        </w:rPr>
        <w:t>pact their cash flows.</w:t>
      </w:r>
    </w:p>
    <w:p w:rsidR="00000000" w:rsidRDefault="00DF5BC2">
      <w:pPr>
        <w:jc w:val="both"/>
        <w:rPr>
          <w:rFonts w:eastAsia="Times New Roman"/>
        </w:rPr>
      </w:pPr>
    </w:p>
    <w:p w:rsidR="00000000" w:rsidRDefault="00DF5BC2">
      <w:pPr>
        <w:jc w:val="center"/>
        <w:divId w:val="1593974929"/>
        <w:rPr>
          <w:rFonts w:eastAsia="Times New Roman"/>
        </w:rPr>
      </w:pPr>
      <w:r>
        <w:rPr>
          <w:rFonts w:eastAsia="Times New Roman"/>
          <w:color w:val="000000"/>
          <w:sz w:val="20"/>
          <w:szCs w:val="20"/>
        </w:rPr>
        <w:t>65</w:t>
      </w:r>
    </w:p>
    <w:p w:rsidR="00000000" w:rsidRDefault="00DF5BC2">
      <w:pPr>
        <w:rPr>
          <w:rFonts w:eastAsia="Times New Roman"/>
        </w:rPr>
      </w:pPr>
      <w:r>
        <w:rPr>
          <w:rFonts w:eastAsia="Times New Roman"/>
        </w:rPr>
        <w:pict>
          <v:rect id="_x0000_i1092" style="width:0;height:1.5pt" o:hralign="center" o:hrstd="t" o:hr="t" fillcolor="#a0a0a0" stroked="f"/>
        </w:pict>
      </w:r>
    </w:p>
    <w:p w:rsidR="00000000" w:rsidRDefault="00DF5BC2">
      <w:pPr>
        <w:divId w:val="1582642110"/>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000000"/>
          <w:sz w:val="20"/>
          <w:szCs w:val="20"/>
        </w:rPr>
        <w:t>Our variable-rate debt at September 30, 2021, includes revolving credit facility borrowings and variable-rate term l</w:t>
      </w:r>
      <w:r>
        <w:rPr>
          <w:rFonts w:eastAsia="Times New Roman"/>
          <w:color w:val="000000"/>
          <w:sz w:val="20"/>
          <w:szCs w:val="20"/>
        </w:rPr>
        <w:t>oans at UGI International, UGI Utilities, Inc., Energy Services and UGI Corporation. These debt agreements have interest rates that are generally indexed to short-term market interest rates. We have entered into pay-fixed, receive-variable interest rate sw</w:t>
      </w:r>
      <w:r>
        <w:rPr>
          <w:rFonts w:eastAsia="Times New Roman"/>
          <w:color w:val="000000"/>
          <w:sz w:val="20"/>
          <w:szCs w:val="20"/>
        </w:rPr>
        <w:t>ap agreements on all or a significant portion of the term loans’ principal balances and all or a significant portion of the term loans’ tenor. We have designated these interest rate swaps as cash flow hedges. At September 30, 2021, combined borrowings outs</w:t>
      </w:r>
      <w:r>
        <w:rPr>
          <w:rFonts w:eastAsia="Times New Roman"/>
          <w:color w:val="000000"/>
          <w:sz w:val="20"/>
          <w:szCs w:val="20"/>
        </w:rPr>
        <w:t>tanding under variable-rate debt agreements, excluding the previously mentioned effectively fixed-rate debt, totaled $807 million. Based upon average borrowings outstanding under variable-rate borrowings (excluding effectively fixed-rate term loan debt), a</w:t>
      </w:r>
      <w:r>
        <w:rPr>
          <w:rFonts w:eastAsia="Times New Roman"/>
          <w:color w:val="000000"/>
          <w:sz w:val="20"/>
          <w:szCs w:val="20"/>
        </w:rPr>
        <w:t>n increase in short-term interest rates of 100 basis points (1%) would have increased our Fiscal 2021 interest expense by approximately $7 million. The remainder of our debt outstanding is subject to fixed rates of interest. A 100 basis point increase in m</w:t>
      </w:r>
      <w:r>
        <w:rPr>
          <w:rFonts w:eastAsia="Times New Roman"/>
          <w:color w:val="000000"/>
          <w:sz w:val="20"/>
          <w:szCs w:val="20"/>
        </w:rPr>
        <w:t>arket interest rates would result in decreases in the fair value of this fixed-rate debt of approximately $292 million at September 30, 2021. A 100 basis point decrease in market interest rates would result in increases in the fair value of this fixed-rate</w:t>
      </w:r>
      <w:r>
        <w:rPr>
          <w:rFonts w:eastAsia="Times New Roman"/>
          <w:color w:val="000000"/>
          <w:sz w:val="20"/>
          <w:szCs w:val="20"/>
        </w:rPr>
        <w:t xml:space="preserve"> debt of approximately $249 million at September 30, 2021.</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Long-term debt associated with our domestic businesses is typically issued at fixed rates of interest based upon market rates for debt with similar terms and credit ratings. As these long-term de</w:t>
      </w:r>
      <w:r>
        <w:rPr>
          <w:rFonts w:eastAsia="Times New Roman"/>
          <w:color w:val="000000"/>
          <w:sz w:val="20"/>
          <w:szCs w:val="20"/>
        </w:rPr>
        <w:t>bt issues mature, we may refinance such debt with new debt having interest rates reflecting then-current market conditions. In order to reduce interest rate risk associated with near- to medium-term forecasted issuances of fixed rate debt, from time to tim</w:t>
      </w:r>
      <w:r>
        <w:rPr>
          <w:rFonts w:eastAsia="Times New Roman"/>
          <w:color w:val="000000"/>
          <w:sz w:val="20"/>
          <w:szCs w:val="20"/>
        </w:rPr>
        <w:t>e we enter into IRPAs.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Foreign Currency Exchange Rate Risk</w:t>
      </w:r>
    </w:p>
    <w:p w:rsidR="00000000" w:rsidRDefault="00DF5BC2">
      <w:pPr>
        <w:jc w:val="both"/>
        <w:divId w:val="911505402"/>
        <w:rPr>
          <w:rFonts w:eastAsia="Times New Roman"/>
        </w:rPr>
      </w:pPr>
      <w:r>
        <w:rPr>
          <w:rFonts w:eastAsia="Times New Roman"/>
          <w:color w:val="000000"/>
          <w:sz w:val="20"/>
          <w:szCs w:val="20"/>
        </w:rPr>
        <w:t>Our primary currency exchange rate risk is associated with the U.S. dollar versus the euro and, to a lesser extent, the U.S. dollar versus the British pound sterling. The U.S. dollar value of our</w:t>
      </w:r>
      <w:r>
        <w:rPr>
          <w:rFonts w:eastAsia="Times New Roman"/>
          <w:color w:val="000000"/>
          <w:sz w:val="20"/>
          <w:szCs w:val="20"/>
        </w:rPr>
        <w:t xml:space="preserve"> foreign currency denominated assets and liabilities will fluctuate with changes in the associated foreign currency exchange rates. From time to time, we use derivative instruments to hedge portions of our net investments in foreign subsidiaries. Gains or </w:t>
      </w:r>
      <w:r>
        <w:rPr>
          <w:rFonts w:eastAsia="Times New Roman"/>
          <w:color w:val="000000"/>
          <w:sz w:val="20"/>
          <w:szCs w:val="20"/>
        </w:rPr>
        <w:t>losses on these net investment hedges remain in AOCI until such foreign operations are sold or liquidated. With respect to our net investments in our UGI International operations, a 10% decline in the value of the associated foreign currencies versus the U</w:t>
      </w:r>
      <w:r>
        <w:rPr>
          <w:rFonts w:eastAsia="Times New Roman"/>
          <w:color w:val="000000"/>
          <w:sz w:val="20"/>
          <w:szCs w:val="20"/>
        </w:rPr>
        <w:t xml:space="preserve">.S. dollar would reduce their aggregate net book value at September 30, 2021, by approximately $170 million, which amount would be reflected in other comprehensive income. We have designated certain euro-denominated borrowings as net investment hedges. </w:t>
      </w:r>
    </w:p>
    <w:p w:rsidR="00000000" w:rsidRDefault="00DF5BC2">
      <w:pPr>
        <w:jc w:val="both"/>
        <w:divId w:val="1655644629"/>
        <w:rPr>
          <w:rFonts w:eastAsia="Times New Roman"/>
        </w:rPr>
      </w:pPr>
      <w:r>
        <w:rPr>
          <w:rFonts w:eastAsia="Times New Roman"/>
          <w:color w:val="000000"/>
          <w:sz w:val="20"/>
          <w:szCs w:val="20"/>
        </w:rPr>
        <w:t>In</w:t>
      </w:r>
      <w:r>
        <w:rPr>
          <w:rFonts w:eastAsia="Times New Roman"/>
          <w:color w:val="000000"/>
          <w:sz w:val="20"/>
          <w:szCs w:val="20"/>
        </w:rPr>
        <w:t xml:space="preserve"> order to reduce the volatility in net income associated with our foreign operations, principally as a result of changes in the U.S. dollar exchange rate between the euro and British pound sterling, we enter into forward foreign currency exchange contracts</w:t>
      </w:r>
      <w:r>
        <w:rPr>
          <w:rFonts w:eastAsia="Times New Roman"/>
          <w:color w:val="000000"/>
          <w:sz w:val="20"/>
          <w:szCs w:val="20"/>
        </w:rPr>
        <w:t>. We layer in these foreign currency exchange contracts over a multi-year period to eventually equal approximately 90% of anticipated UGI International foreign currency earnings before income taxes.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Derivative Instrument Credit Risk</w:t>
      </w:r>
    </w:p>
    <w:p w:rsidR="00000000" w:rsidRDefault="00DF5BC2">
      <w:pPr>
        <w:jc w:val="both"/>
        <w:divId w:val="1948535206"/>
        <w:rPr>
          <w:rFonts w:eastAsia="Times New Roman"/>
        </w:rPr>
      </w:pPr>
      <w:r>
        <w:rPr>
          <w:rFonts w:eastAsia="Times New Roman"/>
          <w:color w:val="000000"/>
          <w:sz w:val="20"/>
          <w:szCs w:val="20"/>
        </w:rPr>
        <w:t>We are exposed to ris</w:t>
      </w:r>
      <w:r>
        <w:rPr>
          <w:rFonts w:eastAsia="Times New Roman"/>
          <w:color w:val="000000"/>
          <w:sz w:val="20"/>
          <w:szCs w:val="20"/>
        </w:rPr>
        <w:t xml:space="preserve">k of loss in the event of nonperformance by our derivative instrument counterparties. Our derivative instrument counterparties principally comprise large energy companies and major U.S. and international financial institutions. We maintain credit policies </w:t>
      </w:r>
      <w:r>
        <w:rPr>
          <w:rFonts w:eastAsia="Times New Roman"/>
          <w:color w:val="000000"/>
          <w:sz w:val="20"/>
          <w:szCs w:val="20"/>
        </w:rPr>
        <w:t>with regard to our counterparties that we believe reduce overall credit risk. These policies include evaluating and monitoring our counterparties’ financial condition, including their credit ratings, and entering into agreements with counterparties that go</w:t>
      </w:r>
      <w:r>
        <w:rPr>
          <w:rFonts w:eastAsia="Times New Roman"/>
          <w:color w:val="000000"/>
          <w:sz w:val="20"/>
          <w:szCs w:val="20"/>
        </w:rPr>
        <w:t xml:space="preserve">vern credit limits or entering into netting agreements that allow for offsetting counterparty receivable and payable balances for certain financial transactions, as deemed appropriate. </w:t>
      </w:r>
    </w:p>
    <w:p w:rsidR="00000000" w:rsidRDefault="00DF5BC2">
      <w:pPr>
        <w:jc w:val="both"/>
        <w:divId w:val="2053992571"/>
        <w:rPr>
          <w:rFonts w:eastAsia="Times New Roman"/>
        </w:rPr>
      </w:pPr>
      <w:r>
        <w:rPr>
          <w:rFonts w:eastAsia="Times New Roman"/>
          <w:color w:val="000000"/>
          <w:sz w:val="20"/>
          <w:szCs w:val="20"/>
        </w:rPr>
        <w:t>We have concentrations of credit risk associated with derivative instr</w:t>
      </w:r>
      <w:r>
        <w:rPr>
          <w:rFonts w:eastAsia="Times New Roman"/>
          <w:color w:val="000000"/>
          <w:sz w:val="20"/>
          <w:szCs w:val="20"/>
        </w:rPr>
        <w:t>uments and we evaluate the creditworthiness of our derivative counterparties on an ongoing basis. As of September 30, 2021, the maximum amount of loss, based upon the gross fair values of the derivative instruments, we would incur if these counterparties f</w:t>
      </w:r>
      <w:r>
        <w:rPr>
          <w:rFonts w:eastAsia="Times New Roman"/>
          <w:color w:val="000000"/>
          <w:sz w:val="20"/>
          <w:szCs w:val="20"/>
        </w:rPr>
        <w:t xml:space="preserve">ailed to perform according to the terms of their contracts was $1,687 million. In general, many of our over-the-counter derivative instruments and all exchange contracts call for the posting of collateral by the counterparty or by the Company in the forms </w:t>
      </w:r>
      <w:r>
        <w:rPr>
          <w:rFonts w:eastAsia="Times New Roman"/>
          <w:color w:val="000000"/>
          <w:sz w:val="20"/>
          <w:szCs w:val="20"/>
        </w:rPr>
        <w:t>of letters of credit, parental guarantees or cash. At September 30, 2021, we had received cash collateral from derivative instrument counterparties totaling $468 million. In addition, we may have offsetting derivative liabilities and certain accounts payab</w:t>
      </w:r>
      <w:r>
        <w:rPr>
          <w:rFonts w:eastAsia="Times New Roman"/>
          <w:color w:val="000000"/>
          <w:sz w:val="20"/>
          <w:szCs w:val="20"/>
        </w:rPr>
        <w:t>le balances with certain of these counterparties, which further mitigates the previously mentioned maximum amount of losses. Certain of the Partnership’s derivative contracts have credit-risk-related contingent features that may require the posting of addi</w:t>
      </w:r>
      <w:r>
        <w:rPr>
          <w:rFonts w:eastAsia="Times New Roman"/>
          <w:color w:val="000000"/>
          <w:sz w:val="20"/>
          <w:szCs w:val="20"/>
        </w:rPr>
        <w:t>tional collateral in the event of a downgrade of the Partnership’s debt rating. At September 30, 2021, if the credit-risk-related contingent features were triggered, the amount of collateral required to be posted would not be material.</w:t>
      </w:r>
    </w:p>
    <w:p w:rsidR="00000000" w:rsidRDefault="00DF5BC2">
      <w:pPr>
        <w:jc w:val="both"/>
        <w:divId w:val="1362243491"/>
        <w:rPr>
          <w:rFonts w:eastAsia="Times New Roman"/>
        </w:rPr>
      </w:pPr>
      <w:r>
        <w:rPr>
          <w:rFonts w:eastAsia="Times New Roman"/>
          <w:color w:val="000000"/>
          <w:sz w:val="20"/>
          <w:szCs w:val="20"/>
        </w:rPr>
        <w:t xml:space="preserve">The following table </w:t>
      </w:r>
      <w:r>
        <w:rPr>
          <w:rFonts w:eastAsia="Times New Roman"/>
          <w:color w:val="000000"/>
          <w:sz w:val="20"/>
          <w:szCs w:val="20"/>
        </w:rPr>
        <w:t>summarizes the fair values of unsettled market risk sensitive derivative instrument assets (liabilities) held at September 30, 2021 and changes in their fair values due to market risks. Certain of UGI Utilities’ commodity derivative instruments are exclude</w:t>
      </w:r>
      <w:r>
        <w:rPr>
          <w:rFonts w:eastAsia="Times New Roman"/>
          <w:color w:val="000000"/>
          <w:sz w:val="20"/>
          <w:szCs w:val="20"/>
        </w:rPr>
        <w:t>d from the table below because any associated net gains or losses are refundable to or recoverable from customers in accordance with UGI Utilities ratemaking.</w:t>
      </w:r>
    </w:p>
    <w:p w:rsidR="00000000" w:rsidRDefault="00DF5BC2">
      <w:pPr>
        <w:jc w:val="center"/>
        <w:divId w:val="407070888"/>
        <w:rPr>
          <w:rFonts w:eastAsia="Times New Roman"/>
        </w:rPr>
      </w:pPr>
      <w:r>
        <w:rPr>
          <w:rFonts w:eastAsia="Times New Roman"/>
          <w:color w:val="000000"/>
          <w:sz w:val="20"/>
          <w:szCs w:val="20"/>
        </w:rPr>
        <w:t>66</w:t>
      </w:r>
    </w:p>
    <w:p w:rsidR="00000000" w:rsidRDefault="00DF5BC2">
      <w:pPr>
        <w:rPr>
          <w:rFonts w:eastAsia="Times New Roman"/>
        </w:rPr>
      </w:pPr>
      <w:r>
        <w:rPr>
          <w:rFonts w:eastAsia="Times New Roman"/>
        </w:rPr>
        <w:pict>
          <v:rect id="_x0000_i1093" style="width:0;height:1.5pt" o:hralign="center" o:hrstd="t" o:hr="t" fillcolor="#a0a0a0" stroked="f"/>
        </w:pict>
      </w:r>
    </w:p>
    <w:p w:rsidR="00000000" w:rsidRDefault="00DF5BC2">
      <w:pPr>
        <w:divId w:val="341514040"/>
        <w:rPr>
          <w:rFonts w:eastAsia="Times New Roman"/>
        </w:rPr>
      </w:pPr>
      <w:hyperlink w:anchor="ica38aa2cb9a04eba8f8cadac27ee7fb9_7" w:history="1">
        <w:r>
          <w:rPr>
            <w:rStyle w:val="a3"/>
            <w:rFonts w:eastAsia="Times New Roman"/>
            <w:b/>
            <w:bCs/>
            <w:sz w:val="20"/>
            <w:szCs w:val="20"/>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39"/>
        <w:gridCol w:w="6082"/>
        <w:gridCol w:w="38"/>
        <w:gridCol w:w="36"/>
        <w:gridCol w:w="36"/>
        <w:gridCol w:w="36"/>
        <w:gridCol w:w="120"/>
        <w:gridCol w:w="796"/>
        <w:gridCol w:w="36"/>
        <w:gridCol w:w="36"/>
        <w:gridCol w:w="36"/>
        <w:gridCol w:w="36"/>
        <w:gridCol w:w="121"/>
        <w:gridCol w:w="797"/>
        <w:gridCol w:w="36"/>
      </w:tblGrid>
      <w:tr w:rsidR="00000000">
        <w:tc>
          <w:tcPr>
            <w:tcW w:w="50" w:type="pct"/>
            <w:vAlign w:val="center"/>
            <w:hideMark/>
          </w:tcPr>
          <w:p w:rsidR="00000000" w:rsidRDefault="00DF5BC2">
            <w:pPr>
              <w:rPr>
                <w:rFonts w:eastAsia="Times New Roman"/>
              </w:rPr>
            </w:pPr>
          </w:p>
        </w:tc>
        <w:tc>
          <w:tcPr>
            <w:tcW w:w="36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Asset (Liability)</w:t>
            </w:r>
          </w:p>
        </w:tc>
      </w:tr>
      <w:tr w:rsidR="00000000">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Change in</w:t>
            </w:r>
            <w:r>
              <w:rPr>
                <w:rFonts w:eastAsia="Times New Roman"/>
                <w:color w:val="000000"/>
                <w:sz w:val="20"/>
                <w:szCs w:val="20"/>
              </w:rPr>
              <w:br/>
              <w:t>Fair 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September 30, 2021</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Commodity price risk (1)</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1,334 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rate risk (2)</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exchange rate risk (3)</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(1)</w:t>
      </w:r>
      <w:r>
        <w:rPr>
          <w:rFonts w:eastAsia="Times New Roman"/>
          <w:color w:val="000000"/>
          <w:sz w:val="20"/>
          <w:szCs w:val="20"/>
        </w:rPr>
        <w:t>Change in fair value represents a 10% adverse change in the market prices of certain commodities</w:t>
      </w:r>
    </w:p>
    <w:p w:rsidR="00000000" w:rsidRDefault="00DF5BC2">
      <w:pPr>
        <w:ind w:hanging="360"/>
        <w:jc w:val="both"/>
        <w:rPr>
          <w:rFonts w:eastAsia="Times New Roman"/>
        </w:rPr>
      </w:pPr>
      <w:r>
        <w:rPr>
          <w:rFonts w:eastAsia="Times New Roman"/>
          <w:color w:val="000000"/>
          <w:sz w:val="20"/>
          <w:szCs w:val="20"/>
        </w:rPr>
        <w:t>(2)</w:t>
      </w:r>
      <w:r>
        <w:rPr>
          <w:rFonts w:eastAsia="Times New Roman"/>
          <w:color w:val="000000"/>
          <w:sz w:val="20"/>
          <w:szCs w:val="20"/>
        </w:rPr>
        <w:t>Change in fair value represents a 50 basis point adverse change in prevailing market interest rates</w:t>
      </w:r>
    </w:p>
    <w:p w:rsidR="00000000" w:rsidRDefault="00DF5BC2">
      <w:pPr>
        <w:ind w:hanging="360"/>
        <w:jc w:val="both"/>
        <w:rPr>
          <w:rFonts w:eastAsia="Times New Roman"/>
        </w:rPr>
      </w:pPr>
      <w:r>
        <w:rPr>
          <w:rFonts w:eastAsia="Times New Roman"/>
          <w:color w:val="000000"/>
          <w:sz w:val="20"/>
          <w:szCs w:val="20"/>
        </w:rPr>
        <w:t>(3)Change in fair value represents a 10% adverse change in the value of the Euro and the British pound sterling versus the U.S. dollar.</w:t>
      </w:r>
    </w:p>
    <w:p w:rsidR="00000000" w:rsidRDefault="00DF5BC2">
      <w:pPr>
        <w:divId w:val="1624118010"/>
        <w:rPr>
          <w:rFonts w:eastAsia="Times New Roman"/>
        </w:rPr>
      </w:pPr>
    </w:p>
    <w:p w:rsidR="00000000" w:rsidRDefault="00DF5BC2">
      <w:pPr>
        <w:jc w:val="both"/>
        <w:rPr>
          <w:rFonts w:eastAsia="Times New Roman"/>
        </w:rPr>
      </w:pPr>
      <w:r>
        <w:rPr>
          <w:rFonts w:eastAsia="Times New Roman"/>
          <w:b/>
          <w:bCs/>
          <w:color w:val="000000"/>
          <w:sz w:val="20"/>
          <w:szCs w:val="20"/>
          <w:u w:val="single"/>
        </w:rPr>
        <w:t>Critical Accountin</w:t>
      </w:r>
      <w:r>
        <w:rPr>
          <w:rFonts w:eastAsia="Times New Roman"/>
          <w:b/>
          <w:bCs/>
          <w:color w:val="000000"/>
          <w:sz w:val="20"/>
          <w:szCs w:val="20"/>
          <w:u w:val="single"/>
        </w:rPr>
        <w:t>g Policies and Estimates</w:t>
      </w:r>
    </w:p>
    <w:p w:rsidR="00000000" w:rsidRDefault="00DF5BC2">
      <w:pPr>
        <w:jc w:val="both"/>
        <w:divId w:val="282343241"/>
        <w:rPr>
          <w:rFonts w:eastAsia="Times New Roman"/>
        </w:rPr>
      </w:pPr>
      <w:r>
        <w:rPr>
          <w:rFonts w:eastAsia="Times New Roman"/>
          <w:color w:val="000000"/>
          <w:sz w:val="20"/>
          <w:szCs w:val="20"/>
        </w:rPr>
        <w:t>The accounting policies and estimates discussed in this section are those that we consider to be the most critical to an understanding of our financial statements because they involve significant judgments and uncertainties. The ap</w:t>
      </w:r>
      <w:r>
        <w:rPr>
          <w:rFonts w:eastAsia="Times New Roman"/>
          <w:color w:val="000000"/>
          <w:sz w:val="20"/>
          <w:szCs w:val="20"/>
        </w:rPr>
        <w:t>plication of these accounting policies and estimates necessarily requires management’s most subjective or complex judgments regarding estimates and projected outcomes of future events. Changes in these policies and estimates could have a material effect on</w:t>
      </w:r>
      <w:r>
        <w:rPr>
          <w:rFonts w:eastAsia="Times New Roman"/>
          <w:color w:val="000000"/>
          <w:sz w:val="20"/>
          <w:szCs w:val="20"/>
        </w:rPr>
        <w:t xml:space="preserve"> our financial statements. Management has reviewed these critical accounting policies, and the estimates and assumptions associated with them, with the Company’s Audit Committee. Also, see Note 2 to Consolidated Financial Statements which discusses our sig</w:t>
      </w:r>
      <w:r>
        <w:rPr>
          <w:rFonts w:eastAsia="Times New Roman"/>
          <w:color w:val="000000"/>
          <w:sz w:val="20"/>
          <w:szCs w:val="20"/>
        </w:rPr>
        <w:t>nificant accounting policies.</w:t>
      </w:r>
    </w:p>
    <w:p w:rsidR="00000000" w:rsidRDefault="00DF5BC2">
      <w:pPr>
        <w:jc w:val="both"/>
        <w:divId w:val="2130125015"/>
        <w:rPr>
          <w:rFonts w:eastAsia="Times New Roman"/>
        </w:rPr>
      </w:pPr>
      <w:r>
        <w:rPr>
          <w:rFonts w:eastAsia="Times New Roman"/>
          <w:b/>
          <w:bCs/>
          <w:color w:val="000000"/>
          <w:sz w:val="20"/>
          <w:szCs w:val="20"/>
        </w:rPr>
        <w:t>Goodwill Impairment Evaluation.</w:t>
      </w:r>
      <w:r>
        <w:rPr>
          <w:rFonts w:eastAsia="Times New Roman"/>
          <w:color w:val="000000"/>
          <w:sz w:val="20"/>
          <w:szCs w:val="20"/>
        </w:rPr>
        <w:t xml:space="preserve"> Our goodwill is the result of business acquisitions. We do not amortize goodwill, but test it at least annually for impairment at the reporting unit level. A reporting unit is an operating segme</w:t>
      </w:r>
      <w:r>
        <w:rPr>
          <w:rFonts w:eastAsia="Times New Roman"/>
          <w:color w:val="000000"/>
          <w:sz w:val="20"/>
          <w:szCs w:val="20"/>
        </w:rPr>
        <w:t xml:space="preserve">nt, or one level below an operating segment (a component), if it constitutes a business for which discrete financial information is available and regularly reviewed by segment management. Components are aggregated into a single reporting unit if they have </w:t>
      </w:r>
      <w:r>
        <w:rPr>
          <w:rFonts w:eastAsia="Times New Roman"/>
          <w:color w:val="000000"/>
          <w:sz w:val="20"/>
          <w:szCs w:val="20"/>
        </w:rPr>
        <w:t>similar economic characteristics. A reporting unit with goodwill is required to perform an impairment test annually or whenever events or circumstances indicate that the value of goodwill may be impaired.</w:t>
      </w:r>
    </w:p>
    <w:p w:rsidR="00000000" w:rsidRDefault="00DF5BC2">
      <w:pPr>
        <w:jc w:val="both"/>
        <w:divId w:val="1480616301"/>
        <w:rPr>
          <w:rFonts w:eastAsia="Times New Roman"/>
        </w:rPr>
      </w:pPr>
      <w:r>
        <w:rPr>
          <w:rFonts w:eastAsia="Times New Roman"/>
          <w:color w:val="000000"/>
          <w:sz w:val="20"/>
          <w:szCs w:val="20"/>
        </w:rPr>
        <w:t>For certain of our reporting units with goodwill, w</w:t>
      </w:r>
      <w:r>
        <w:rPr>
          <w:rFonts w:eastAsia="Times New Roman"/>
          <w:color w:val="000000"/>
          <w:sz w:val="20"/>
          <w:szCs w:val="20"/>
        </w:rPr>
        <w:t>e assess qualitative factors to determine whether it is more likely than not that the fair value of such reporting unit is less than its carrying amount. For our other reporting units with goodwill, we bypass the qualitative assessment and perform the quan</w:t>
      </w:r>
      <w:r>
        <w:rPr>
          <w:rFonts w:eastAsia="Times New Roman"/>
          <w:color w:val="000000"/>
          <w:sz w:val="20"/>
          <w:szCs w:val="20"/>
        </w:rPr>
        <w:t>titative assessment by comparing the fair values of the reporting units with their carrying amounts, including goodwill. We determine fair values generally based on a weighting of income and market approaches. For purposes of the income approach, fair valu</w:t>
      </w:r>
      <w:r>
        <w:rPr>
          <w:rFonts w:eastAsia="Times New Roman"/>
          <w:color w:val="000000"/>
          <w:sz w:val="20"/>
          <w:szCs w:val="20"/>
        </w:rPr>
        <w:t>es are determined based upon the present value of the reporting unit’s estimated future cash flows, including an estimate of the reporting unit’s terminal value based upon these cash flows, discounted at appropriate risk-adjusted rates. We use our internal</w:t>
      </w:r>
      <w:r>
        <w:rPr>
          <w:rFonts w:eastAsia="Times New Roman"/>
          <w:color w:val="000000"/>
          <w:sz w:val="20"/>
          <w:szCs w:val="20"/>
        </w:rPr>
        <w:t xml:space="preserve"> forecasts to estimate future cash flows, which may include estimates of long-term future growth rates based upon our most recent reviews of the long-term outlook for each reporting unit. Cash flow estimates used to establish fair values under our income a</w:t>
      </w:r>
      <w:r>
        <w:rPr>
          <w:rFonts w:eastAsia="Times New Roman"/>
          <w:color w:val="000000"/>
          <w:sz w:val="20"/>
          <w:szCs w:val="20"/>
        </w:rPr>
        <w:t>pproach involve management judgments based on a broad range of information and historical results. In addition, external economic and competitive conditions can influence future performance. For purposes of the market approach, we use valuation multiples f</w:t>
      </w:r>
      <w:r>
        <w:rPr>
          <w:rFonts w:eastAsia="Times New Roman"/>
          <w:color w:val="000000"/>
          <w:sz w:val="20"/>
          <w:szCs w:val="20"/>
        </w:rPr>
        <w:t>or companies comparable to our reporting units. The market approach requires judgment to determine the appropriate valuation multiples. If the carrying amount of a reporting unit exceeds its fair value, an impairment loss is recognized in an amount equal t</w:t>
      </w:r>
      <w:r>
        <w:rPr>
          <w:rFonts w:eastAsia="Times New Roman"/>
          <w:color w:val="000000"/>
          <w:sz w:val="20"/>
          <w:szCs w:val="20"/>
        </w:rPr>
        <w:t xml:space="preserve">o such excess but not to exceed the total amount of the goodwill of the reporting unit. As of September 30, 2021, our goodwill totaled $3,770 million. No impairments of goodwill were recorded during any of the periods presented. </w:t>
      </w:r>
    </w:p>
    <w:p w:rsidR="00000000" w:rsidRDefault="00DF5BC2">
      <w:pPr>
        <w:jc w:val="both"/>
        <w:divId w:val="317196067"/>
        <w:rPr>
          <w:rFonts w:eastAsia="Times New Roman"/>
        </w:rPr>
      </w:pPr>
      <w:r>
        <w:rPr>
          <w:rFonts w:eastAsia="Times New Roman"/>
          <w:b/>
          <w:bCs/>
          <w:color w:val="000000"/>
          <w:sz w:val="20"/>
          <w:szCs w:val="20"/>
        </w:rPr>
        <w:t>Impairment of Long-Lived A</w:t>
      </w:r>
      <w:r>
        <w:rPr>
          <w:rFonts w:eastAsia="Times New Roman"/>
          <w:b/>
          <w:bCs/>
          <w:color w:val="000000"/>
          <w:sz w:val="20"/>
          <w:szCs w:val="20"/>
        </w:rPr>
        <w:t>ssets.</w:t>
      </w:r>
      <w:r>
        <w:rPr>
          <w:rFonts w:eastAsia="Times New Roman"/>
          <w:color w:val="000000"/>
          <w:sz w:val="20"/>
          <w:szCs w:val="20"/>
        </w:rPr>
        <w:t xml:space="preserve"> An impairment test for long-lived assets (or an asset group) is required when circumstances indicate that such assets may be impaired. If it is determined that a triggering event has occurred, we perform a recoverability test based upon estimated un</w:t>
      </w:r>
      <w:r>
        <w:rPr>
          <w:rFonts w:eastAsia="Times New Roman"/>
          <w:color w:val="000000"/>
          <w:sz w:val="20"/>
          <w:szCs w:val="20"/>
        </w:rPr>
        <w:t>discounted cash flow projections expected to be realized over the remaining useful life of the long-lived asset. If the undiscounted cash flows used in the recoverability test are less than the long-lived asset's carrying amount, we determine its fair valu</w:t>
      </w:r>
      <w:r>
        <w:rPr>
          <w:rFonts w:eastAsia="Times New Roman"/>
          <w:color w:val="000000"/>
          <w:sz w:val="20"/>
          <w:szCs w:val="20"/>
        </w:rPr>
        <w:t>e. If the fair value is determined to be less than its carrying amount, the long-lived asset is reduced to its estimated fair value and an impairment loss is recognized in an amount equal to such shortfall. When determining whether a long-lived asset has b</w:t>
      </w:r>
      <w:r>
        <w:rPr>
          <w:rFonts w:eastAsia="Times New Roman"/>
          <w:color w:val="000000"/>
          <w:sz w:val="20"/>
          <w:szCs w:val="20"/>
        </w:rPr>
        <w:t xml:space="preserve">een impaired, management groups assets at the lowest level that has identifiable cash flows. Performing an impairment test on long-lived assets involves judgment in areas such as identifying when a triggering event requiring evaluation occurs; identifying </w:t>
      </w:r>
      <w:r>
        <w:rPr>
          <w:rFonts w:eastAsia="Times New Roman"/>
          <w:color w:val="000000"/>
          <w:sz w:val="20"/>
          <w:szCs w:val="20"/>
        </w:rPr>
        <w:t>and grouping assets; and, if the undiscounted cash flows used in the recoverability test are less than the long-lived asset's carrying amount, determining the fair value of the long-lived asset. Although cash flow estimates are based upon relevant informat</w:t>
      </w:r>
      <w:r>
        <w:rPr>
          <w:rFonts w:eastAsia="Times New Roman"/>
          <w:color w:val="000000"/>
          <w:sz w:val="20"/>
          <w:szCs w:val="20"/>
        </w:rPr>
        <w:t>ion at the time the estimates are made, estimates of future cash flows are by nature highly uncertain and contemplate factors that change over time such as the expected use of the asset including future production and sales volumes, expected fluctuations i</w:t>
      </w:r>
      <w:r>
        <w:rPr>
          <w:rFonts w:eastAsia="Times New Roman"/>
          <w:color w:val="000000"/>
          <w:sz w:val="20"/>
          <w:szCs w:val="20"/>
        </w:rPr>
        <w:t xml:space="preserve">n prices of commodities and expected proceeds from </w:t>
      </w:r>
    </w:p>
    <w:p w:rsidR="00000000" w:rsidRDefault="00DF5BC2">
      <w:pPr>
        <w:jc w:val="center"/>
        <w:divId w:val="1156871614"/>
        <w:rPr>
          <w:rFonts w:eastAsia="Times New Roman"/>
        </w:rPr>
      </w:pPr>
      <w:r>
        <w:rPr>
          <w:rFonts w:eastAsia="Times New Roman"/>
          <w:color w:val="000000"/>
          <w:sz w:val="20"/>
          <w:szCs w:val="20"/>
        </w:rPr>
        <w:t>67</w:t>
      </w:r>
    </w:p>
    <w:p w:rsidR="00000000" w:rsidRDefault="00DF5BC2">
      <w:pPr>
        <w:rPr>
          <w:rFonts w:eastAsia="Times New Roman"/>
        </w:rPr>
      </w:pPr>
      <w:r>
        <w:rPr>
          <w:rFonts w:eastAsia="Times New Roman"/>
        </w:rPr>
        <w:pict>
          <v:rect id="_x0000_i1094" style="width:0;height:1.5pt" o:hralign="center" o:hrstd="t" o:hr="t" fillcolor="#a0a0a0" stroked="f"/>
        </w:pict>
      </w:r>
    </w:p>
    <w:p w:rsidR="00000000" w:rsidRDefault="00DF5BC2">
      <w:pPr>
        <w:divId w:val="56361275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1320498793"/>
        <w:rPr>
          <w:rFonts w:eastAsia="Times New Roman"/>
        </w:rPr>
      </w:pPr>
      <w:r>
        <w:rPr>
          <w:rFonts w:eastAsia="Times New Roman"/>
          <w:color w:val="000000"/>
          <w:sz w:val="20"/>
          <w:szCs w:val="20"/>
        </w:rPr>
        <w:t xml:space="preserve">disposition. </w:t>
      </w:r>
      <w:r>
        <w:rPr>
          <w:rFonts w:eastAsia="Times New Roman"/>
          <w:color w:val="000000"/>
          <w:sz w:val="20"/>
          <w:szCs w:val="20"/>
        </w:rPr>
        <w:t>See Note 5 to Consolidated Financial Statements for information on the impairment loss associated with the disposal of Conemaugh during the third quarter of Fiscal 2020. No other material provisions for impairments of long-lived assets were recorded during</w:t>
      </w:r>
      <w:r>
        <w:rPr>
          <w:rFonts w:eastAsia="Times New Roman"/>
          <w:color w:val="000000"/>
          <w:sz w:val="20"/>
          <w:szCs w:val="20"/>
        </w:rPr>
        <w:t xml:space="preserve"> Fiscal 2021 or Fiscal 2020.</w:t>
      </w:r>
    </w:p>
    <w:p w:rsidR="00000000" w:rsidRDefault="00DF5BC2">
      <w:pPr>
        <w:jc w:val="both"/>
        <w:divId w:val="1756701965"/>
        <w:rPr>
          <w:rFonts w:eastAsia="Times New Roman"/>
        </w:rPr>
      </w:pPr>
      <w:r>
        <w:rPr>
          <w:rFonts w:eastAsia="Times New Roman"/>
          <w:b/>
          <w:bCs/>
          <w:color w:val="000000"/>
          <w:sz w:val="20"/>
          <w:szCs w:val="20"/>
        </w:rPr>
        <w:t>Loss Contingencies and Environmental Remediation Liabilities.</w:t>
      </w:r>
      <w:r>
        <w:rPr>
          <w:rFonts w:eastAsia="Times New Roman"/>
          <w:color w:val="000000"/>
          <w:sz w:val="20"/>
          <w:szCs w:val="20"/>
        </w:rPr>
        <w:t xml:space="preserve"> We are involved in litigation that arises in the normal course of business, and we are subject to risk of loss for general, automobile and product liability and work</w:t>
      </w:r>
      <w:r>
        <w:rPr>
          <w:rFonts w:eastAsia="Times New Roman"/>
          <w:color w:val="000000"/>
          <w:sz w:val="20"/>
          <w:szCs w:val="20"/>
        </w:rPr>
        <w:t>ers’ compensation claims for which we obtain insurance coverage subject to self-insured retentions or deductibles. We are also subject to environmental laws and regulations intended to mitigate or remove the effects of past operations and improve or mainta</w:t>
      </w:r>
      <w:r>
        <w:rPr>
          <w:rFonts w:eastAsia="Times New Roman"/>
          <w:color w:val="000000"/>
          <w:sz w:val="20"/>
          <w:szCs w:val="20"/>
        </w:rPr>
        <w:t>in the quality of the environment. These laws and regulations require the removal or remedy of the effect on the environment of the disposal or release of certain specified hazardous substances at current or former operating sites.</w:t>
      </w:r>
    </w:p>
    <w:p w:rsidR="00000000" w:rsidRDefault="00DF5BC2">
      <w:pPr>
        <w:jc w:val="both"/>
        <w:divId w:val="30345414"/>
        <w:rPr>
          <w:rFonts w:eastAsia="Times New Roman"/>
        </w:rPr>
      </w:pPr>
      <w:r>
        <w:rPr>
          <w:rFonts w:eastAsia="Times New Roman"/>
          <w:color w:val="000000"/>
          <w:sz w:val="20"/>
          <w:szCs w:val="20"/>
        </w:rPr>
        <w:t>We establish reserves fo</w:t>
      </w:r>
      <w:r>
        <w:rPr>
          <w:rFonts w:eastAsia="Times New Roman"/>
          <w:color w:val="000000"/>
          <w:sz w:val="20"/>
          <w:szCs w:val="20"/>
        </w:rPr>
        <w:t xml:space="preserve">r loss contingencies including pending litigation, and for pending and incurred but not reported claims associated with general and product liability, automobile and workers’ compensation when it is probable that a liability exists and the amount or range </w:t>
      </w:r>
      <w:r>
        <w:rPr>
          <w:rFonts w:eastAsia="Times New Roman"/>
          <w:color w:val="000000"/>
          <w:sz w:val="20"/>
          <w:szCs w:val="20"/>
        </w:rPr>
        <w:t>of amounts related to such liability can be reasonably estimated. When no amount within a range of possible loss is a better estimate than any other amount within the range, liabilities recorded are based upon the low end of the range. With respect to unas</w:t>
      </w:r>
      <w:r>
        <w:rPr>
          <w:rFonts w:eastAsia="Times New Roman"/>
          <w:color w:val="000000"/>
          <w:sz w:val="20"/>
          <w:szCs w:val="20"/>
        </w:rPr>
        <w:t xml:space="preserve">serted claims arising from unreported incidents, we may use the work of specialists to estimate the ultimate losses to be incurred using actuarially determined loss development factors applied to actual claims data. </w:t>
      </w:r>
    </w:p>
    <w:p w:rsidR="00000000" w:rsidRDefault="00DF5BC2">
      <w:pPr>
        <w:jc w:val="both"/>
        <w:divId w:val="624774296"/>
        <w:rPr>
          <w:rFonts w:eastAsia="Times New Roman"/>
        </w:rPr>
      </w:pPr>
      <w:r>
        <w:rPr>
          <w:rFonts w:eastAsia="Times New Roman"/>
          <w:color w:val="000000"/>
          <w:sz w:val="20"/>
          <w:szCs w:val="20"/>
        </w:rPr>
        <w:t>The likelihood of a loss with respect t</w:t>
      </w:r>
      <w:r>
        <w:rPr>
          <w:rFonts w:eastAsia="Times New Roman"/>
          <w:color w:val="000000"/>
          <w:sz w:val="20"/>
          <w:szCs w:val="20"/>
        </w:rPr>
        <w:t>o a particular loss contingency is often difficult to predict. In addition, a reasonable estimate of the loss, or a range of possible loss, may not be practicable based upon the information available and the potential effects of future events and decisions</w:t>
      </w:r>
      <w:r>
        <w:rPr>
          <w:rFonts w:eastAsia="Times New Roman"/>
          <w:color w:val="000000"/>
          <w:sz w:val="20"/>
          <w:szCs w:val="20"/>
        </w:rPr>
        <w:t xml:space="preserve"> by third parties that will determine the ultimate resolution of the loss contingency. Reasonable estimates involve management judgments based on a broad range of information and prior experience. For litigation and pending claims including those covered b</w:t>
      </w:r>
      <w:r>
        <w:rPr>
          <w:rFonts w:eastAsia="Times New Roman"/>
          <w:color w:val="000000"/>
          <w:sz w:val="20"/>
          <w:szCs w:val="20"/>
        </w:rPr>
        <w:t>y insurance policies, the analysis of probable loss is performed on a case by case basis and includes an evaluation of the nature of the claim, the procedural status of the matter, the probability or likelihood of success in prosecuting or defending the cl</w:t>
      </w:r>
      <w:r>
        <w:rPr>
          <w:rFonts w:eastAsia="Times New Roman"/>
          <w:color w:val="000000"/>
          <w:sz w:val="20"/>
          <w:szCs w:val="20"/>
        </w:rPr>
        <w:t>aim, the information available with respect to the claim, the opinions and views of outside counsel and other advisors, and past experience in similar matters. These judgments are reviewed quarterly as more information is received, and the amounts reserved</w:t>
      </w:r>
      <w:r>
        <w:rPr>
          <w:rFonts w:eastAsia="Times New Roman"/>
          <w:color w:val="000000"/>
          <w:sz w:val="20"/>
          <w:szCs w:val="20"/>
        </w:rPr>
        <w:t xml:space="preserve"> are updated as necessary. Our estimated reserves for loss contingencies and for pending and incurred but not reported claims associated with general and product liability, automobile and workers’ compensation may differ materially from the ultimate liabil</w:t>
      </w:r>
      <w:r>
        <w:rPr>
          <w:rFonts w:eastAsia="Times New Roman"/>
          <w:color w:val="000000"/>
          <w:sz w:val="20"/>
          <w:szCs w:val="20"/>
        </w:rPr>
        <w:t>ity and such reserves may change materially as more information becomes available and estimated reserves are adjusted.</w:t>
      </w:r>
    </w:p>
    <w:p w:rsidR="00000000" w:rsidRDefault="00DF5BC2">
      <w:pPr>
        <w:jc w:val="both"/>
        <w:divId w:val="330067278"/>
        <w:rPr>
          <w:rFonts w:eastAsia="Times New Roman"/>
        </w:rPr>
      </w:pPr>
      <w:r>
        <w:rPr>
          <w:rFonts w:eastAsia="Times New Roman"/>
          <w:color w:val="000000"/>
          <w:sz w:val="20"/>
          <w:szCs w:val="20"/>
        </w:rPr>
        <w:t>We accrue reserves for environmental remediation when assessments indicate that it is probable a liability has been incurred and an amoun</w:t>
      </w:r>
      <w:r>
        <w:rPr>
          <w:rFonts w:eastAsia="Times New Roman"/>
          <w:color w:val="000000"/>
          <w:sz w:val="20"/>
          <w:szCs w:val="20"/>
        </w:rPr>
        <w:t xml:space="preserve">t can be reasonably estimated. Amounts recorded as environmental liabilities on the Consolidated Balance Sheets represent our best estimate of costs expected to be incurred or, if no best estimate can be made, the minimum liability associated with a range </w:t>
      </w:r>
      <w:r>
        <w:rPr>
          <w:rFonts w:eastAsia="Times New Roman"/>
          <w:color w:val="000000"/>
          <w:sz w:val="20"/>
          <w:szCs w:val="20"/>
        </w:rPr>
        <w:t>of expected environmental investigation and remediation costs. These estimates are based upon a number of factors including whether the company will be responsible for such remediation, the scope and cost of the remediation work to be performed, the portio</w:t>
      </w:r>
      <w:r>
        <w:rPr>
          <w:rFonts w:eastAsia="Times New Roman"/>
          <w:color w:val="000000"/>
          <w:sz w:val="20"/>
          <w:szCs w:val="20"/>
        </w:rPr>
        <w:t>n of costs that will be shared with other potentially responsible parties, the timing of the remediation and possible impact of changes in technology, and the regulations and requirements of local governmental authorities. Our estimated reserves for enviro</w:t>
      </w:r>
      <w:r>
        <w:rPr>
          <w:rFonts w:eastAsia="Times New Roman"/>
          <w:color w:val="000000"/>
          <w:sz w:val="20"/>
          <w:szCs w:val="20"/>
        </w:rPr>
        <w:t>nmental remediation may differ materially from the ultimate liability and such reserves may change materially as more information becomes available and estimated reserves are adjusted. Gas Utility receives ratemaking recognition of environmental investigat</w:t>
      </w:r>
      <w:r>
        <w:rPr>
          <w:rFonts w:eastAsia="Times New Roman"/>
          <w:color w:val="000000"/>
          <w:sz w:val="20"/>
          <w:szCs w:val="20"/>
        </w:rPr>
        <w:t>ion and remediation costs associated with its in-state environmental sites.  This ratemaking recognition balances the accumulated difference between historical costs and rate recoveries with an estimate of future costs associated with the sites.</w:t>
      </w:r>
    </w:p>
    <w:p w:rsidR="00000000" w:rsidRDefault="00DF5BC2">
      <w:pPr>
        <w:jc w:val="both"/>
        <w:divId w:val="2033526769"/>
        <w:rPr>
          <w:rFonts w:eastAsia="Times New Roman"/>
        </w:rPr>
      </w:pPr>
      <w:r>
        <w:rPr>
          <w:rFonts w:eastAsia="Times New Roman"/>
          <w:b/>
          <w:bCs/>
          <w:color w:val="000000"/>
          <w:sz w:val="20"/>
          <w:szCs w:val="20"/>
        </w:rPr>
        <w:t>Regulatory</w:t>
      </w:r>
      <w:r>
        <w:rPr>
          <w:rFonts w:eastAsia="Times New Roman"/>
          <w:b/>
          <w:bCs/>
          <w:color w:val="000000"/>
          <w:sz w:val="20"/>
          <w:szCs w:val="20"/>
        </w:rPr>
        <w:t xml:space="preserve"> Assets and Liabilities.</w:t>
      </w:r>
      <w:r>
        <w:rPr>
          <w:rFonts w:eastAsia="Times New Roman"/>
          <w:color w:val="000000"/>
          <w:sz w:val="20"/>
          <w:szCs w:val="20"/>
        </w:rPr>
        <w:t xml:space="preserve"> The accounting for our rate regulated gas and electric utility businesses differs from the accounting for nonregulated operations in that these businesses are required to reflect the effects of rate regulation in the consolidated f</w:t>
      </w:r>
      <w:r>
        <w:rPr>
          <w:rFonts w:eastAsia="Times New Roman"/>
          <w:color w:val="000000"/>
          <w:sz w:val="20"/>
          <w:szCs w:val="20"/>
        </w:rPr>
        <w:t xml:space="preserve">inancial statements. Regulatory practices that assign costs to accounting periods may differ from accounting methods generally applied by nonregulated businesses. When it is probable that regulators will permit the recovery of current costs through future </w:t>
      </w:r>
      <w:r>
        <w:rPr>
          <w:rFonts w:eastAsia="Times New Roman"/>
          <w:color w:val="000000"/>
          <w:sz w:val="20"/>
          <w:szCs w:val="20"/>
        </w:rPr>
        <w:t>rates charged to customers, these costs that otherwise would be expensed by nonregulated companies are deferred as regulatory assets. Similarly, regulatory liabilities are recognized when it is probable that regulators will require customer refunds through</w:t>
      </w:r>
      <w:r>
        <w:rPr>
          <w:rFonts w:eastAsia="Times New Roman"/>
          <w:color w:val="000000"/>
          <w:sz w:val="20"/>
          <w:szCs w:val="20"/>
        </w:rPr>
        <w:t xml:space="preserve"> future rates or when revenue is collected from customers for expenditures that have yet to be incurred. We continually assess whether the regulatory assets are probable of future recovery by evaluating the regulatory environment, recent rate orders and pu</w:t>
      </w:r>
      <w:r>
        <w:rPr>
          <w:rFonts w:eastAsia="Times New Roman"/>
          <w:color w:val="000000"/>
          <w:sz w:val="20"/>
          <w:szCs w:val="20"/>
        </w:rPr>
        <w:t>blic statements issued by the PAPUC, WVPSC and MDPSC, discussions with regulatory authorities and legal counsel. If future recovery of regulatory assets ceases to be probable, the elimination of those regulatory assets would adversely impact our results of</w:t>
      </w:r>
      <w:r>
        <w:rPr>
          <w:rFonts w:eastAsia="Times New Roman"/>
          <w:color w:val="000000"/>
          <w:sz w:val="20"/>
          <w:szCs w:val="20"/>
        </w:rPr>
        <w:t xml:space="preserve"> operations and cash flows. As of September 30, 2021, our regulatory assets and regulatory liabilities totaled $397 million and $388 million, respectively. For additional information on regulatory assets and liabilities, see Notes 2 and 9 to Consolidated F</w:t>
      </w:r>
      <w:r>
        <w:rPr>
          <w:rFonts w:eastAsia="Times New Roman"/>
          <w:color w:val="000000"/>
          <w:sz w:val="20"/>
          <w:szCs w:val="20"/>
        </w:rPr>
        <w:t>inancial Statements.</w:t>
      </w:r>
    </w:p>
    <w:p w:rsidR="00000000" w:rsidRDefault="00DF5BC2">
      <w:pPr>
        <w:jc w:val="both"/>
        <w:divId w:val="1394160246"/>
        <w:rPr>
          <w:rFonts w:eastAsia="Times New Roman"/>
        </w:rPr>
      </w:pPr>
      <w:r>
        <w:rPr>
          <w:rFonts w:eastAsia="Times New Roman"/>
          <w:b/>
          <w:bCs/>
          <w:color w:val="000000"/>
          <w:sz w:val="20"/>
          <w:szCs w:val="20"/>
        </w:rPr>
        <w:t>Income Taxes.</w:t>
      </w:r>
      <w:r>
        <w:rPr>
          <w:rFonts w:eastAsia="Times New Roman"/>
          <w:color w:val="000000"/>
          <w:sz w:val="20"/>
          <w:szCs w:val="20"/>
        </w:rPr>
        <w:t xml:space="preserve"> We use the asset and liability method of accounting for income taxes. Under this method, income tax expense is recognized for the amount of taxes payable or refundable for the current year and for deferred tax liabilities</w:t>
      </w:r>
      <w:r>
        <w:rPr>
          <w:rFonts w:eastAsia="Times New Roman"/>
          <w:color w:val="000000"/>
          <w:sz w:val="20"/>
          <w:szCs w:val="20"/>
        </w:rPr>
        <w:t xml:space="preserve"> and assets for the </w:t>
      </w:r>
    </w:p>
    <w:p w:rsidR="00000000" w:rsidRDefault="00DF5BC2">
      <w:pPr>
        <w:jc w:val="center"/>
        <w:divId w:val="1927809326"/>
        <w:rPr>
          <w:rFonts w:eastAsia="Times New Roman"/>
        </w:rPr>
      </w:pPr>
      <w:r>
        <w:rPr>
          <w:rFonts w:eastAsia="Times New Roman"/>
          <w:color w:val="000000"/>
          <w:sz w:val="20"/>
          <w:szCs w:val="20"/>
        </w:rPr>
        <w:t>68</w:t>
      </w:r>
    </w:p>
    <w:p w:rsidR="00000000" w:rsidRDefault="00DF5BC2">
      <w:pPr>
        <w:rPr>
          <w:rFonts w:eastAsia="Times New Roman"/>
        </w:rPr>
      </w:pPr>
      <w:r>
        <w:rPr>
          <w:rFonts w:eastAsia="Times New Roman"/>
        </w:rPr>
        <w:pict>
          <v:rect id="_x0000_i1095" style="width:0;height:1.5pt" o:hralign="center" o:hrstd="t" o:hr="t" fillcolor="#a0a0a0" stroked="f"/>
        </w:pict>
      </w:r>
    </w:p>
    <w:p w:rsidR="00000000" w:rsidRDefault="00DF5BC2">
      <w:pPr>
        <w:divId w:val="1039742408"/>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638848598"/>
        <w:rPr>
          <w:rFonts w:eastAsia="Times New Roman"/>
        </w:rPr>
      </w:pPr>
      <w:r>
        <w:rPr>
          <w:rFonts w:eastAsia="Times New Roman"/>
          <w:color w:val="000000"/>
          <w:sz w:val="20"/>
          <w:szCs w:val="20"/>
        </w:rPr>
        <w:t xml:space="preserve">future tax consequences of events that have been recognized in our financial statements or tax returns. Positions taken </w:t>
      </w:r>
      <w:r>
        <w:rPr>
          <w:rFonts w:eastAsia="Times New Roman"/>
          <w:color w:val="000000"/>
          <w:sz w:val="20"/>
          <w:szCs w:val="20"/>
        </w:rPr>
        <w:t>by an entity in its tax returns must satisfy a more-likely-than-not recognition threshold assuming the positions will be examined by tax authorities with full knowledge of relevant information. We use assumptions, judgments and estimates to determine our c</w:t>
      </w:r>
      <w:r>
        <w:rPr>
          <w:rFonts w:eastAsia="Times New Roman"/>
          <w:color w:val="000000"/>
          <w:sz w:val="20"/>
          <w:szCs w:val="20"/>
        </w:rPr>
        <w:t>urrent provision for income taxes. We also use assumptions, judgments and estimates to determine our deferred tax assets and liabilities and any valuation allowance to be recorded against a deferred tax asset. The interpretation of tax laws involves uncert</w:t>
      </w:r>
      <w:r>
        <w:rPr>
          <w:rFonts w:eastAsia="Times New Roman"/>
          <w:color w:val="000000"/>
          <w:sz w:val="20"/>
          <w:szCs w:val="20"/>
        </w:rPr>
        <w:t>ainty since tax authorities may interpret the laws differently. Our assumptions, judgments and estimates relative to the current provision for income tax give consideration to current tax laws, our interpretation of current tax laws and possible outcomes o</w:t>
      </w:r>
      <w:r>
        <w:rPr>
          <w:rFonts w:eastAsia="Times New Roman"/>
          <w:color w:val="000000"/>
          <w:sz w:val="20"/>
          <w:szCs w:val="20"/>
        </w:rPr>
        <w:t>f current and future audits conducted by foreign and domestic tax authorities. Changes in tax law or our interpretation thereof and the resolution of current and future tax audits could significantly impact the amounts provided for income taxes in our cons</w:t>
      </w:r>
      <w:r>
        <w:rPr>
          <w:rFonts w:eastAsia="Times New Roman"/>
          <w:color w:val="000000"/>
          <w:sz w:val="20"/>
          <w:szCs w:val="20"/>
        </w:rPr>
        <w:t>olidated financial statements. Our assumptions, judgments and estimates relative to the amount of deferred income taxes take into account estimates of the amount of future taxable income. Actual taxable income or future estimates of taxable income could re</w:t>
      </w:r>
      <w:r>
        <w:rPr>
          <w:rFonts w:eastAsia="Times New Roman"/>
          <w:color w:val="000000"/>
          <w:sz w:val="20"/>
          <w:szCs w:val="20"/>
        </w:rPr>
        <w:t>nder our current assumptions, judgments and estimates inaccurate. Changes in the assumptions, judgments and estimates mentioned above could cause our actual income tax obligations to differ significantly from our estimates. As of September 30, 2021, our ne</w:t>
      </w:r>
      <w:r>
        <w:rPr>
          <w:rFonts w:eastAsia="Times New Roman"/>
          <w:color w:val="000000"/>
          <w:sz w:val="20"/>
          <w:szCs w:val="20"/>
        </w:rPr>
        <w:t>t deferred tax liabilities totaled $1,082 million.</w:t>
      </w:r>
    </w:p>
    <w:p w:rsidR="00000000" w:rsidRDefault="00DF5BC2">
      <w:pPr>
        <w:jc w:val="both"/>
        <w:divId w:val="107701527"/>
        <w:rPr>
          <w:rFonts w:eastAsia="Times New Roman"/>
        </w:rPr>
      </w:pPr>
      <w:r>
        <w:rPr>
          <w:rFonts w:eastAsia="Times New Roman"/>
          <w:b/>
          <w:bCs/>
          <w:color w:val="000000"/>
          <w:sz w:val="20"/>
          <w:szCs w:val="20"/>
        </w:rPr>
        <w:t xml:space="preserve">Business Combination Purchase Price Allocations. </w:t>
      </w:r>
      <w:r>
        <w:rPr>
          <w:rFonts w:eastAsia="Times New Roman"/>
          <w:color w:val="000000"/>
          <w:sz w:val="20"/>
          <w:szCs w:val="20"/>
        </w:rPr>
        <w:t>From time to time, the Company enters into material business combinations. The purchase price is allocated to the various assets acquired and liabilities as</w:t>
      </w:r>
      <w:r>
        <w:rPr>
          <w:rFonts w:eastAsia="Times New Roman"/>
          <w:color w:val="000000"/>
          <w:sz w:val="20"/>
          <w:szCs w:val="20"/>
        </w:rPr>
        <w:t xml:space="preserve">sumed at their estimated fair value as of the acquisition date with the residual of the purchase price allocated to goodwill. From time to time, we engage third-party valuation experts to assist us in determining the fair values of certain assets acquired </w:t>
      </w:r>
      <w:r>
        <w:rPr>
          <w:rFonts w:eastAsia="Times New Roman"/>
          <w:color w:val="000000"/>
          <w:sz w:val="20"/>
          <w:szCs w:val="20"/>
        </w:rPr>
        <w:t>and liabilities assumed. Such valuations require management to make significant judgments, estimates and assumptions especially with respect to intangible assets. Management makes estimates of fair value based upon assumptions it believes to be reasonable.</w:t>
      </w:r>
      <w:r>
        <w:rPr>
          <w:rFonts w:eastAsia="Times New Roman"/>
          <w:color w:val="000000"/>
          <w:sz w:val="20"/>
          <w:szCs w:val="20"/>
        </w:rPr>
        <w:t xml:space="preserve"> These estimates are based upon historical experience and information obtained from the management of the acquired companies and are inherently uncertain. Critical estimates in valuing certain of the intangible assets include, but are not limited to, disco</w:t>
      </w:r>
      <w:r>
        <w:rPr>
          <w:rFonts w:eastAsia="Times New Roman"/>
          <w:color w:val="000000"/>
          <w:sz w:val="20"/>
          <w:szCs w:val="20"/>
        </w:rPr>
        <w:t>unt rates and expected future cash flows from and the economic lives of customer relationships, trade names, existing technology, and other intangible assets. Unanticipated events and circumstances may occur, which may affect the accuracy or validity of su</w:t>
      </w:r>
      <w:r>
        <w:rPr>
          <w:rFonts w:eastAsia="Times New Roman"/>
          <w:color w:val="000000"/>
          <w:sz w:val="20"/>
          <w:szCs w:val="20"/>
        </w:rPr>
        <w:t>ch assumptions or estimates. The allocation of the purchase price may be modified up to one year after the acquisition date, under certain circumstances, as more information is obtained about the fair value of assets acquired and liabilities assumed.</w:t>
      </w:r>
    </w:p>
    <w:p w:rsidR="00000000" w:rsidRDefault="00DF5BC2">
      <w:pPr>
        <w:divId w:val="1037856248"/>
        <w:rPr>
          <w:rFonts w:eastAsia="Times New Roman"/>
        </w:rPr>
      </w:pPr>
    </w:p>
    <w:p w:rsidR="00000000" w:rsidRDefault="00DF5BC2">
      <w:pPr>
        <w:jc w:val="both"/>
        <w:rPr>
          <w:rFonts w:eastAsia="Times New Roman"/>
        </w:rPr>
      </w:pPr>
      <w:r>
        <w:rPr>
          <w:rFonts w:eastAsia="Times New Roman"/>
          <w:b/>
          <w:bCs/>
          <w:color w:val="000000"/>
          <w:sz w:val="20"/>
          <w:szCs w:val="20"/>
          <w:u w:val="single"/>
        </w:rPr>
        <w:t>Rec</w:t>
      </w:r>
      <w:r>
        <w:rPr>
          <w:rFonts w:eastAsia="Times New Roman"/>
          <w:b/>
          <w:bCs/>
          <w:color w:val="000000"/>
          <w:sz w:val="20"/>
          <w:szCs w:val="20"/>
          <w:u w:val="single"/>
        </w:rPr>
        <w:t>ently Issued Accounting Pronouncements</w:t>
      </w:r>
    </w:p>
    <w:p w:rsidR="00000000" w:rsidRDefault="00DF5BC2">
      <w:pPr>
        <w:jc w:val="both"/>
        <w:divId w:val="1742169589"/>
        <w:rPr>
          <w:rFonts w:eastAsia="Times New Roman"/>
        </w:rPr>
      </w:pPr>
      <w:r>
        <w:rPr>
          <w:rFonts w:eastAsia="Times New Roman"/>
          <w:color w:val="000000"/>
          <w:sz w:val="20"/>
          <w:szCs w:val="20"/>
        </w:rPr>
        <w:t>See Note 3 to Consolidated Financial Statements for a discussion of the effects of recently issued accounting guidance.</w:t>
      </w:r>
    </w:p>
    <w:p w:rsidR="00000000" w:rsidRDefault="00DF5BC2">
      <w:pPr>
        <w:jc w:val="both"/>
        <w:rPr>
          <w:rFonts w:eastAsia="Times New Roman"/>
        </w:rPr>
      </w:pPr>
    </w:p>
    <w:p w:rsidR="00000000" w:rsidRDefault="00DF5BC2">
      <w:pPr>
        <w:ind w:hanging="900"/>
        <w:divId w:val="2135706740"/>
        <w:rPr>
          <w:rFonts w:eastAsia="Times New Roman"/>
        </w:rPr>
      </w:pPr>
      <w:r>
        <w:rPr>
          <w:rFonts w:eastAsia="Times New Roman"/>
          <w:b/>
          <w:bCs/>
          <w:color w:val="000000"/>
          <w:sz w:val="20"/>
          <w:szCs w:val="20"/>
        </w:rPr>
        <w:t xml:space="preserve">ITEM 7A. </w:t>
      </w:r>
      <w:r>
        <w:rPr>
          <w:rFonts w:eastAsia="Times New Roman"/>
          <w:b/>
          <w:bCs/>
          <w:color w:val="000000"/>
          <w:sz w:val="20"/>
          <w:szCs w:val="20"/>
        </w:rPr>
        <w:t>QUANTITATIVE AND QUALITATIVE DISCLOSURES ABOUT MARKET RISK</w:t>
      </w:r>
    </w:p>
    <w:p w:rsidR="00000000" w:rsidRDefault="00DF5BC2">
      <w:pPr>
        <w:jc w:val="both"/>
        <w:divId w:val="564225729"/>
        <w:rPr>
          <w:rFonts w:eastAsia="Times New Roman"/>
        </w:rPr>
      </w:pPr>
      <w:r>
        <w:rPr>
          <w:rFonts w:eastAsia="Times New Roman"/>
          <w:color w:val="000000"/>
          <w:sz w:val="20"/>
          <w:szCs w:val="20"/>
        </w:rPr>
        <w:t>“Quantitative and Qualitative Disclosures About Market Risk” are contained in Item 7 - Management’s Discussion and Analysis of Financial Condition and Results of Operations under the caption “Marke</w:t>
      </w:r>
      <w:r>
        <w:rPr>
          <w:rFonts w:eastAsia="Times New Roman"/>
          <w:color w:val="000000"/>
          <w:sz w:val="20"/>
          <w:szCs w:val="20"/>
        </w:rPr>
        <w:t>t Risk Disclosures” and are incorporated by reference.</w:t>
      </w:r>
    </w:p>
    <w:p w:rsidR="00000000" w:rsidRDefault="00DF5BC2">
      <w:pPr>
        <w:divId w:val="441146810"/>
        <w:rPr>
          <w:rFonts w:eastAsia="Times New Roman"/>
        </w:rPr>
      </w:pPr>
    </w:p>
    <w:p w:rsidR="00000000" w:rsidRDefault="00DF5BC2">
      <w:pPr>
        <w:ind w:hanging="810"/>
        <w:divId w:val="1138911268"/>
        <w:rPr>
          <w:rFonts w:eastAsia="Times New Roman"/>
        </w:rPr>
      </w:pPr>
      <w:r>
        <w:rPr>
          <w:rFonts w:eastAsia="Times New Roman"/>
          <w:b/>
          <w:bCs/>
          <w:color w:val="000000"/>
          <w:sz w:val="20"/>
          <w:szCs w:val="20"/>
        </w:rPr>
        <w:t>ITEM 8.FINANCIAL STATEMENTS AND SUPPLEMENTARY DATA</w:t>
      </w:r>
    </w:p>
    <w:p w:rsidR="00000000" w:rsidRDefault="00DF5BC2">
      <w:pPr>
        <w:jc w:val="both"/>
        <w:divId w:val="1301419990"/>
        <w:rPr>
          <w:rFonts w:eastAsia="Times New Roman"/>
        </w:rPr>
      </w:pPr>
      <w:r>
        <w:rPr>
          <w:rFonts w:eastAsia="Times New Roman"/>
          <w:color w:val="000000"/>
          <w:sz w:val="20"/>
          <w:szCs w:val="20"/>
        </w:rPr>
        <w:t>Management’s Annual Report on Internal Control Over Financial Reporting included in Item 9A and the financial statements and financial statement sch</w:t>
      </w:r>
      <w:r>
        <w:rPr>
          <w:rFonts w:eastAsia="Times New Roman"/>
          <w:color w:val="000000"/>
          <w:sz w:val="20"/>
          <w:szCs w:val="20"/>
        </w:rPr>
        <w:t xml:space="preserve">edules referred to in the Index contained on page </w:t>
      </w:r>
      <w:hyperlink w:anchor="ica38aa2cb9a04eba8f8cadac27ee7fb9_133" w:history="1">
        <w:r>
          <w:rPr>
            <w:rStyle w:val="a3"/>
            <w:rFonts w:eastAsia="Times New Roman"/>
            <w:color w:val="000000"/>
            <w:sz w:val="20"/>
            <w:szCs w:val="20"/>
            <w:u w:val="none"/>
          </w:rPr>
          <w:t>F-2</w:t>
        </w:r>
      </w:hyperlink>
      <w:r>
        <w:rPr>
          <w:rFonts w:eastAsia="Times New Roman"/>
          <w:color w:val="000000"/>
          <w:sz w:val="20"/>
          <w:szCs w:val="20"/>
        </w:rPr>
        <w:t xml:space="preserve"> of this Report are incorporated herein by reference.</w:t>
      </w:r>
    </w:p>
    <w:p w:rsidR="00000000" w:rsidRDefault="00DF5BC2">
      <w:pPr>
        <w:jc w:val="both"/>
        <w:rPr>
          <w:rFonts w:eastAsia="Times New Roman"/>
        </w:rPr>
      </w:pPr>
    </w:p>
    <w:p w:rsidR="00000000" w:rsidRDefault="00DF5BC2">
      <w:pPr>
        <w:ind w:hanging="810"/>
        <w:divId w:val="2109622354"/>
        <w:rPr>
          <w:rFonts w:eastAsia="Times New Roman"/>
        </w:rPr>
      </w:pPr>
      <w:r>
        <w:rPr>
          <w:rFonts w:eastAsia="Times New Roman"/>
          <w:b/>
          <w:bCs/>
          <w:color w:val="000000"/>
          <w:sz w:val="20"/>
          <w:szCs w:val="20"/>
        </w:rPr>
        <w:t>ITEM 9.</w:t>
      </w:r>
      <w:r>
        <w:rPr>
          <w:rFonts w:eastAsia="Times New Roman"/>
          <w:b/>
          <w:bCs/>
          <w:color w:val="000000"/>
          <w:sz w:val="20"/>
          <w:szCs w:val="20"/>
        </w:rPr>
        <w:t>CHANGES IN AND DISAGREEMENTS WITH ACCOUNTANTS ON ACCOUNTING AND FINANCIAL DISCLOSURE</w:t>
      </w:r>
    </w:p>
    <w:p w:rsidR="00000000" w:rsidRDefault="00DF5BC2">
      <w:pPr>
        <w:jc w:val="both"/>
        <w:divId w:val="191916680"/>
        <w:rPr>
          <w:rFonts w:eastAsia="Times New Roman"/>
        </w:rPr>
      </w:pPr>
      <w:r>
        <w:rPr>
          <w:rFonts w:eastAsia="Times New Roman"/>
          <w:color w:val="000000"/>
          <w:sz w:val="20"/>
          <w:szCs w:val="20"/>
        </w:rPr>
        <w:t>None.</w:t>
      </w:r>
    </w:p>
    <w:p w:rsidR="00000000" w:rsidRDefault="00DF5BC2">
      <w:pPr>
        <w:jc w:val="both"/>
        <w:rPr>
          <w:rFonts w:eastAsia="Times New Roman"/>
        </w:rPr>
      </w:pPr>
    </w:p>
    <w:p w:rsidR="00000000" w:rsidRDefault="00DF5BC2">
      <w:pPr>
        <w:ind w:hanging="900"/>
        <w:divId w:val="228003743"/>
        <w:rPr>
          <w:rFonts w:eastAsia="Times New Roman"/>
        </w:rPr>
      </w:pPr>
      <w:r>
        <w:rPr>
          <w:rFonts w:eastAsia="Times New Roman"/>
          <w:b/>
          <w:bCs/>
          <w:color w:val="000000"/>
          <w:sz w:val="20"/>
          <w:szCs w:val="20"/>
        </w:rPr>
        <w:t>ITEM 9A. CONTROLS AND PROCEDURES</w:t>
      </w:r>
    </w:p>
    <w:p w:rsidR="00000000" w:rsidRDefault="00DF5BC2">
      <w:pPr>
        <w:divId w:val="1097287837"/>
        <w:rPr>
          <w:rFonts w:eastAsia="Times New Roman"/>
        </w:rPr>
      </w:pPr>
    </w:p>
    <w:p w:rsidR="00000000" w:rsidRDefault="00DF5BC2">
      <w:pPr>
        <w:ind w:hanging="360"/>
        <w:jc w:val="both"/>
        <w:divId w:val="1052996572"/>
        <w:rPr>
          <w:rFonts w:eastAsia="Times New Roman"/>
        </w:rPr>
      </w:pPr>
      <w:r>
        <w:rPr>
          <w:rFonts w:eastAsia="Times New Roman"/>
          <w:color w:val="000000"/>
          <w:sz w:val="20"/>
          <w:szCs w:val="20"/>
        </w:rPr>
        <w:t>(a)The Company's disclosure controls and procedures are designed to provide reasonable assurance that the information required t</w:t>
      </w:r>
      <w:r>
        <w:rPr>
          <w:rFonts w:eastAsia="Times New Roman"/>
          <w:color w:val="000000"/>
          <w:sz w:val="20"/>
          <w:szCs w:val="20"/>
        </w:rPr>
        <w:t>o be disclosed by the Company in reports filed or submitted under the Exchange Act is (i) recorded, processed, summarized, and reported within the time periods specified in the SEC’s rules and forms, and (ii) accumulated and communicated to our management,</w:t>
      </w:r>
      <w:r>
        <w:rPr>
          <w:rFonts w:eastAsia="Times New Roman"/>
          <w:color w:val="000000"/>
          <w:sz w:val="20"/>
          <w:szCs w:val="20"/>
        </w:rPr>
        <w:t xml:space="preserve"> including the Chief Executive Officer and Chief Financial Officer, as appropriate to allow timely decisions regarding required disclosure. The Company's management, with the participation of the Company’s Chief Executive Officer and Chief Financial Office</w:t>
      </w:r>
      <w:r>
        <w:rPr>
          <w:rFonts w:eastAsia="Times New Roman"/>
          <w:color w:val="000000"/>
          <w:sz w:val="20"/>
          <w:szCs w:val="20"/>
        </w:rPr>
        <w:t xml:space="preserve">r, evaluated the effectiveness of the Company's disclosure controls and procedures as of the end of the period covered by this report. Based on that evaluation, the Chief Executive </w:t>
      </w:r>
    </w:p>
    <w:p w:rsidR="00000000" w:rsidRDefault="00DF5BC2">
      <w:pPr>
        <w:jc w:val="center"/>
        <w:divId w:val="2059620332"/>
        <w:rPr>
          <w:rFonts w:eastAsia="Times New Roman"/>
        </w:rPr>
      </w:pPr>
      <w:r>
        <w:rPr>
          <w:rFonts w:eastAsia="Times New Roman"/>
          <w:color w:val="000000"/>
          <w:sz w:val="20"/>
          <w:szCs w:val="20"/>
        </w:rPr>
        <w:t>69</w:t>
      </w:r>
    </w:p>
    <w:p w:rsidR="00000000" w:rsidRDefault="00DF5BC2">
      <w:pPr>
        <w:rPr>
          <w:rFonts w:eastAsia="Times New Roman"/>
        </w:rPr>
      </w:pPr>
      <w:r>
        <w:rPr>
          <w:rFonts w:eastAsia="Times New Roman"/>
        </w:rPr>
        <w:pict>
          <v:rect id="_x0000_i1096" style="width:0;height:1.5pt" o:hralign="center" o:hrstd="t" o:hr="t" fillcolor="#a0a0a0" stroked="f"/>
        </w:pict>
      </w:r>
    </w:p>
    <w:p w:rsidR="00000000" w:rsidRDefault="00DF5BC2">
      <w:pPr>
        <w:divId w:val="1716537774"/>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1033506979"/>
        <w:rPr>
          <w:rFonts w:eastAsia="Times New Roman"/>
        </w:rPr>
      </w:pPr>
      <w:r>
        <w:rPr>
          <w:rFonts w:eastAsia="Times New Roman"/>
          <w:color w:val="000000"/>
          <w:sz w:val="20"/>
          <w:szCs w:val="20"/>
        </w:rPr>
        <w:t>Officer and Chief Financial Officer concluded that the Company's disclosure controls and procedures, as of September 30, 2021, were effective at the reasonable assurance level.</w:t>
      </w:r>
    </w:p>
    <w:p w:rsidR="00000000" w:rsidRDefault="00DF5BC2">
      <w:pPr>
        <w:jc w:val="both"/>
        <w:divId w:val="1161234497"/>
        <w:rPr>
          <w:rFonts w:eastAsia="Times New Roman"/>
        </w:rPr>
      </w:pPr>
    </w:p>
    <w:p w:rsidR="00000000" w:rsidRDefault="00DF5BC2">
      <w:pPr>
        <w:ind w:hanging="360"/>
        <w:jc w:val="both"/>
        <w:divId w:val="960842342"/>
        <w:rPr>
          <w:rFonts w:eastAsia="Times New Roman"/>
        </w:rPr>
      </w:pPr>
      <w:r>
        <w:rPr>
          <w:rFonts w:eastAsia="Times New Roman"/>
          <w:color w:val="000000"/>
          <w:sz w:val="20"/>
          <w:szCs w:val="20"/>
        </w:rPr>
        <w:t>(b)</w:t>
      </w:r>
      <w:r>
        <w:rPr>
          <w:rFonts w:eastAsia="Times New Roman"/>
          <w:b/>
          <w:bCs/>
          <w:color w:val="000000"/>
          <w:sz w:val="20"/>
          <w:szCs w:val="20"/>
        </w:rPr>
        <w:t>Management’s Annual Report on In</w:t>
      </w:r>
      <w:r>
        <w:rPr>
          <w:rFonts w:eastAsia="Times New Roman"/>
          <w:b/>
          <w:bCs/>
          <w:color w:val="000000"/>
          <w:sz w:val="20"/>
          <w:szCs w:val="20"/>
        </w:rPr>
        <w:t>ternal Control over Financial Reporting</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Management is responsible for establishing and maintaining adequate internal control over financial reporting for the Company, as such term is defined in Rule 13a-15(f) of the Securities Exchange Act of 1934, as am</w:t>
      </w:r>
      <w:r>
        <w:rPr>
          <w:rFonts w:eastAsia="Times New Roman"/>
          <w:color w:val="000000"/>
          <w:sz w:val="20"/>
          <w:szCs w:val="20"/>
        </w:rPr>
        <w:t>ended. In order to evaluate the effectiveness of internal control over financial reporting, as required by Section 404 of the Sarbanes-Oxley Act of 2002, management has conducted an assessment, including testing, of the Company’s internal control over fina</w:t>
      </w:r>
      <w:r>
        <w:rPr>
          <w:rFonts w:eastAsia="Times New Roman"/>
          <w:color w:val="000000"/>
          <w:sz w:val="20"/>
          <w:szCs w:val="20"/>
        </w:rPr>
        <w:t>ncial reporting as of September 30, 2021, based on criteria established in Internal Control - Integrated Framework (2013) issued by the Committee of Sponsoring Organizations of the Treadway Commission (the “COSO criteria”). The scope of that assessment exc</w:t>
      </w:r>
      <w:r>
        <w:rPr>
          <w:rFonts w:eastAsia="Times New Roman"/>
          <w:color w:val="000000"/>
          <w:sz w:val="20"/>
          <w:szCs w:val="20"/>
        </w:rPr>
        <w:t>luded the Mountaineer business acquired on September 1, 2021, by UGI Corporation and the Redeo Energies business acquired by UGI International on June 30, 2021. Mountaineer’s and Redeo Energies’ total assets represented approximately 5% and less than 1%, r</w:t>
      </w:r>
      <w:r>
        <w:rPr>
          <w:rFonts w:eastAsia="Times New Roman"/>
          <w:color w:val="000000"/>
          <w:sz w:val="20"/>
          <w:szCs w:val="20"/>
        </w:rPr>
        <w:t>espectively, of the Company’s consolidated total assets at September 30, 2021. Mountaineer’s and Redeo Energies’ total earnings before taxes represented less than 1% and approximately 3%, respectively, of the Company’s consolidated earnings before taxes fo</w:t>
      </w:r>
      <w:r>
        <w:rPr>
          <w:rFonts w:eastAsia="Times New Roman"/>
          <w:color w:val="000000"/>
          <w:sz w:val="20"/>
          <w:szCs w:val="20"/>
        </w:rPr>
        <w:t>r the year then ended. Such exclusions are permitted based upon current guidance of the U.S. Securities &amp; Exchange Commission.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Internal control over financial reporting refers to the process, designed under the supervision and with the participation of m</w:t>
      </w:r>
      <w:r>
        <w:rPr>
          <w:rFonts w:eastAsia="Times New Roman"/>
          <w:color w:val="000000"/>
          <w:sz w:val="20"/>
          <w:szCs w:val="20"/>
        </w:rPr>
        <w:t>anagement, including our Chief Executive Officer and our Chief Financial Officer, and effected by the Company’s Board of Directors, to provide reasonable, but not absolute, assurance regarding the reliability of financial reporting and the preparation of f</w:t>
      </w:r>
      <w:r>
        <w:rPr>
          <w:rFonts w:eastAsia="Times New Roman"/>
          <w:color w:val="000000"/>
          <w:sz w:val="20"/>
          <w:szCs w:val="20"/>
        </w:rPr>
        <w:t xml:space="preserve">inancial statements for external purposes in accordance with GAAP and includes policies and procedures that (1) pertain to the maintenance of records that, in reasonable detail, accurately and fairly reflect the transactions and dispositions of the assets </w:t>
      </w:r>
      <w:r>
        <w:rPr>
          <w:rFonts w:eastAsia="Times New Roman"/>
          <w:color w:val="000000"/>
          <w:sz w:val="20"/>
          <w:szCs w:val="20"/>
        </w:rPr>
        <w:t>of the Company; (2) provide reasonable assurance that transactions are recorded as necessary to permit preparation of financial statements in accordance with generally accepted accounting principles, and that receipts and expenditures of the Company are be</w:t>
      </w:r>
      <w:r>
        <w:rPr>
          <w:rFonts w:eastAsia="Times New Roman"/>
          <w:color w:val="000000"/>
          <w:sz w:val="20"/>
          <w:szCs w:val="20"/>
        </w:rPr>
        <w:t>ing made only in accordance with authorizations of management and directors of the Company; and (3) provide reasonable assurance regarding prevention or timely detection of unauthorized acquisition, use or disposition of the Company’s assets that could hav</w:t>
      </w:r>
      <w:r>
        <w:rPr>
          <w:rFonts w:eastAsia="Times New Roman"/>
          <w:color w:val="000000"/>
          <w:sz w:val="20"/>
          <w:szCs w:val="20"/>
        </w:rPr>
        <w:t>e a material effect on the financial statements.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w:t>
      </w:r>
      <w:r>
        <w:rPr>
          <w:rFonts w:eastAsia="Times New Roman"/>
          <w:color w:val="000000"/>
          <w:sz w:val="20"/>
          <w:szCs w:val="20"/>
        </w:rPr>
        <w:t xml:space="preserve"> the risk that controls may become inadequate due to changing conditions, or the degree of compliance with the policies or procedures may deteriorate.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Based on its assessment, management has concluded that the Company’s internal control over financial reporting was effective as of September 30, 2021, based on the COSO criteria. The Company’s independent registered public accounting firm, Ernst &amp; Young LL</w:t>
      </w:r>
      <w:r>
        <w:rPr>
          <w:rFonts w:eastAsia="Times New Roman"/>
          <w:color w:val="000000"/>
          <w:sz w:val="20"/>
          <w:szCs w:val="20"/>
        </w:rPr>
        <w:t>P, has issued an attestation report on the effectiveness of the Company’s internal control over financial reporting as of September 30, 2021. This report is set forth below.</w:t>
      </w:r>
    </w:p>
    <w:p w:rsidR="00000000" w:rsidRDefault="00DF5BC2">
      <w:pPr>
        <w:jc w:val="both"/>
        <w:divId w:val="1150174800"/>
        <w:rPr>
          <w:rFonts w:eastAsia="Times New Roman"/>
        </w:rPr>
      </w:pPr>
    </w:p>
    <w:p w:rsidR="00000000" w:rsidRDefault="00DF5BC2">
      <w:pPr>
        <w:ind w:hanging="360"/>
        <w:jc w:val="both"/>
        <w:divId w:val="143158612"/>
        <w:rPr>
          <w:rFonts w:eastAsia="Times New Roman"/>
        </w:rPr>
      </w:pPr>
      <w:r>
        <w:rPr>
          <w:rFonts w:eastAsia="Times New Roman"/>
          <w:color w:val="000000"/>
          <w:sz w:val="20"/>
          <w:szCs w:val="20"/>
        </w:rPr>
        <w:t xml:space="preserve">(c)During the most recent fiscal quarter, other than changes resulting from the </w:t>
      </w:r>
      <w:r>
        <w:rPr>
          <w:rFonts w:eastAsia="Times New Roman"/>
          <w:color w:val="000000"/>
          <w:sz w:val="20"/>
          <w:szCs w:val="20"/>
        </w:rPr>
        <w:t>Mountaineer Acquisition discussed below, no change in the Company’s internal control over financial reporting occurred that has materially affected, or is reasonably likely to materially affect, the Company’s internal control over financial reporting.</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w:t>
      </w:r>
      <w:r>
        <w:rPr>
          <w:rFonts w:eastAsia="Times New Roman"/>
          <w:color w:val="000000"/>
          <w:sz w:val="20"/>
          <w:szCs w:val="20"/>
        </w:rPr>
        <w:t xml:space="preserve"> September 1, 2021, UGI acquired Mountaineer. The Company is currently in the process of integrating processes and internal controls. See Note 5 to consolidated financial statements for additional information related to the Mountaineer Acquisition.</w:t>
      </w:r>
    </w:p>
    <w:p w:rsidR="00000000" w:rsidRDefault="00DF5BC2">
      <w:pPr>
        <w:jc w:val="both"/>
        <w:divId w:val="1217280347"/>
        <w:rPr>
          <w:rFonts w:eastAsia="Times New Roman"/>
        </w:rPr>
      </w:pPr>
    </w:p>
    <w:p w:rsidR="00000000" w:rsidRDefault="00DF5BC2">
      <w:pPr>
        <w:jc w:val="center"/>
        <w:divId w:val="2107187477"/>
        <w:rPr>
          <w:rFonts w:eastAsia="Times New Roman"/>
        </w:rPr>
      </w:pPr>
      <w:r>
        <w:rPr>
          <w:rFonts w:eastAsia="Times New Roman"/>
          <w:b/>
          <w:bCs/>
          <w:color w:val="000000"/>
          <w:sz w:val="20"/>
          <w:szCs w:val="20"/>
        </w:rPr>
        <w:t>Repor</w:t>
      </w:r>
      <w:r>
        <w:rPr>
          <w:rFonts w:eastAsia="Times New Roman"/>
          <w:b/>
          <w:bCs/>
          <w:color w:val="000000"/>
          <w:sz w:val="20"/>
          <w:szCs w:val="20"/>
        </w:rPr>
        <w:t>t of Independent Registered Public Accounting Firm</w:t>
      </w:r>
    </w:p>
    <w:p w:rsidR="00000000" w:rsidRDefault="00DF5BC2">
      <w:pPr>
        <w:divId w:val="909732711"/>
        <w:rPr>
          <w:rFonts w:eastAsia="Times New Roman"/>
        </w:rPr>
      </w:pPr>
    </w:p>
    <w:p w:rsidR="00000000" w:rsidRDefault="00DF5BC2">
      <w:pPr>
        <w:jc w:val="both"/>
        <w:rPr>
          <w:rFonts w:eastAsia="Times New Roman"/>
        </w:rPr>
      </w:pPr>
      <w:r>
        <w:rPr>
          <w:rFonts w:eastAsia="Times New Roman"/>
          <w:color w:val="333333"/>
          <w:sz w:val="20"/>
          <w:szCs w:val="20"/>
        </w:rPr>
        <w:t>To the Stockholders and the Board of Directors of UGI Corporation</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333333"/>
          <w:sz w:val="20"/>
          <w:szCs w:val="20"/>
        </w:rPr>
        <w:t>Opinion on Internal Control over Financial Reporting</w:t>
      </w:r>
    </w:p>
    <w:p w:rsidR="00000000" w:rsidRDefault="00DF5BC2">
      <w:pPr>
        <w:jc w:val="both"/>
        <w:rPr>
          <w:rFonts w:eastAsia="Times New Roman"/>
        </w:rPr>
      </w:pPr>
    </w:p>
    <w:p w:rsidR="00000000" w:rsidRDefault="00DF5BC2">
      <w:pPr>
        <w:jc w:val="both"/>
        <w:rPr>
          <w:rFonts w:eastAsia="Times New Roman"/>
        </w:rPr>
      </w:pPr>
      <w:r>
        <w:rPr>
          <w:rFonts w:eastAsia="Times New Roman"/>
          <w:color w:val="333333"/>
          <w:sz w:val="20"/>
          <w:szCs w:val="20"/>
        </w:rPr>
        <w:t>We have audited UGI Corporation and subsidiaries’ internal control over financia</w:t>
      </w:r>
      <w:r>
        <w:rPr>
          <w:rFonts w:eastAsia="Times New Roman"/>
          <w:color w:val="333333"/>
          <w:sz w:val="20"/>
          <w:szCs w:val="20"/>
        </w:rPr>
        <w:t>l reporting as of September 30, 2021, based on criteria established in Internal Control—Integrated Framework issued by the Committee of Sponsoring Organizations of the Treadway Commission (2013 framework) (the COSO criteria). In our opinion, UGI Corporatio</w:t>
      </w:r>
      <w:r>
        <w:rPr>
          <w:rFonts w:eastAsia="Times New Roman"/>
          <w:color w:val="333333"/>
          <w:sz w:val="20"/>
          <w:szCs w:val="20"/>
        </w:rPr>
        <w:t>n and subsidiaries (the Company) maintained, in all material respects, effective internal control over financial reporting as of September 30, 2021, based on the COSO criteria.</w:t>
      </w:r>
    </w:p>
    <w:p w:rsidR="00000000" w:rsidRDefault="00DF5BC2">
      <w:pPr>
        <w:jc w:val="both"/>
        <w:rPr>
          <w:rFonts w:eastAsia="Times New Roman"/>
        </w:rPr>
      </w:pPr>
    </w:p>
    <w:p w:rsidR="00000000" w:rsidRDefault="00DF5BC2">
      <w:pPr>
        <w:jc w:val="center"/>
        <w:divId w:val="1772164220"/>
        <w:rPr>
          <w:rFonts w:eastAsia="Times New Roman"/>
        </w:rPr>
      </w:pPr>
      <w:r>
        <w:rPr>
          <w:rFonts w:eastAsia="Times New Roman"/>
          <w:color w:val="000000"/>
          <w:sz w:val="20"/>
          <w:szCs w:val="20"/>
        </w:rPr>
        <w:t>70</w:t>
      </w:r>
    </w:p>
    <w:p w:rsidR="00000000" w:rsidRDefault="00DF5BC2">
      <w:pPr>
        <w:rPr>
          <w:rFonts w:eastAsia="Times New Roman"/>
        </w:rPr>
      </w:pPr>
      <w:r>
        <w:rPr>
          <w:rFonts w:eastAsia="Times New Roman"/>
        </w:rPr>
        <w:pict>
          <v:rect id="_x0000_i1097" style="width:0;height:1.5pt" o:hralign="center" o:hrstd="t" o:hr="t" fillcolor="#a0a0a0" stroked="f"/>
        </w:pict>
      </w:r>
    </w:p>
    <w:p w:rsidR="00000000" w:rsidRDefault="00DF5BC2">
      <w:pPr>
        <w:divId w:val="716589774"/>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color w:val="333333"/>
          <w:sz w:val="20"/>
          <w:szCs w:val="20"/>
        </w:rPr>
        <w:t>As indicated in the accompanying Management’s Annual Report on Internal Control over Financial Reporting, management’s assessment of and conclusion on the effectiveness of internal</w:t>
      </w:r>
      <w:r>
        <w:rPr>
          <w:rFonts w:eastAsia="Times New Roman"/>
          <w:color w:val="333333"/>
          <w:sz w:val="20"/>
          <w:szCs w:val="20"/>
        </w:rPr>
        <w:t xml:space="preserve"> control over financial reporting did not include the internal controls of Mountaineer Gas Company and Redeo Energies, which are included in the 2021 consolidated financial statements of UGI Corporation and subsidiaries and constituted approximately 5% and</w:t>
      </w:r>
      <w:r>
        <w:rPr>
          <w:rFonts w:eastAsia="Times New Roman"/>
          <w:color w:val="333333"/>
          <w:sz w:val="20"/>
          <w:szCs w:val="20"/>
        </w:rPr>
        <w:t xml:space="preserve"> 1%, respectively, of total assets as of September 30, 2021 and approximately 1% and 3%, respectively, of total earnings before taxes for the year then ended. Our audit of internal control over financial reporting of UGI Corporation and Subsidiaries also d</w:t>
      </w:r>
      <w:r>
        <w:rPr>
          <w:rFonts w:eastAsia="Times New Roman"/>
          <w:color w:val="333333"/>
          <w:sz w:val="20"/>
          <w:szCs w:val="20"/>
        </w:rPr>
        <w:t>id not include an evaluation of the internal control over financial reporting of Mountaineer Gas Company and Redeo Energies.</w:t>
      </w:r>
    </w:p>
    <w:p w:rsidR="00000000" w:rsidRDefault="00DF5BC2">
      <w:pPr>
        <w:divId w:val="1245140138"/>
        <w:rPr>
          <w:rFonts w:eastAsia="Times New Roman"/>
        </w:rPr>
      </w:pPr>
    </w:p>
    <w:p w:rsidR="00000000" w:rsidRDefault="00DF5BC2">
      <w:pPr>
        <w:jc w:val="both"/>
        <w:rPr>
          <w:rFonts w:eastAsia="Times New Roman"/>
        </w:rPr>
      </w:pPr>
      <w:r>
        <w:rPr>
          <w:rFonts w:eastAsia="Times New Roman"/>
          <w:color w:val="333333"/>
          <w:sz w:val="20"/>
          <w:szCs w:val="20"/>
        </w:rPr>
        <w:t xml:space="preserve">We also have audited, in accordance with the standards of the Public Company Accounting Oversight Board (United States) (PCAOB), </w:t>
      </w:r>
      <w:r>
        <w:rPr>
          <w:rFonts w:eastAsia="Times New Roman"/>
          <w:color w:val="333333"/>
          <w:sz w:val="20"/>
          <w:szCs w:val="20"/>
        </w:rPr>
        <w:t xml:space="preserve">the consolidated balance sheets of the Company as of September 30, 2021 and 2020, the related consolidated statements of income, comprehensive income, changes in equity and cash flows for each of the three years in the period ended September 30, 2021, and </w:t>
      </w:r>
      <w:r>
        <w:rPr>
          <w:rFonts w:eastAsia="Times New Roman"/>
          <w:color w:val="333333"/>
          <w:sz w:val="20"/>
          <w:szCs w:val="20"/>
        </w:rPr>
        <w:t>the related notes and the financial statement schedules listed in the Index at Item 15(a) and our report dated November 19, 2021 expressed an unqualified opinion thereon.</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333333"/>
          <w:sz w:val="20"/>
          <w:szCs w:val="20"/>
        </w:rPr>
        <w:t>Basis for Opinion</w:t>
      </w:r>
    </w:p>
    <w:p w:rsidR="00000000" w:rsidRDefault="00DF5BC2">
      <w:pPr>
        <w:jc w:val="both"/>
        <w:rPr>
          <w:rFonts w:eastAsia="Times New Roman"/>
        </w:rPr>
      </w:pPr>
    </w:p>
    <w:p w:rsidR="00000000" w:rsidRDefault="00DF5BC2">
      <w:pPr>
        <w:jc w:val="both"/>
        <w:rPr>
          <w:rFonts w:eastAsia="Times New Roman"/>
        </w:rPr>
      </w:pPr>
      <w:r>
        <w:rPr>
          <w:rFonts w:eastAsia="Times New Roman"/>
          <w:color w:val="333333"/>
          <w:sz w:val="20"/>
          <w:szCs w:val="20"/>
        </w:rPr>
        <w:t>The Company’s management is responsible for maintaining effecti</w:t>
      </w:r>
      <w:r>
        <w:rPr>
          <w:rFonts w:eastAsia="Times New Roman"/>
          <w:color w:val="333333"/>
          <w:sz w:val="20"/>
          <w:szCs w:val="20"/>
        </w:rPr>
        <w:t>ve internal control over financial reporting and for its assessment of the effectiveness of internal control over financial reporting included in the accompanying “Management’s Annual Report on Internal Control over Financial Reporting”. Our responsibility</w:t>
      </w:r>
      <w:r>
        <w:rPr>
          <w:rFonts w:eastAsia="Times New Roman"/>
          <w:color w:val="333333"/>
          <w:sz w:val="20"/>
          <w:szCs w:val="20"/>
        </w:rPr>
        <w:t xml:space="preserve"> is to express an opinion on the Company’s internal control over financial reporting based on our audit. We are a public accounting firm registered with the PCAOB and are required to be independent with respect to the Company in accordance with the U.S. fe</w:t>
      </w:r>
      <w:r>
        <w:rPr>
          <w:rFonts w:eastAsia="Times New Roman"/>
          <w:color w:val="333333"/>
          <w:sz w:val="20"/>
          <w:szCs w:val="20"/>
        </w:rPr>
        <w:t xml:space="preserve">deral securities laws and the applicable rules and regulations of the Securities and Exchange Commission and the PCAOB. </w:t>
      </w:r>
    </w:p>
    <w:p w:rsidR="00000000" w:rsidRDefault="00DF5BC2">
      <w:pPr>
        <w:divId w:val="370106955"/>
        <w:rPr>
          <w:rFonts w:eastAsia="Times New Roman"/>
        </w:rPr>
      </w:pPr>
    </w:p>
    <w:p w:rsidR="00000000" w:rsidRDefault="00DF5BC2">
      <w:pPr>
        <w:jc w:val="both"/>
        <w:rPr>
          <w:rFonts w:eastAsia="Times New Roman"/>
        </w:rPr>
      </w:pPr>
      <w:r>
        <w:rPr>
          <w:rFonts w:eastAsia="Times New Roman"/>
          <w:color w:val="333333"/>
          <w:sz w:val="20"/>
          <w:szCs w:val="20"/>
        </w:rPr>
        <w:t>We conducted our audit in accordance with the standards of the PCAOB. Those standards require that we plan and perform the audit to o</w:t>
      </w:r>
      <w:r>
        <w:rPr>
          <w:rFonts w:eastAsia="Times New Roman"/>
          <w:color w:val="333333"/>
          <w:sz w:val="20"/>
          <w:szCs w:val="20"/>
        </w:rPr>
        <w:t xml:space="preserve">btain reasonable assurance about whether effective internal control over financial reporting was maintained in all material respects. </w:t>
      </w:r>
    </w:p>
    <w:p w:rsidR="00000000" w:rsidRDefault="00DF5BC2">
      <w:pPr>
        <w:divId w:val="26218604"/>
        <w:rPr>
          <w:rFonts w:eastAsia="Times New Roman"/>
        </w:rPr>
      </w:pPr>
    </w:p>
    <w:p w:rsidR="00000000" w:rsidRDefault="00DF5BC2">
      <w:pPr>
        <w:jc w:val="both"/>
        <w:rPr>
          <w:rFonts w:eastAsia="Times New Roman"/>
        </w:rPr>
      </w:pPr>
      <w:r>
        <w:rPr>
          <w:rFonts w:eastAsia="Times New Roman"/>
          <w:color w:val="333333"/>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w:t>
      </w:r>
      <w:r>
        <w:rPr>
          <w:rFonts w:eastAsia="Times New Roman"/>
          <w:color w:val="333333"/>
          <w:sz w:val="20"/>
          <w:szCs w:val="20"/>
        </w:rPr>
        <w:t xml:space="preserve">d performing such other procedures as we considered necessary in the circumstances. We believe that our audit provides a reasonable basis for our opinion.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333333"/>
          <w:sz w:val="20"/>
          <w:szCs w:val="20"/>
        </w:rPr>
        <w:t>Definition and Limitations of Internal Control Over Financial Reporting</w:t>
      </w:r>
    </w:p>
    <w:p w:rsidR="00000000" w:rsidRDefault="00DF5BC2">
      <w:pPr>
        <w:jc w:val="both"/>
        <w:rPr>
          <w:rFonts w:eastAsia="Times New Roman"/>
        </w:rPr>
      </w:pPr>
    </w:p>
    <w:p w:rsidR="00000000" w:rsidRDefault="00DF5BC2">
      <w:pPr>
        <w:jc w:val="both"/>
        <w:rPr>
          <w:rFonts w:eastAsia="Times New Roman"/>
        </w:rPr>
      </w:pPr>
      <w:r>
        <w:rPr>
          <w:rFonts w:eastAsia="Times New Roman"/>
          <w:color w:val="333333"/>
          <w:sz w:val="20"/>
          <w:szCs w:val="20"/>
        </w:rPr>
        <w:t>A company’s internal con</w:t>
      </w:r>
      <w:r>
        <w:rPr>
          <w:rFonts w:eastAsia="Times New Roman"/>
          <w:color w:val="333333"/>
          <w:sz w:val="20"/>
          <w:szCs w:val="20"/>
        </w:rPr>
        <w:t>trol over financial reporting is a process designed to provide reasonable assurance regarding the reliability of financial reporting and the preparation of financial statements for external purposes in accordance with generally accepted accounting principl</w:t>
      </w:r>
      <w:r>
        <w:rPr>
          <w:rFonts w:eastAsia="Times New Roman"/>
          <w:color w:val="333333"/>
          <w:sz w:val="20"/>
          <w:szCs w:val="20"/>
        </w:rPr>
        <w:t>es. A company’s internal control over financial reporting includes those policies and procedures that (1) pertain to the maintenance of records that, in reasonable detail, accurately and fairly reflect the transactions and dispositions of the assets of the</w:t>
      </w:r>
      <w:r>
        <w:rPr>
          <w:rFonts w:eastAsia="Times New Roman"/>
          <w:color w:val="333333"/>
          <w:sz w:val="20"/>
          <w:szCs w:val="20"/>
        </w:rPr>
        <w:t xml:space="preserve"> company; (2) provide reasonable assurance that transactions are recorded as necessary to permit preparation of financial statements in accordance with generally accepted accounting principles, and that receipts and expenditures of the company are being ma</w:t>
      </w:r>
      <w:r>
        <w:rPr>
          <w:rFonts w:eastAsia="Times New Roman"/>
          <w:color w:val="333333"/>
          <w:sz w:val="20"/>
          <w:szCs w:val="20"/>
        </w:rPr>
        <w:t>de only in accordance with authorizations of management and directors of the company; and (3) provide reasonable assurance regarding prevention or timely detection of unauthorized acquisition, use, or disposition of the company’s assets that could have a m</w:t>
      </w:r>
      <w:r>
        <w:rPr>
          <w:rFonts w:eastAsia="Times New Roman"/>
          <w:color w:val="333333"/>
          <w:sz w:val="20"/>
          <w:szCs w:val="20"/>
        </w:rPr>
        <w:t xml:space="preserve">aterial effect on the financial statements. </w:t>
      </w:r>
    </w:p>
    <w:p w:rsidR="00000000" w:rsidRDefault="00DF5BC2">
      <w:pPr>
        <w:divId w:val="515315685"/>
        <w:rPr>
          <w:rFonts w:eastAsia="Times New Roman"/>
        </w:rPr>
      </w:pPr>
    </w:p>
    <w:p w:rsidR="00000000" w:rsidRDefault="00DF5BC2">
      <w:pPr>
        <w:jc w:val="both"/>
        <w:rPr>
          <w:rFonts w:eastAsia="Times New Roman"/>
        </w:rPr>
      </w:pPr>
      <w:r>
        <w:rPr>
          <w:rFonts w:eastAsia="Times New Roman"/>
          <w:color w:val="333333"/>
          <w:sz w:val="20"/>
          <w:szCs w:val="20"/>
        </w:rPr>
        <w:t>Because of its inherent limitations, internal control over financial reporting may not prevent or detect misstatements. Also, projections of any evaluation of effectiveness to future periods are subject to the</w:t>
      </w:r>
      <w:r>
        <w:rPr>
          <w:rFonts w:eastAsia="Times New Roman"/>
          <w:color w:val="333333"/>
          <w:sz w:val="20"/>
          <w:szCs w:val="20"/>
        </w:rPr>
        <w:t xml:space="preserve"> risk that controls may become inadequate because of changes in conditions, or that the degree of compliance with the policies or procedures may deteriorate. </w:t>
      </w:r>
    </w:p>
    <w:p w:rsidR="00000000" w:rsidRDefault="00DF5BC2">
      <w:pPr>
        <w:divId w:val="1258367515"/>
        <w:rPr>
          <w:rFonts w:eastAsia="Times New Roman"/>
        </w:rPr>
      </w:pPr>
    </w:p>
    <w:p w:rsidR="00000000" w:rsidRDefault="00DF5BC2">
      <w:pPr>
        <w:divId w:val="1785688447"/>
        <w:rPr>
          <w:rFonts w:eastAsia="Times New Roman"/>
        </w:rPr>
      </w:pPr>
    </w:p>
    <w:p w:rsidR="00000000" w:rsidRDefault="00DF5BC2">
      <w:pPr>
        <w:divId w:val="748426640"/>
        <w:rPr>
          <w:rFonts w:eastAsia="Times New Roman"/>
        </w:rPr>
      </w:pPr>
      <w:r>
        <w:rPr>
          <w:rFonts w:eastAsia="Times New Roman"/>
          <w:color w:val="000000"/>
          <w:sz w:val="20"/>
          <w:szCs w:val="20"/>
        </w:rPr>
        <w:t>/s/ Ernst &amp; Young LLP</w:t>
      </w:r>
    </w:p>
    <w:p w:rsidR="00000000" w:rsidRDefault="00DF5BC2">
      <w:pPr>
        <w:divId w:val="1449279693"/>
        <w:rPr>
          <w:rFonts w:eastAsia="Times New Roman"/>
        </w:rPr>
      </w:pPr>
      <w:r>
        <w:rPr>
          <w:rFonts w:eastAsia="Times New Roman"/>
          <w:color w:val="000000"/>
          <w:sz w:val="20"/>
          <w:szCs w:val="20"/>
        </w:rPr>
        <w:t>Philadelphia, Pennsylvania</w:t>
      </w:r>
    </w:p>
    <w:p w:rsidR="00000000" w:rsidRDefault="00DF5BC2">
      <w:pPr>
        <w:divId w:val="297228905"/>
        <w:rPr>
          <w:rFonts w:eastAsia="Times New Roman"/>
        </w:rPr>
      </w:pPr>
      <w:r>
        <w:rPr>
          <w:rFonts w:eastAsia="Times New Roman"/>
          <w:color w:val="000000"/>
          <w:sz w:val="20"/>
          <w:szCs w:val="20"/>
        </w:rPr>
        <w:t>November 19, 2021</w:t>
      </w:r>
    </w:p>
    <w:p w:rsidR="00000000" w:rsidRDefault="00DF5BC2">
      <w:pPr>
        <w:divId w:val="424226916"/>
        <w:rPr>
          <w:rFonts w:eastAsia="Times New Roman"/>
        </w:rPr>
      </w:pPr>
    </w:p>
    <w:p w:rsidR="00000000" w:rsidRDefault="00DF5BC2">
      <w:pPr>
        <w:ind w:hanging="900"/>
        <w:divId w:val="2046902480"/>
        <w:rPr>
          <w:rFonts w:eastAsia="Times New Roman"/>
        </w:rPr>
      </w:pPr>
      <w:r>
        <w:rPr>
          <w:rFonts w:eastAsia="Times New Roman"/>
          <w:b/>
          <w:bCs/>
          <w:color w:val="000000"/>
          <w:sz w:val="20"/>
          <w:szCs w:val="20"/>
        </w:rPr>
        <w:t>ITEM 9B. OTHER INFORMATI</w:t>
      </w:r>
      <w:r>
        <w:rPr>
          <w:rFonts w:eastAsia="Times New Roman"/>
          <w:b/>
          <w:bCs/>
          <w:color w:val="000000"/>
          <w:sz w:val="20"/>
          <w:szCs w:val="20"/>
        </w:rPr>
        <w:t>ON</w:t>
      </w:r>
    </w:p>
    <w:p w:rsidR="00000000" w:rsidRDefault="00DF5BC2">
      <w:pPr>
        <w:divId w:val="273947348"/>
        <w:rPr>
          <w:rFonts w:eastAsia="Times New Roman"/>
        </w:rPr>
      </w:pPr>
      <w:r>
        <w:rPr>
          <w:rFonts w:eastAsia="Times New Roman"/>
          <w:color w:val="000000"/>
          <w:sz w:val="20"/>
          <w:szCs w:val="20"/>
        </w:rPr>
        <w:t>None.</w:t>
      </w:r>
    </w:p>
    <w:p w:rsidR="00000000" w:rsidRDefault="00DF5BC2">
      <w:pPr>
        <w:jc w:val="center"/>
        <w:divId w:val="1007439592"/>
        <w:rPr>
          <w:rFonts w:eastAsia="Times New Roman"/>
        </w:rPr>
      </w:pPr>
      <w:r>
        <w:rPr>
          <w:rFonts w:eastAsia="Times New Roman"/>
          <w:color w:val="000000"/>
          <w:sz w:val="20"/>
          <w:szCs w:val="20"/>
        </w:rPr>
        <w:t>71</w:t>
      </w:r>
    </w:p>
    <w:p w:rsidR="00000000" w:rsidRDefault="00DF5BC2">
      <w:pPr>
        <w:rPr>
          <w:rFonts w:eastAsia="Times New Roman"/>
        </w:rPr>
      </w:pPr>
      <w:r>
        <w:rPr>
          <w:rFonts w:eastAsia="Times New Roman"/>
        </w:rPr>
        <w:pict>
          <v:rect id="_x0000_i1098" style="width:0;height:1.5pt" o:hralign="center" o:hrstd="t" o:hr="t" fillcolor="#a0a0a0" stroked="f"/>
        </w:pict>
      </w:r>
    </w:p>
    <w:p w:rsidR="00000000" w:rsidRDefault="00DF5BC2">
      <w:pPr>
        <w:divId w:val="2064671725"/>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color w:val="000000"/>
          <w:sz w:val="20"/>
          <w:szCs w:val="20"/>
        </w:rPr>
        <w:t>PART III:</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ITEMS 10 THROUGH 14.</w:t>
      </w:r>
    </w:p>
    <w:p w:rsidR="00000000" w:rsidRDefault="00DF5BC2">
      <w:pPr>
        <w:divId w:val="874586454"/>
        <w:rPr>
          <w:rFonts w:eastAsia="Times New Roman"/>
        </w:rPr>
      </w:pPr>
    </w:p>
    <w:p w:rsidR="00000000" w:rsidRDefault="00DF5BC2">
      <w:pPr>
        <w:jc w:val="both"/>
        <w:rPr>
          <w:rFonts w:eastAsia="Times New Roman"/>
        </w:rPr>
      </w:pPr>
      <w:r>
        <w:rPr>
          <w:rFonts w:eastAsia="Times New Roman"/>
          <w:color w:val="000000"/>
          <w:sz w:val="20"/>
          <w:szCs w:val="20"/>
        </w:rPr>
        <w:t>In accordance with General Instruction G(3), and except as set forth below, the information requi</w:t>
      </w:r>
      <w:r>
        <w:rPr>
          <w:rFonts w:eastAsia="Times New Roman"/>
          <w:color w:val="000000"/>
          <w:sz w:val="20"/>
          <w:szCs w:val="20"/>
        </w:rPr>
        <w:t>red by Items 10, 11, 12, 13 and 14 is incorporated in this Report by reference to the following portions of UGI’s Proxy Statement, which will be filed with the SEC by December 31, 2021.</w:t>
      </w:r>
    </w:p>
    <w:tbl>
      <w:tblPr>
        <w:tblW w:w="4985" w:type="pct"/>
        <w:tblCellMar>
          <w:top w:w="15" w:type="dxa"/>
          <w:left w:w="15" w:type="dxa"/>
          <w:bottom w:w="15" w:type="dxa"/>
          <w:right w:w="15" w:type="dxa"/>
        </w:tblCellMar>
        <w:tblLook w:val="04A0" w:firstRow="1" w:lastRow="0" w:firstColumn="1" w:lastColumn="0" w:noHBand="0" w:noVBand="1"/>
      </w:tblPr>
      <w:tblGrid>
        <w:gridCol w:w="72"/>
        <w:gridCol w:w="693"/>
        <w:gridCol w:w="36"/>
        <w:gridCol w:w="63"/>
        <w:gridCol w:w="3592"/>
        <w:gridCol w:w="37"/>
        <w:gridCol w:w="36"/>
        <w:gridCol w:w="36"/>
        <w:gridCol w:w="36"/>
        <w:gridCol w:w="50"/>
        <w:gridCol w:w="3593"/>
        <w:gridCol w:w="37"/>
      </w:tblGrid>
      <w:tr w:rsidR="00000000">
        <w:trPr>
          <w:divId w:val="446118957"/>
        </w:trPr>
        <w:tc>
          <w:tcPr>
            <w:tcW w:w="50" w:type="pct"/>
            <w:vAlign w:val="center"/>
            <w:hideMark/>
          </w:tcPr>
          <w:p w:rsidR="00000000" w:rsidRDefault="00DF5BC2">
            <w:pPr>
              <w:jc w:val="both"/>
              <w:rPr>
                <w:rFonts w:eastAsia="Times New Roman"/>
              </w:rPr>
            </w:pPr>
          </w:p>
        </w:tc>
        <w:tc>
          <w:tcPr>
            <w:tcW w:w="43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21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21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446118957"/>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Information</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Captions of Proxy Statement</w:t>
            </w:r>
            <w:r>
              <w:rPr>
                <w:rFonts w:eastAsia="Times New Roman"/>
                <w:b/>
                <w:bCs/>
                <w:color w:val="000000"/>
                <w:sz w:val="20"/>
                <w:szCs w:val="20"/>
              </w:rPr>
              <w:br/>
              <w:t>Incorporated by Reference</w:t>
            </w:r>
          </w:p>
        </w:tc>
      </w:tr>
      <w:tr w:rsidR="00000000">
        <w:trPr>
          <w:divId w:val="446118957"/>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Item 10.</w:t>
            </w:r>
          </w:p>
        </w:tc>
        <w:tc>
          <w:tcPr>
            <w:tcW w:w="0" w:type="auto"/>
            <w:gridSpan w:val="3"/>
            <w:tcBorders>
              <w:top w:val="single" w:sz="8" w:space="0" w:color="000000"/>
            </w:tcBorders>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Directors, Executive Officers and Corporate Governance</w:t>
            </w:r>
          </w:p>
        </w:tc>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F5BC2">
            <w:pPr>
              <w:spacing w:after="100"/>
              <w:divId w:val="1977222809"/>
              <w:rPr>
                <w:rFonts w:eastAsia="Times New Roman"/>
              </w:rPr>
            </w:pPr>
            <w:r>
              <w:rPr>
                <w:rFonts w:eastAsia="Times New Roman"/>
                <w:color w:val="000000"/>
                <w:sz w:val="20"/>
                <w:szCs w:val="20"/>
              </w:rPr>
              <w:t>Election of Directors - Nominees; Corporate Governance Principles; Director Independence; Board Leadership Structure and Role in Risk Management; Board Meetings and Attendance; Board and Committee Structure; Selection of Board Candidates; Board and Committ</w:t>
            </w:r>
            <w:r>
              <w:rPr>
                <w:rFonts w:eastAsia="Times New Roman"/>
                <w:color w:val="000000"/>
                <w:sz w:val="20"/>
                <w:szCs w:val="20"/>
              </w:rPr>
              <w:t>ee Evaluation Process; Investor Outreach; Code of Business Conduct and Ethics; Communications with the Board; Securities Ownership of Certain Beneficial Owners - Security Ownership of Directors and Executive Officers; Report of the Audit Committee of the B</w:t>
            </w:r>
            <w:r>
              <w:rPr>
                <w:rFonts w:eastAsia="Times New Roman"/>
                <w:color w:val="000000"/>
                <w:sz w:val="20"/>
                <w:szCs w:val="20"/>
              </w:rPr>
              <w:t>oard of Directors</w:t>
            </w:r>
          </w:p>
        </w:tc>
      </w:tr>
      <w:tr w:rsidR="00000000">
        <w:trPr>
          <w:divId w:val="446118957"/>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446118957"/>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The Code of Business Conduct and Ethics is available without charge on the Company’</w:t>
            </w:r>
            <w:r>
              <w:rPr>
                <w:rFonts w:eastAsia="Times New Roman"/>
                <w:color w:val="000000"/>
                <w:sz w:val="20"/>
                <w:szCs w:val="20"/>
              </w:rPr>
              <w:t>s website, www.ugicorp.com, or by writing to Director, Investor Relations, UGI Corporation, P. O. Box 858, Valley Forge, PA 19482.</w:t>
            </w:r>
          </w:p>
        </w:tc>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 </w:t>
            </w:r>
          </w:p>
        </w:tc>
      </w:tr>
      <w:tr w:rsidR="00000000">
        <w:trPr>
          <w:divId w:val="446118957"/>
          <w:trHeight w:val="60"/>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446118957"/>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Item 11.</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Executive Compensation</w:t>
            </w:r>
          </w:p>
        </w:tc>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Compensation of Directors; Report of the Compensation and Management Development Committee of the Board of Directors; Compensation Discussion and Analysis; Compensation of Executive Officers; Compensation Committee Interlocks and Insider Participation</w:t>
            </w:r>
          </w:p>
        </w:tc>
      </w:tr>
      <w:tr w:rsidR="00000000">
        <w:trPr>
          <w:divId w:val="446118957"/>
          <w:trHeight w:val="60"/>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446118957"/>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Item 12.</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Security Ownership of Certain Beneficial Owners and Management and Related Stockholder Matters</w:t>
            </w:r>
          </w:p>
        </w:tc>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Securities Ownership of Certain Beneficial Owners; Security Ownership of Directors and Executive Officers.</w:t>
            </w:r>
          </w:p>
        </w:tc>
      </w:tr>
      <w:tr w:rsidR="00000000">
        <w:trPr>
          <w:divId w:val="446118957"/>
          <w:trHeight w:val="60"/>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446118957"/>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Item 13.</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Certain Relationships and Related Transactions, and Director Independence</w:t>
            </w:r>
          </w:p>
        </w:tc>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Election of Directors - Director Independence and Board and Committee Structure; Policy for Approval of Related Person Transactions</w:t>
            </w:r>
          </w:p>
        </w:tc>
      </w:tr>
      <w:tr w:rsidR="00000000">
        <w:trPr>
          <w:divId w:val="446118957"/>
          <w:trHeight w:val="60"/>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446118957"/>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Item 14.</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Principal Accounting Fees and Services</w:t>
            </w:r>
          </w:p>
        </w:tc>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Our Independent Registered Public Accounting Firm</w:t>
            </w:r>
          </w:p>
        </w:tc>
      </w:tr>
    </w:tbl>
    <w:p w:rsidR="00000000" w:rsidRDefault="00DF5BC2">
      <w:pPr>
        <w:jc w:val="center"/>
        <w:divId w:val="693075237"/>
        <w:rPr>
          <w:rFonts w:eastAsia="Times New Roman"/>
        </w:rPr>
      </w:pPr>
      <w:r>
        <w:rPr>
          <w:rFonts w:eastAsia="Times New Roman"/>
          <w:color w:val="000000"/>
          <w:sz w:val="20"/>
          <w:szCs w:val="20"/>
        </w:rPr>
        <w:t>72</w:t>
      </w:r>
    </w:p>
    <w:p w:rsidR="00000000" w:rsidRDefault="00DF5BC2">
      <w:pPr>
        <w:rPr>
          <w:rFonts w:eastAsia="Times New Roman"/>
        </w:rPr>
      </w:pPr>
      <w:r>
        <w:rPr>
          <w:rFonts w:eastAsia="Times New Roman"/>
        </w:rPr>
        <w:pict>
          <v:rect id="_x0000_i1099" style="width:0;height:1.5pt" o:hralign="center" o:hrstd="t" o:hr="t" fillcolor="#a0a0a0" stroked="f"/>
        </w:pict>
      </w:r>
    </w:p>
    <w:p w:rsidR="00000000" w:rsidRDefault="00DF5BC2">
      <w:pPr>
        <w:divId w:val="1606769168"/>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divId w:val="1450971505"/>
        <w:rPr>
          <w:rFonts w:eastAsia="Times New Roman"/>
        </w:rPr>
      </w:pPr>
      <w:r>
        <w:rPr>
          <w:rFonts w:eastAsia="Times New Roman"/>
          <w:b/>
          <w:bCs/>
          <w:i/>
          <w:iCs/>
          <w:color w:val="000000"/>
          <w:sz w:val="20"/>
          <w:szCs w:val="20"/>
        </w:rPr>
        <w:t xml:space="preserve">Equity Compensation Table </w:t>
      </w:r>
    </w:p>
    <w:p w:rsidR="00000000" w:rsidRDefault="00DF5BC2">
      <w:pPr>
        <w:divId w:val="659310369"/>
        <w:rPr>
          <w:rFonts w:eastAsia="Times New Roman"/>
        </w:rPr>
      </w:pPr>
    </w:p>
    <w:p w:rsidR="00000000" w:rsidRDefault="00DF5BC2">
      <w:pPr>
        <w:divId w:val="1823891768"/>
        <w:rPr>
          <w:rFonts w:eastAsia="Times New Roman"/>
        </w:rPr>
      </w:pPr>
      <w:r>
        <w:rPr>
          <w:rFonts w:eastAsia="Times New Roman"/>
          <w:color w:val="000000"/>
          <w:sz w:val="20"/>
          <w:szCs w:val="20"/>
        </w:rPr>
        <w:t xml:space="preserve">The following table sets forth information as of the end of Fiscal 2021 with respect to compensation plans under which our equity securities are authorized for issuance. </w:t>
      </w:r>
    </w:p>
    <w:tbl>
      <w:tblPr>
        <w:tblW w:w="4985" w:type="pct"/>
        <w:tblCellMar>
          <w:top w:w="15" w:type="dxa"/>
          <w:left w:w="15" w:type="dxa"/>
          <w:bottom w:w="15" w:type="dxa"/>
          <w:right w:w="15" w:type="dxa"/>
        </w:tblCellMar>
        <w:tblLook w:val="04A0" w:firstRow="1" w:lastRow="0" w:firstColumn="1" w:lastColumn="0" w:noHBand="0" w:noVBand="1"/>
      </w:tblPr>
      <w:tblGrid>
        <w:gridCol w:w="58"/>
        <w:gridCol w:w="1646"/>
        <w:gridCol w:w="37"/>
        <w:gridCol w:w="36"/>
        <w:gridCol w:w="36"/>
        <w:gridCol w:w="36"/>
        <w:gridCol w:w="52"/>
        <w:gridCol w:w="1569"/>
        <w:gridCol w:w="36"/>
        <w:gridCol w:w="75"/>
        <w:gridCol w:w="192"/>
        <w:gridCol w:w="36"/>
        <w:gridCol w:w="121"/>
        <w:gridCol w:w="1426"/>
        <w:gridCol w:w="36"/>
        <w:gridCol w:w="70"/>
        <w:gridCol w:w="203"/>
        <w:gridCol w:w="36"/>
        <w:gridCol w:w="60"/>
        <w:gridCol w:w="2181"/>
        <w:gridCol w:w="36"/>
        <w:gridCol w:w="78"/>
        <w:gridCol w:w="189"/>
        <w:gridCol w:w="36"/>
      </w:tblGrid>
      <w:tr w:rsidR="00000000">
        <w:trPr>
          <w:divId w:val="1424376897"/>
        </w:trPr>
        <w:tc>
          <w:tcPr>
            <w:tcW w:w="50" w:type="pct"/>
            <w:vAlign w:val="center"/>
            <w:hideMark/>
          </w:tcPr>
          <w:p w:rsidR="00000000" w:rsidRDefault="00DF5BC2">
            <w:pPr>
              <w:rPr>
                <w:rFonts w:eastAsia="Times New Roman"/>
              </w:rPr>
            </w:pPr>
          </w:p>
        </w:tc>
        <w:tc>
          <w:tcPr>
            <w:tcW w:w="100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6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8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33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424376897"/>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Plan category</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Number of securities to be</w:t>
            </w:r>
            <w:r>
              <w:rPr>
                <w:rFonts w:eastAsia="Times New Roman"/>
                <w:b/>
                <w:bCs/>
                <w:color w:val="000000"/>
                <w:sz w:val="20"/>
                <w:szCs w:val="20"/>
              </w:rPr>
              <w:br/>
              <w:t>issued upon exercise of</w:t>
            </w:r>
            <w:r>
              <w:rPr>
                <w:rFonts w:eastAsia="Times New Roman"/>
                <w:b/>
                <w:bCs/>
                <w:color w:val="000000"/>
                <w:sz w:val="20"/>
                <w:szCs w:val="20"/>
              </w:rPr>
              <w:br/>
              <w:t>outstanding options,</w:t>
            </w:r>
            <w:r>
              <w:rPr>
                <w:rFonts w:eastAsia="Times New Roman"/>
                <w:b/>
                <w:bCs/>
                <w:color w:val="000000"/>
                <w:sz w:val="20"/>
                <w:szCs w:val="20"/>
              </w:rPr>
              <w:br/>
              <w:t>warrants and rights</w:t>
            </w:r>
            <w:r>
              <w:rPr>
                <w:rFonts w:eastAsia="Times New Roman"/>
                <w:b/>
                <w:bCs/>
                <w:color w:val="000000"/>
                <w:sz w:val="20"/>
                <w:szCs w:val="20"/>
              </w:rPr>
              <w:br/>
              <w:t>(a)</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Weighted average</w:t>
            </w:r>
            <w:r>
              <w:rPr>
                <w:rFonts w:eastAsia="Times New Roman"/>
                <w:b/>
                <w:bCs/>
                <w:color w:val="000000"/>
                <w:sz w:val="20"/>
                <w:szCs w:val="20"/>
              </w:rPr>
              <w:br/>
              <w:t>exercise price of</w:t>
            </w:r>
            <w:r>
              <w:rPr>
                <w:rFonts w:eastAsia="Times New Roman"/>
                <w:b/>
                <w:bCs/>
                <w:color w:val="000000"/>
                <w:sz w:val="20"/>
                <w:szCs w:val="20"/>
              </w:rPr>
              <w:br/>
              <w:t>outstanding options,</w:t>
            </w:r>
            <w:r>
              <w:rPr>
                <w:rFonts w:eastAsia="Times New Roman"/>
                <w:b/>
                <w:bCs/>
                <w:color w:val="000000"/>
                <w:sz w:val="20"/>
                <w:szCs w:val="20"/>
              </w:rPr>
              <w:br/>
              <w:t>warrants and rights</w:t>
            </w:r>
            <w:r>
              <w:rPr>
                <w:rFonts w:eastAsia="Times New Roman"/>
                <w:b/>
                <w:bCs/>
                <w:color w:val="000000"/>
                <w:sz w:val="20"/>
                <w:szCs w:val="20"/>
              </w:rPr>
              <w:br/>
              <w:t>(b)</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Number of securities</w:t>
            </w:r>
            <w:r>
              <w:rPr>
                <w:rFonts w:eastAsia="Times New Roman"/>
                <w:b/>
                <w:bCs/>
                <w:color w:val="000000"/>
                <w:sz w:val="20"/>
                <w:szCs w:val="20"/>
              </w:rPr>
              <w:br/>
              <w:t>remaining available for future</w:t>
            </w:r>
            <w:r>
              <w:rPr>
                <w:rFonts w:eastAsia="Times New Roman"/>
                <w:b/>
                <w:bCs/>
                <w:color w:val="000000"/>
                <w:sz w:val="20"/>
                <w:szCs w:val="20"/>
              </w:rPr>
              <w:br/>
              <w:t>issuance under e</w:t>
            </w:r>
            <w:r>
              <w:rPr>
                <w:rFonts w:eastAsia="Times New Roman"/>
                <w:b/>
                <w:bCs/>
                <w:color w:val="000000"/>
                <w:sz w:val="20"/>
                <w:szCs w:val="20"/>
              </w:rPr>
              <w:t>quity</w:t>
            </w:r>
            <w:r>
              <w:rPr>
                <w:rFonts w:eastAsia="Times New Roman"/>
                <w:b/>
                <w:bCs/>
                <w:color w:val="000000"/>
                <w:sz w:val="20"/>
                <w:szCs w:val="20"/>
              </w:rPr>
              <w:br/>
              <w:t>compensation plans</w:t>
            </w:r>
            <w:r>
              <w:rPr>
                <w:rFonts w:eastAsia="Times New Roman"/>
                <w:b/>
                <w:bCs/>
                <w:color w:val="000000"/>
                <w:sz w:val="20"/>
                <w:szCs w:val="20"/>
              </w:rPr>
              <w:br/>
              <w:t>(excluding securities reflected</w:t>
            </w:r>
            <w:r>
              <w:rPr>
                <w:rFonts w:eastAsia="Times New Roman"/>
                <w:b/>
                <w:bCs/>
                <w:color w:val="000000"/>
                <w:sz w:val="20"/>
                <w:szCs w:val="20"/>
              </w:rPr>
              <w:br/>
              <w:t>in column (a)) (c)</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r>
      <w:tr w:rsidR="00000000">
        <w:trPr>
          <w:divId w:val="142437689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divId w:val="1147673601"/>
              <w:rPr>
                <w:rFonts w:eastAsia="Times New Roman"/>
              </w:rPr>
            </w:pPr>
            <w:r>
              <w:rPr>
                <w:rFonts w:eastAsia="Times New Roman"/>
                <w:color w:val="000000"/>
                <w:sz w:val="20"/>
                <w:szCs w:val="20"/>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10,204,836 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20,037,430 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(2)</w:t>
            </w:r>
          </w:p>
        </w:tc>
      </w:tr>
      <w:tr w:rsidR="00000000">
        <w:trPr>
          <w:divId w:val="1424376897"/>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1,124,369 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r>
      <w:tr w:rsidR="00000000">
        <w:trPr>
          <w:divId w:val="1424376897"/>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426464935"/>
              <w:rPr>
                <w:rFonts w:eastAsia="Times New Roman"/>
              </w:rPr>
            </w:pPr>
            <w:r>
              <w:rPr>
                <w:rFonts w:eastAsia="Times New Roman"/>
                <w:color w:val="000000"/>
                <w:sz w:val="20"/>
                <w:szCs w:val="20"/>
              </w:rPr>
              <w:t>Equity compensation plans not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424376897"/>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ind w:hanging="180"/>
              <w:divId w:val="105057171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ind w:hanging="18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11,329,205 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divId w:val="164787577"/>
        <w:rPr>
          <w:rFonts w:eastAsia="Times New Roman"/>
        </w:rPr>
      </w:pPr>
    </w:p>
    <w:p w:rsidR="00000000" w:rsidRDefault="00DF5BC2">
      <w:pPr>
        <w:ind w:hanging="360"/>
        <w:jc w:val="both"/>
        <w:rPr>
          <w:rFonts w:eastAsia="Times New Roman"/>
        </w:rPr>
      </w:pPr>
      <w:r>
        <w:rPr>
          <w:rFonts w:eastAsia="Times New Roman"/>
          <w:color w:val="000000"/>
          <w:sz w:val="20"/>
          <w:szCs w:val="20"/>
        </w:rPr>
        <w:t>(1)Represents 10,204,836 stock options under the UGI Corporation 2021 Incentive Award Plan, which supersedes and replaces the UGI Corporation 2013 Omnibus Incentive Compensation Plan. The UGI Corporation 2021 Incentive Award Plan was approved by sha</w:t>
      </w:r>
      <w:r>
        <w:rPr>
          <w:rFonts w:eastAsia="Times New Roman"/>
          <w:color w:val="000000"/>
          <w:sz w:val="20"/>
          <w:szCs w:val="20"/>
        </w:rPr>
        <w:t>reholders on January 29, 2021.</w:t>
      </w:r>
    </w:p>
    <w:p w:rsidR="00000000" w:rsidRDefault="00DF5BC2">
      <w:pPr>
        <w:ind w:hanging="360"/>
        <w:jc w:val="both"/>
        <w:divId w:val="1330984325"/>
        <w:rPr>
          <w:rFonts w:eastAsia="Times New Roman"/>
        </w:rPr>
      </w:pPr>
      <w:r>
        <w:rPr>
          <w:rFonts w:eastAsia="Times New Roman"/>
          <w:color w:val="000000"/>
          <w:sz w:val="20"/>
          <w:szCs w:val="20"/>
        </w:rPr>
        <w:t xml:space="preserve">(2)Represents securities remaining for issuance under the UGI Corporation 2021 Incentive Award Plan. </w:t>
      </w:r>
    </w:p>
    <w:p w:rsidR="00000000" w:rsidRDefault="00DF5BC2">
      <w:pPr>
        <w:ind w:hanging="360"/>
        <w:jc w:val="both"/>
        <w:divId w:val="1429424824"/>
        <w:rPr>
          <w:rFonts w:eastAsia="Times New Roman"/>
        </w:rPr>
      </w:pPr>
      <w:r>
        <w:rPr>
          <w:rFonts w:eastAsia="Times New Roman"/>
          <w:color w:val="000000"/>
          <w:sz w:val="20"/>
          <w:szCs w:val="20"/>
        </w:rPr>
        <w:t xml:space="preserve">(3)Represents 1,124,369 restricted stock units under the UGI Corporation 2021 Incentive Award Plan. </w:t>
      </w:r>
    </w:p>
    <w:p w:rsidR="00000000" w:rsidRDefault="00DF5BC2">
      <w:pPr>
        <w:ind w:hanging="360"/>
        <w:jc w:val="both"/>
        <w:divId w:val="45879645"/>
        <w:rPr>
          <w:rFonts w:eastAsia="Times New Roman"/>
        </w:rPr>
      </w:pPr>
      <w:r>
        <w:rPr>
          <w:rFonts w:eastAsia="Times New Roman"/>
          <w:color w:val="000000"/>
          <w:sz w:val="20"/>
          <w:szCs w:val="20"/>
        </w:rPr>
        <w:t>(4)</w:t>
      </w:r>
      <w:r>
        <w:rPr>
          <w:rFonts w:eastAsia="Times New Roman"/>
          <w:color w:val="000000"/>
          <w:sz w:val="20"/>
          <w:szCs w:val="20"/>
        </w:rPr>
        <w:t>Weighted-average exercise price of outstanding options; excludes restricted stock units.</w:t>
      </w:r>
    </w:p>
    <w:p w:rsidR="00000000" w:rsidRDefault="00DF5BC2">
      <w:pPr>
        <w:jc w:val="both"/>
        <w:divId w:val="708647401"/>
        <w:rPr>
          <w:rFonts w:eastAsia="Times New Roman"/>
        </w:rPr>
      </w:pPr>
      <w:r>
        <w:rPr>
          <w:rFonts w:eastAsia="Times New Roman"/>
          <w:color w:val="000000"/>
          <w:sz w:val="20"/>
          <w:szCs w:val="20"/>
        </w:rPr>
        <w:t>The information concerning the Company’s executive officers required by Item 10 is set forth below.</w:t>
      </w:r>
    </w:p>
    <w:p w:rsidR="00000000" w:rsidRDefault="00DF5BC2">
      <w:pPr>
        <w:jc w:val="center"/>
        <w:divId w:val="65764940"/>
        <w:rPr>
          <w:rFonts w:eastAsia="Times New Roman"/>
        </w:rPr>
      </w:pPr>
      <w:r>
        <w:rPr>
          <w:rFonts w:eastAsia="Times New Roman"/>
          <w:b/>
          <w:bCs/>
          <w:color w:val="000000"/>
          <w:sz w:val="20"/>
          <w:szCs w:val="20"/>
        </w:rPr>
        <w:t>EXECUTIVE OFFICERS</w:t>
      </w:r>
    </w:p>
    <w:tbl>
      <w:tblPr>
        <w:tblW w:w="4904" w:type="pct"/>
        <w:jc w:val="center"/>
        <w:tblCellMar>
          <w:top w:w="15" w:type="dxa"/>
          <w:left w:w="15" w:type="dxa"/>
          <w:bottom w:w="15" w:type="dxa"/>
          <w:right w:w="15" w:type="dxa"/>
        </w:tblCellMar>
        <w:tblLook w:val="04A0" w:firstRow="1" w:lastRow="0" w:firstColumn="1" w:lastColumn="0" w:noHBand="0" w:noVBand="1"/>
      </w:tblPr>
      <w:tblGrid>
        <w:gridCol w:w="53"/>
        <w:gridCol w:w="1813"/>
        <w:gridCol w:w="37"/>
        <w:gridCol w:w="36"/>
        <w:gridCol w:w="36"/>
        <w:gridCol w:w="36"/>
        <w:gridCol w:w="82"/>
        <w:gridCol w:w="284"/>
        <w:gridCol w:w="36"/>
        <w:gridCol w:w="36"/>
        <w:gridCol w:w="36"/>
        <w:gridCol w:w="36"/>
        <w:gridCol w:w="39"/>
        <w:gridCol w:w="5550"/>
        <w:gridCol w:w="37"/>
      </w:tblGrid>
      <w:tr w:rsidR="00000000">
        <w:trPr>
          <w:jc w:val="center"/>
        </w:trPr>
        <w:tc>
          <w:tcPr>
            <w:tcW w:w="50" w:type="pct"/>
            <w:vAlign w:val="center"/>
            <w:hideMark/>
          </w:tcPr>
          <w:p w:rsidR="00000000" w:rsidRDefault="00DF5BC2">
            <w:pPr>
              <w:jc w:val="center"/>
              <w:rPr>
                <w:rFonts w:eastAsia="Times New Roman"/>
              </w:rPr>
            </w:pPr>
          </w:p>
        </w:tc>
        <w:tc>
          <w:tcPr>
            <w:tcW w:w="11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7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45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Name</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b/>
                <w:bCs/>
                <w:color w:val="000000"/>
                <w:sz w:val="20"/>
                <w:szCs w:val="20"/>
              </w:rPr>
              <w:t>Age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Position</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Roger Perreault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F5BC2">
            <w:pPr>
              <w:spacing w:after="100"/>
              <w:jc w:val="center"/>
              <w:rPr>
                <w:rFonts w:eastAsia="Times New Roman"/>
              </w:rPr>
            </w:pPr>
            <w:r>
              <w:rPr>
                <w:rFonts w:eastAsia="Times New Roman"/>
                <w:color w:val="000000"/>
                <w:sz w:val="20"/>
                <w:szCs w:val="20"/>
              </w:rPr>
              <w:t>57</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President and Chief Executive Officer; Executive Vice President, Global LPG</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Ted J. Jastrzebski</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F5BC2">
            <w:pPr>
              <w:spacing w:after="100"/>
              <w:jc w:val="center"/>
              <w:rPr>
                <w:rFonts w:eastAsia="Times New Roman"/>
              </w:rPr>
            </w:pPr>
            <w:r>
              <w:rPr>
                <w:rFonts w:eastAsia="Times New Roman"/>
                <w:color w:val="000000"/>
                <w:sz w:val="20"/>
                <w:szCs w:val="20"/>
              </w:rPr>
              <w:t>60</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Chief Financial Officer</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Robert F. Beard, Jr.</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jc w:val="center"/>
              <w:rPr>
                <w:rFonts w:eastAsia="Times New Roman"/>
              </w:rPr>
            </w:pPr>
            <w:r>
              <w:rPr>
                <w:rFonts w:eastAsia="Times New Roman"/>
                <w:color w:val="000000"/>
                <w:sz w:val="20"/>
                <w:szCs w:val="20"/>
              </w:rPr>
              <w:t>56</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Executive Vice President, Natural Gas, Global Engineering &amp; Construction and Procurement; Chief Executive Officer, UGI Utilities, Inc.</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Monica M. Gaudiosi</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F5BC2">
            <w:pPr>
              <w:spacing w:after="100"/>
              <w:jc w:val="center"/>
              <w:rPr>
                <w:rFonts w:eastAsia="Times New Roman"/>
              </w:rPr>
            </w:pPr>
            <w:r>
              <w:rPr>
                <w:rFonts w:eastAsia="Times New Roman"/>
                <w:color w:val="000000"/>
                <w:sz w:val="20"/>
                <w:szCs w:val="20"/>
              </w:rPr>
              <w:t>58</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Vice President, General Counsel and Secretary</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John Koerwer</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jc w:val="center"/>
              <w:rPr>
                <w:rFonts w:eastAsia="Times New Roman"/>
              </w:rPr>
            </w:pPr>
            <w:r>
              <w:rPr>
                <w:rFonts w:eastAsia="Times New Roman"/>
                <w:color w:val="000000"/>
                <w:sz w:val="20"/>
                <w:szCs w:val="20"/>
              </w:rPr>
              <w:t>61</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Chief Information Officer</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Jean Felix Tematio Dontsop</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F5BC2">
            <w:pPr>
              <w:spacing w:after="100"/>
              <w:jc w:val="center"/>
              <w:rPr>
                <w:rFonts w:eastAsia="Times New Roman"/>
              </w:rPr>
            </w:pPr>
            <w:r>
              <w:rPr>
                <w:rFonts w:eastAsia="Times New Roman"/>
                <w:color w:val="000000"/>
                <w:sz w:val="20"/>
                <w:szCs w:val="20"/>
              </w:rPr>
              <w:t>45</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Vice President - Chief Accounting Officer and Corporate Controller</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Judy A. Zagorski</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jc w:val="center"/>
              <w:rPr>
                <w:rFonts w:eastAsia="Times New Roman"/>
              </w:rPr>
            </w:pPr>
            <w:r>
              <w:rPr>
                <w:rFonts w:eastAsia="Times New Roman"/>
                <w:color w:val="000000"/>
                <w:sz w:val="20"/>
                <w:szCs w:val="20"/>
              </w:rPr>
              <w:t>58</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20"/>
                <w:szCs w:val="20"/>
              </w:rPr>
              <w:t>Vice President - Chief Human Resources Officer</w:t>
            </w:r>
          </w:p>
        </w:tc>
      </w:tr>
    </w:tbl>
    <w:p w:rsidR="00000000" w:rsidRDefault="00DF5BC2">
      <w:pPr>
        <w:divId w:val="2067803245"/>
        <w:rPr>
          <w:rFonts w:eastAsia="Times New Roman"/>
        </w:rPr>
      </w:pPr>
    </w:p>
    <w:p w:rsidR="00000000" w:rsidRDefault="00DF5BC2">
      <w:pPr>
        <w:divId w:val="1859587615"/>
        <w:rPr>
          <w:rFonts w:eastAsia="Times New Roman"/>
        </w:rPr>
      </w:pPr>
      <w:r>
        <w:rPr>
          <w:rFonts w:eastAsia="Times New Roman"/>
          <w:color w:val="000000"/>
          <w:sz w:val="20"/>
          <w:szCs w:val="20"/>
        </w:rPr>
        <w:t xml:space="preserve">All officers are elected for a one-year term at the organizational meeting of the Board of Directors held each year. </w:t>
      </w:r>
    </w:p>
    <w:p w:rsidR="00000000" w:rsidRDefault="00DF5BC2">
      <w:pPr>
        <w:divId w:val="1272200276"/>
        <w:rPr>
          <w:rFonts w:eastAsia="Times New Roman"/>
        </w:rPr>
      </w:pPr>
    </w:p>
    <w:p w:rsidR="00000000" w:rsidRDefault="00DF5BC2">
      <w:pPr>
        <w:divId w:val="2021538953"/>
        <w:rPr>
          <w:rFonts w:eastAsia="Times New Roman"/>
        </w:rPr>
      </w:pPr>
      <w:r>
        <w:rPr>
          <w:rFonts w:eastAsia="Times New Roman"/>
          <w:color w:val="000000"/>
          <w:sz w:val="20"/>
          <w:szCs w:val="20"/>
        </w:rPr>
        <w:t>There are no family relationships between any of the officers or between any of the officers and any of the directors.</w:t>
      </w:r>
    </w:p>
    <w:p w:rsidR="00000000" w:rsidRDefault="00DF5BC2">
      <w:pPr>
        <w:divId w:val="1630237992"/>
        <w:rPr>
          <w:rFonts w:eastAsia="Times New Roman"/>
        </w:rPr>
      </w:pPr>
    </w:p>
    <w:p w:rsidR="00000000" w:rsidRDefault="00DF5BC2">
      <w:pPr>
        <w:jc w:val="both"/>
        <w:rPr>
          <w:rFonts w:eastAsia="Times New Roman"/>
        </w:rPr>
      </w:pPr>
      <w:r>
        <w:rPr>
          <w:rFonts w:eastAsia="Times New Roman"/>
          <w:color w:val="000000"/>
          <w:sz w:val="20"/>
          <w:szCs w:val="20"/>
          <w:u w:val="single"/>
        </w:rPr>
        <w:t>Roger Perreault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Mr. Perreault is a Director, President and Chief Executive Officer (since June 2021) and Executive Vice President, Global LPG (since 2018) of UGI Corporation. Mr. Perreault previously served as President - UGI International, LLC (from 2015 to 2021). Pri</w:t>
      </w:r>
      <w:r>
        <w:rPr>
          <w:rFonts w:eastAsia="Times New Roman"/>
          <w:color w:val="000000"/>
          <w:sz w:val="20"/>
          <w:szCs w:val="20"/>
        </w:rPr>
        <w:t xml:space="preserve">or to joining UGI Corporation, Mr. Perreault held various positions at Air Liquide, an industrial gases company he joined in 1994, and served in various leadership positions from 2008 to 2014, including in a global role as President, Large Industries with </w:t>
      </w:r>
      <w:r>
        <w:rPr>
          <w:rFonts w:eastAsia="Times New Roman"/>
          <w:color w:val="000000"/>
          <w:sz w:val="20"/>
          <w:szCs w:val="20"/>
        </w:rPr>
        <w:t>international responsibilities and, prior to that, in a role with responsibility for Air Liquide’s North American large industries business. Prior to joining Air Liquide, Mr. Perreault was a chemical engineer and operations manager with I.C.I. in Quebec, C</w:t>
      </w:r>
      <w:r>
        <w:rPr>
          <w:rFonts w:eastAsia="Times New Roman"/>
          <w:color w:val="000000"/>
          <w:sz w:val="20"/>
          <w:szCs w:val="20"/>
        </w:rPr>
        <w:t xml:space="preserve">anada. </w:t>
      </w:r>
    </w:p>
    <w:p w:rsidR="00000000" w:rsidRDefault="00DF5BC2">
      <w:pPr>
        <w:jc w:val="center"/>
        <w:divId w:val="774178263"/>
        <w:rPr>
          <w:rFonts w:eastAsia="Times New Roman"/>
        </w:rPr>
      </w:pPr>
      <w:r>
        <w:rPr>
          <w:rFonts w:eastAsia="Times New Roman"/>
          <w:color w:val="000000"/>
          <w:sz w:val="20"/>
          <w:szCs w:val="20"/>
        </w:rPr>
        <w:t>73</w:t>
      </w:r>
    </w:p>
    <w:p w:rsidR="00000000" w:rsidRDefault="00DF5BC2">
      <w:pPr>
        <w:rPr>
          <w:rFonts w:eastAsia="Times New Roman"/>
        </w:rPr>
      </w:pPr>
      <w:r>
        <w:rPr>
          <w:rFonts w:eastAsia="Times New Roman"/>
        </w:rPr>
        <w:pict>
          <v:rect id="_x0000_i1100" style="width:0;height:1.5pt" o:hralign="center" o:hrstd="t" o:hr="t" fillcolor="#a0a0a0" stroked="f"/>
        </w:pict>
      </w:r>
    </w:p>
    <w:p w:rsidR="00000000" w:rsidRDefault="00DF5BC2">
      <w:pPr>
        <w:divId w:val="1927226436"/>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Ted J. Jastrzebski</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Mr. Jastrzebski is Chief Financial Officer of UGI Corporation (since 2018). Mr. Jastrzebski previously served as Principal Financial Officer of AmeriGas Propane, Inc. (2018 to 2019). From 2013 until 2018, Mr. Jastrzebski served as Executive Vice President </w:t>
      </w:r>
      <w:r>
        <w:rPr>
          <w:rFonts w:eastAsia="Times New Roman"/>
          <w:color w:val="000000"/>
          <w:sz w:val="20"/>
          <w:szCs w:val="20"/>
        </w:rPr>
        <w:t>and Chief Financial Officer of Qurate Retail Group, which is comprised of QVC, HSN, Cornerstone Brands, and Zulily. Previously, Mr. Jastrzebski held various positions at The Hershey Company, including Senior Vice President and President, Hershey Americas (</w:t>
      </w:r>
      <w:r>
        <w:rPr>
          <w:rFonts w:eastAsia="Times New Roman"/>
          <w:color w:val="000000"/>
          <w:sz w:val="20"/>
          <w:szCs w:val="20"/>
        </w:rPr>
        <w:t>2011 to 2013), Senior Vice President and President, Hershey International (2007 to 2010) and Vice President, Finance, Hershey International (2004 to 2007). Mr. Jastrzebski also served as Senior Vice President, Finance, IT and Administration and Chief Finan</w:t>
      </w:r>
      <w:r>
        <w:rPr>
          <w:rFonts w:eastAsia="Times New Roman"/>
          <w:color w:val="000000"/>
          <w:sz w:val="20"/>
          <w:szCs w:val="20"/>
        </w:rPr>
        <w:t>cial Officer of CARE (2002 to 2004) and as Vice President and Chief Financial Officer of Project Hope (1999 to 2002).</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Robert F. Beard, Jr.</w:t>
      </w:r>
      <w:r>
        <w:rPr>
          <w:rFonts w:eastAsia="Times New Roman"/>
          <w:color w:val="000000"/>
          <w:sz w:val="20"/>
          <w:szCs w:val="20"/>
        </w:rPr>
        <w:t xml:space="preserv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Mr. Beard is Executive Vice President, Natural Gas, Global Engineering &amp; Construction and Procurement of UGI Cor</w:t>
      </w:r>
      <w:r>
        <w:rPr>
          <w:rFonts w:eastAsia="Times New Roman"/>
          <w:color w:val="000000"/>
          <w:sz w:val="20"/>
          <w:szCs w:val="20"/>
        </w:rPr>
        <w:t xml:space="preserve">poration (since 2021) and Chief Executive Officer of UGI Utilities, Inc. (since 2011). He held the title of Executive Vice President, Natural Gas of UGI Corporation (2018 to 2021) and previously served as President (2011 to September 2020), Vice President </w:t>
      </w:r>
      <w:r>
        <w:rPr>
          <w:rFonts w:eastAsia="Times New Roman"/>
          <w:color w:val="000000"/>
          <w:sz w:val="20"/>
          <w:szCs w:val="20"/>
        </w:rPr>
        <w:t>- Marketing, Rates and Gas Supply (2010 to 2011) and Vice President - Southern Region (2008 to 2010) of UGI Utilities, Inc. From 2006 until 2008, Mr. Beard served as Vice President - Operations and Engineering of PPL Gas Utilities Corporation and, from 200</w:t>
      </w:r>
      <w:r>
        <w:rPr>
          <w:rFonts w:eastAsia="Times New Roman"/>
          <w:color w:val="000000"/>
          <w:sz w:val="20"/>
          <w:szCs w:val="20"/>
        </w:rPr>
        <w:t xml:space="preserve">2 until 2006, he served as Director - Operations and Engineering of PPL Gas Utilities Corporation.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Monica M. Gaudiosi</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Ms. Gaudiosi is the Vice President, General Counsel and Secretary of UGI Corporation and UGI Utilities, Inc. (since 2012). She is als</w:t>
      </w:r>
      <w:r>
        <w:rPr>
          <w:rFonts w:eastAsia="Times New Roman"/>
          <w:color w:val="000000"/>
          <w:sz w:val="20"/>
          <w:szCs w:val="20"/>
        </w:rPr>
        <w:t>o Vice President (since 2012), General Counsel (since 2015) and Secretary (since 2012) of AmeriGas Propane, Inc. Prior to joining UGI Corporation, Ms. Gaudiosi served as Senior Vice President and General Counsel (2007 to 2012) and Senior Vice President and</w:t>
      </w:r>
      <w:r>
        <w:rPr>
          <w:rFonts w:eastAsia="Times New Roman"/>
          <w:color w:val="000000"/>
          <w:sz w:val="20"/>
          <w:szCs w:val="20"/>
        </w:rPr>
        <w:t xml:space="preserve"> Associate General Counsel (2005 to 2007) of Southern Union Company. Prior to joining Southern Union Company in 2005, Ms. Gaudiosi held various positions with General Electric Capital Corporation (1997 to 2005). Before joining General Electric Capital Corp</w:t>
      </w:r>
      <w:r>
        <w:rPr>
          <w:rFonts w:eastAsia="Times New Roman"/>
          <w:color w:val="000000"/>
          <w:sz w:val="20"/>
          <w:szCs w:val="20"/>
        </w:rPr>
        <w:t>oration, Ms. Gaudiosi was an associate at the law firms of Hunton &amp; Williams (1994 to 1997) and Sutherland, Asbill &amp; Brennan (1988 to 1994).</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John Koerwer</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Mr. Koerwer is the Chief Information Officer of UGI Corporation (since 2020). Mr. Koerwer joined U</w:t>
      </w:r>
      <w:r>
        <w:rPr>
          <w:rFonts w:eastAsia="Times New Roman"/>
          <w:color w:val="000000"/>
          <w:sz w:val="20"/>
          <w:szCs w:val="20"/>
        </w:rPr>
        <w:t>GI as Vice President, Information Technology, for UGI International in 2016 and later was named Group CIO for UGI Corporation, responsible for the global IT strategy, operations, products and services to support both the domestic and international business</w:t>
      </w:r>
      <w:r>
        <w:rPr>
          <w:rFonts w:eastAsia="Times New Roman"/>
          <w:color w:val="000000"/>
          <w:sz w:val="20"/>
          <w:szCs w:val="20"/>
        </w:rPr>
        <w:t xml:space="preserve">es units. Previously, Mr. Koerwer served in multiple IT/IS leadership roles for The Linde Group, a multi-national industrial gas company based in Munich, Germany.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Jean Felix Tematio Dontsop</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Mr. Tematio Dontsop is the Vice President, Chief Accounting O</w:t>
      </w:r>
      <w:r>
        <w:rPr>
          <w:rFonts w:eastAsia="Times New Roman"/>
          <w:color w:val="000000"/>
          <w:sz w:val="20"/>
          <w:szCs w:val="20"/>
        </w:rPr>
        <w:t>fficer and Controller of UGI Corporation (since July 2021). Mr. Tematio Dontsop most recently served as Vice President of Internal Audit for West Pharmaceuticals Services, Inc. in Exton, Pennsylvania (July 2020 to June 2021). Previously, he held several ro</w:t>
      </w:r>
      <w:r>
        <w:rPr>
          <w:rFonts w:eastAsia="Times New Roman"/>
          <w:color w:val="000000"/>
          <w:sz w:val="20"/>
          <w:szCs w:val="20"/>
        </w:rPr>
        <w:t>les of increasing responsibility over fifteen years with PricewaterhouseCoopers, based in Philadelphia, Pennsylvania and Paris, France, including Audit Director (2019 to 2020) and Audit Senior Manager (2011 to 2019). A native of Cameroon, Mr. Tematio Donts</w:t>
      </w:r>
      <w:r>
        <w:rPr>
          <w:rFonts w:eastAsia="Times New Roman"/>
          <w:color w:val="000000"/>
          <w:sz w:val="20"/>
          <w:szCs w:val="20"/>
        </w:rPr>
        <w:t xml:space="preserve">op also worked earlier in his career as an auditor for KPMG, based in Paris.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Judy A. Zagorski</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Ms. Zagorski is the Vice President, Chief Human Resources Officer of UGI Corporation (since 2020). Previously, Ms. Zagorski served as Executive Vice Presiden</w:t>
      </w:r>
      <w:r>
        <w:rPr>
          <w:rFonts w:eastAsia="Times New Roman"/>
          <w:color w:val="000000"/>
          <w:sz w:val="20"/>
          <w:szCs w:val="20"/>
        </w:rPr>
        <w:t xml:space="preserve">t, Global Human Resources &amp; CHRO at Church &amp; Dwight, a major manufacturer of household products headquartered in Ewing, New Jersey (2017 to 2020). Prior to joining Church &amp; Dwight, Ms. Zagorski held the positions of Senior Vice President - Human Resources </w:t>
      </w:r>
      <w:r>
        <w:rPr>
          <w:rFonts w:eastAsia="Times New Roman"/>
          <w:color w:val="000000"/>
          <w:sz w:val="20"/>
          <w:szCs w:val="20"/>
        </w:rPr>
        <w:t xml:space="preserve">and Vice President - Human Resources, Development and Strategy at BASF (2011 to 2017). </w:t>
      </w:r>
    </w:p>
    <w:p w:rsidR="00000000" w:rsidRDefault="00DF5BC2">
      <w:pPr>
        <w:divId w:val="2068914326"/>
        <w:rPr>
          <w:rFonts w:eastAsia="Times New Roman"/>
        </w:rPr>
      </w:pPr>
    </w:p>
    <w:p w:rsidR="00000000" w:rsidRDefault="00DF5BC2">
      <w:pPr>
        <w:jc w:val="both"/>
        <w:rPr>
          <w:rFonts w:eastAsia="Times New Roman"/>
        </w:rPr>
      </w:pPr>
    </w:p>
    <w:p w:rsidR="00000000" w:rsidRDefault="00DF5BC2">
      <w:pPr>
        <w:jc w:val="center"/>
        <w:divId w:val="499393848"/>
        <w:rPr>
          <w:rFonts w:eastAsia="Times New Roman"/>
        </w:rPr>
      </w:pPr>
      <w:r>
        <w:rPr>
          <w:rFonts w:eastAsia="Times New Roman"/>
          <w:color w:val="000000"/>
          <w:sz w:val="20"/>
          <w:szCs w:val="20"/>
        </w:rPr>
        <w:t>74</w:t>
      </w:r>
    </w:p>
    <w:p w:rsidR="00000000" w:rsidRDefault="00DF5BC2">
      <w:pPr>
        <w:rPr>
          <w:rFonts w:eastAsia="Times New Roman"/>
        </w:rPr>
      </w:pPr>
      <w:r>
        <w:rPr>
          <w:rFonts w:eastAsia="Times New Roman"/>
        </w:rPr>
        <w:pict>
          <v:rect id="_x0000_i1101" style="width:0;height:1.5pt" o:hralign="center" o:hrstd="t" o:hr="t" fillcolor="#a0a0a0" stroked="f"/>
        </w:pict>
      </w:r>
    </w:p>
    <w:p w:rsidR="00000000" w:rsidRDefault="00DF5BC2">
      <w:pPr>
        <w:divId w:val="178287376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PART IV:</w:t>
      </w:r>
    </w:p>
    <w:p w:rsidR="00000000" w:rsidRDefault="00DF5BC2">
      <w:pPr>
        <w:jc w:val="both"/>
        <w:rPr>
          <w:rFonts w:eastAsia="Times New Roman"/>
        </w:rPr>
      </w:pPr>
    </w:p>
    <w:p w:rsidR="00000000" w:rsidRDefault="00DF5BC2">
      <w:pPr>
        <w:ind w:hanging="900"/>
        <w:divId w:val="1677608521"/>
        <w:rPr>
          <w:rFonts w:eastAsia="Times New Roman"/>
        </w:rPr>
      </w:pPr>
      <w:r>
        <w:rPr>
          <w:rFonts w:eastAsia="Times New Roman"/>
          <w:b/>
          <w:bCs/>
          <w:color w:val="000000"/>
          <w:sz w:val="20"/>
          <w:szCs w:val="20"/>
        </w:rPr>
        <w:t>ITEM 15.</w:t>
      </w:r>
      <w:r>
        <w:rPr>
          <w:rFonts w:eastAsia="Times New Roman"/>
          <w:b/>
          <w:bCs/>
          <w:color w:val="000000"/>
          <w:sz w:val="20"/>
          <w:szCs w:val="20"/>
        </w:rPr>
        <w:t>EXHIBITS AND FINANCIAL STATEMENT SCHEDULES</w:t>
      </w:r>
    </w:p>
    <w:p w:rsidR="00000000" w:rsidRDefault="00DF5BC2">
      <w:pPr>
        <w:ind w:hanging="360"/>
        <w:jc w:val="both"/>
        <w:rPr>
          <w:rFonts w:eastAsia="Times New Roman"/>
        </w:rPr>
      </w:pPr>
      <w:r>
        <w:rPr>
          <w:rFonts w:eastAsia="Times New Roman"/>
          <w:b/>
          <w:bCs/>
          <w:color w:val="000000"/>
          <w:sz w:val="20"/>
          <w:szCs w:val="20"/>
        </w:rPr>
        <w:t>(a)Documents filed as part of this report:</w:t>
      </w:r>
    </w:p>
    <w:p w:rsidR="00000000" w:rsidRDefault="00DF5BC2">
      <w:pPr>
        <w:jc w:val="both"/>
        <w:rPr>
          <w:rFonts w:eastAsia="Times New Roman"/>
        </w:rPr>
      </w:pPr>
    </w:p>
    <w:p w:rsidR="00000000" w:rsidRDefault="00DF5BC2">
      <w:pPr>
        <w:ind w:hanging="540"/>
        <w:jc w:val="both"/>
        <w:rPr>
          <w:rFonts w:eastAsia="Times New Roman"/>
        </w:rPr>
      </w:pPr>
      <w:r>
        <w:rPr>
          <w:rFonts w:eastAsia="Times New Roman"/>
          <w:b/>
          <w:bCs/>
          <w:color w:val="000000"/>
          <w:sz w:val="20"/>
          <w:szCs w:val="20"/>
        </w:rPr>
        <w:t>(1)Financial Statements:</w:t>
      </w:r>
    </w:p>
    <w:p w:rsidR="00000000" w:rsidRDefault="00DF5BC2">
      <w:pPr>
        <w:ind w:firstLine="1260"/>
        <w:divId w:val="1774280313"/>
        <w:rPr>
          <w:rFonts w:eastAsia="Times New Roman"/>
        </w:rPr>
      </w:pPr>
      <w:r>
        <w:rPr>
          <w:rFonts w:eastAsia="Times New Roman"/>
          <w:color w:val="000000"/>
          <w:sz w:val="20"/>
          <w:szCs w:val="20"/>
        </w:rPr>
        <w:t>Included under Item 8 are the following financial statements and supplementary data:</w:t>
      </w:r>
    </w:p>
    <w:p w:rsidR="00000000" w:rsidRDefault="00DF5BC2">
      <w:pPr>
        <w:ind w:firstLine="1440"/>
        <w:divId w:val="1679968594"/>
        <w:rPr>
          <w:rFonts w:eastAsia="Times New Roman"/>
        </w:rPr>
      </w:pPr>
      <w:r>
        <w:rPr>
          <w:rFonts w:eastAsia="Times New Roman"/>
          <w:color w:val="000000"/>
          <w:sz w:val="20"/>
          <w:szCs w:val="20"/>
        </w:rPr>
        <w:t>Management’s Annual Report on Consolidated Financial State</w:t>
      </w:r>
      <w:r>
        <w:rPr>
          <w:rFonts w:eastAsia="Times New Roman"/>
          <w:color w:val="000000"/>
          <w:sz w:val="20"/>
          <w:szCs w:val="20"/>
        </w:rPr>
        <w:t>ments and Schedules</w:t>
      </w:r>
    </w:p>
    <w:p w:rsidR="00000000" w:rsidRDefault="00DF5BC2">
      <w:pPr>
        <w:divId w:val="2055887879"/>
        <w:rPr>
          <w:rFonts w:eastAsia="Times New Roman"/>
        </w:rPr>
      </w:pPr>
      <w:r>
        <w:rPr>
          <w:rFonts w:eastAsia="Times New Roman"/>
          <w:color w:val="000000"/>
          <w:sz w:val="20"/>
          <w:szCs w:val="20"/>
        </w:rPr>
        <w:t>Report of Independent Registered Public Accounting Firm (on Consolidated Financial Statements and Schedules)</w:t>
      </w:r>
    </w:p>
    <w:p w:rsidR="00000000" w:rsidRDefault="00DF5BC2">
      <w:pPr>
        <w:ind w:firstLine="1440"/>
        <w:divId w:val="773089593"/>
        <w:rPr>
          <w:rFonts w:eastAsia="Times New Roman"/>
        </w:rPr>
      </w:pPr>
      <w:r>
        <w:rPr>
          <w:rFonts w:eastAsia="Times New Roman"/>
          <w:color w:val="000000"/>
          <w:sz w:val="20"/>
          <w:szCs w:val="20"/>
        </w:rPr>
        <w:t xml:space="preserve">Consolidated Balance Sheets as of September 30, 2021 and 2020 </w:t>
      </w:r>
    </w:p>
    <w:p w:rsidR="00000000" w:rsidRDefault="00DF5BC2">
      <w:pPr>
        <w:ind w:firstLine="1440"/>
        <w:divId w:val="1572085310"/>
        <w:rPr>
          <w:rFonts w:eastAsia="Times New Roman"/>
        </w:rPr>
      </w:pPr>
      <w:r>
        <w:rPr>
          <w:rFonts w:eastAsia="Times New Roman"/>
          <w:color w:val="000000"/>
          <w:sz w:val="20"/>
          <w:szCs w:val="20"/>
        </w:rPr>
        <w:t>Consolidated Statements of Income for the years ended September </w:t>
      </w:r>
      <w:r>
        <w:rPr>
          <w:rFonts w:eastAsia="Times New Roman"/>
          <w:color w:val="000000"/>
          <w:sz w:val="20"/>
          <w:szCs w:val="20"/>
        </w:rPr>
        <w:t xml:space="preserve">30, 2021, 2020 and 2019 </w:t>
      </w:r>
    </w:p>
    <w:p w:rsidR="00000000" w:rsidRDefault="00DF5BC2">
      <w:pPr>
        <w:ind w:firstLine="1440"/>
        <w:divId w:val="1023440924"/>
        <w:rPr>
          <w:rFonts w:eastAsia="Times New Roman"/>
        </w:rPr>
      </w:pPr>
      <w:r>
        <w:rPr>
          <w:rFonts w:eastAsia="Times New Roman"/>
          <w:color w:val="000000"/>
          <w:sz w:val="20"/>
          <w:szCs w:val="20"/>
        </w:rPr>
        <w:t xml:space="preserve">Consolidated Statements of Comprehensive Income for the years ended September 30, 2021, 2020 and 2019 </w:t>
      </w:r>
    </w:p>
    <w:p w:rsidR="00000000" w:rsidRDefault="00DF5BC2">
      <w:pPr>
        <w:ind w:firstLine="1440"/>
        <w:divId w:val="7143662"/>
        <w:rPr>
          <w:rFonts w:eastAsia="Times New Roman"/>
        </w:rPr>
      </w:pPr>
      <w:r>
        <w:rPr>
          <w:rFonts w:eastAsia="Times New Roman"/>
          <w:color w:val="000000"/>
          <w:sz w:val="20"/>
          <w:szCs w:val="20"/>
        </w:rPr>
        <w:t xml:space="preserve">Consolidated Statements of Cash Flows for the years ended September 30, 2021, 2020 and 2019 </w:t>
      </w:r>
    </w:p>
    <w:p w:rsidR="00000000" w:rsidRDefault="00DF5BC2">
      <w:pPr>
        <w:ind w:firstLine="1440"/>
        <w:divId w:val="876157625"/>
        <w:rPr>
          <w:rFonts w:eastAsia="Times New Roman"/>
        </w:rPr>
      </w:pPr>
      <w:r>
        <w:rPr>
          <w:rFonts w:eastAsia="Times New Roman"/>
          <w:color w:val="000000"/>
          <w:sz w:val="20"/>
          <w:szCs w:val="20"/>
        </w:rPr>
        <w:t xml:space="preserve">Consolidated Statements of Changes </w:t>
      </w:r>
      <w:r>
        <w:rPr>
          <w:rFonts w:eastAsia="Times New Roman"/>
          <w:color w:val="000000"/>
          <w:sz w:val="20"/>
          <w:szCs w:val="20"/>
        </w:rPr>
        <w:t xml:space="preserve">in Equity for the years ended September 30, 2021, 2020 and 2019 </w:t>
      </w:r>
    </w:p>
    <w:p w:rsidR="00000000" w:rsidRDefault="00DF5BC2">
      <w:pPr>
        <w:ind w:firstLine="1440"/>
        <w:divId w:val="1033770729"/>
        <w:rPr>
          <w:rFonts w:eastAsia="Times New Roman"/>
        </w:rPr>
      </w:pPr>
      <w:r>
        <w:rPr>
          <w:rFonts w:eastAsia="Times New Roman"/>
          <w:color w:val="000000"/>
          <w:sz w:val="20"/>
          <w:szCs w:val="20"/>
        </w:rPr>
        <w:t>Notes to Consolidated Financial Statements</w:t>
      </w:r>
    </w:p>
    <w:p w:rsidR="00000000" w:rsidRDefault="00DF5BC2">
      <w:pPr>
        <w:divId w:val="1978796818"/>
        <w:rPr>
          <w:rFonts w:eastAsia="Times New Roman"/>
        </w:rPr>
      </w:pPr>
    </w:p>
    <w:p w:rsidR="00000000" w:rsidRDefault="00DF5BC2">
      <w:pPr>
        <w:ind w:hanging="540"/>
        <w:jc w:val="both"/>
        <w:rPr>
          <w:rFonts w:eastAsia="Times New Roman"/>
        </w:rPr>
      </w:pPr>
      <w:r>
        <w:rPr>
          <w:rFonts w:eastAsia="Times New Roman"/>
          <w:b/>
          <w:bCs/>
          <w:color w:val="000000"/>
          <w:sz w:val="20"/>
          <w:szCs w:val="20"/>
        </w:rPr>
        <w:t>(2)Financial Statement Schedules:</w:t>
      </w:r>
    </w:p>
    <w:p w:rsidR="00000000" w:rsidRDefault="00DF5BC2">
      <w:pPr>
        <w:jc w:val="both"/>
        <w:divId w:val="1157501691"/>
        <w:rPr>
          <w:rFonts w:eastAsia="Times New Roman"/>
        </w:rPr>
      </w:pPr>
      <w:r>
        <w:rPr>
          <w:rFonts w:eastAsia="Times New Roman"/>
          <w:b/>
          <w:bCs/>
          <w:color w:val="000000"/>
          <w:sz w:val="20"/>
          <w:szCs w:val="20"/>
        </w:rPr>
        <w:t xml:space="preserve">I — </w:t>
      </w:r>
      <w:r>
        <w:rPr>
          <w:rFonts w:eastAsia="Times New Roman"/>
          <w:color w:val="000000"/>
          <w:sz w:val="20"/>
          <w:szCs w:val="20"/>
        </w:rPr>
        <w:t>Condensed Financial Information of Registrant (Parent Company)</w:t>
      </w:r>
    </w:p>
    <w:p w:rsidR="00000000" w:rsidRDefault="00DF5BC2">
      <w:pPr>
        <w:jc w:val="both"/>
        <w:divId w:val="853611634"/>
        <w:rPr>
          <w:rFonts w:eastAsia="Times New Roman"/>
        </w:rPr>
      </w:pPr>
      <w:r>
        <w:rPr>
          <w:rFonts w:eastAsia="Times New Roman"/>
          <w:b/>
          <w:bCs/>
          <w:color w:val="000000"/>
          <w:sz w:val="20"/>
          <w:szCs w:val="20"/>
        </w:rPr>
        <w:t xml:space="preserve">II — </w:t>
      </w:r>
      <w:r>
        <w:rPr>
          <w:rFonts w:eastAsia="Times New Roman"/>
          <w:color w:val="000000"/>
          <w:sz w:val="20"/>
          <w:szCs w:val="20"/>
        </w:rPr>
        <w:t>Valuation and Qualifying Accounts for th</w:t>
      </w:r>
      <w:r>
        <w:rPr>
          <w:rFonts w:eastAsia="Times New Roman"/>
          <w:color w:val="000000"/>
          <w:sz w:val="20"/>
          <w:szCs w:val="20"/>
        </w:rPr>
        <w:t>e years ended September 30, 2021, 2020 and 2019</w:t>
      </w:r>
    </w:p>
    <w:p w:rsidR="00000000" w:rsidRDefault="00DF5BC2">
      <w:pPr>
        <w:jc w:val="both"/>
        <w:divId w:val="1591044395"/>
        <w:rPr>
          <w:rFonts w:eastAsia="Times New Roman"/>
        </w:rPr>
      </w:pPr>
      <w:r>
        <w:rPr>
          <w:rFonts w:eastAsia="Times New Roman"/>
          <w:color w:val="000000"/>
          <w:sz w:val="20"/>
          <w:szCs w:val="20"/>
        </w:rPr>
        <w:t>We have omitted all other financial statement schedules because the required information is (1) not present; (2) not present in amounts sufficient to require submission of the schedule; or (3) included elsewh</w:t>
      </w:r>
      <w:r>
        <w:rPr>
          <w:rFonts w:eastAsia="Times New Roman"/>
          <w:color w:val="000000"/>
          <w:sz w:val="20"/>
          <w:szCs w:val="20"/>
        </w:rPr>
        <w:t>ere in the financial statements or related notes.</w:t>
      </w:r>
    </w:p>
    <w:p w:rsidR="00000000" w:rsidRDefault="00DF5BC2">
      <w:pPr>
        <w:divId w:val="957031002"/>
        <w:rPr>
          <w:rFonts w:eastAsia="Times New Roman"/>
        </w:rPr>
      </w:pPr>
    </w:p>
    <w:p w:rsidR="00000000" w:rsidRDefault="00DF5BC2">
      <w:pPr>
        <w:ind w:hanging="540"/>
        <w:jc w:val="both"/>
        <w:rPr>
          <w:rFonts w:eastAsia="Times New Roman"/>
        </w:rPr>
      </w:pPr>
      <w:r>
        <w:rPr>
          <w:rFonts w:eastAsia="Times New Roman"/>
          <w:b/>
          <w:bCs/>
          <w:color w:val="000000"/>
          <w:sz w:val="20"/>
          <w:szCs w:val="20"/>
        </w:rPr>
        <w:t xml:space="preserve">(3)List of Exhibits: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exhibits filed as part of this report are as follows (exhibits incorporated by reference are set forth with the name of the registrant, the type of report and registration numb</w:t>
      </w:r>
      <w:r>
        <w:rPr>
          <w:rFonts w:eastAsia="Times New Roman"/>
          <w:color w:val="000000"/>
          <w:sz w:val="20"/>
          <w:szCs w:val="20"/>
        </w:rPr>
        <w:t>er or last date of the period for which it was filed, and the exhibit number in such filing):</w:t>
      </w:r>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63"/>
        <w:gridCol w:w="543"/>
        <w:gridCol w:w="38"/>
        <w:gridCol w:w="63"/>
        <w:gridCol w:w="544"/>
        <w:gridCol w:w="37"/>
        <w:gridCol w:w="57"/>
        <w:gridCol w:w="696"/>
        <w:gridCol w:w="36"/>
      </w:tblGrid>
      <w:tr w:rsidR="00000000">
        <w:trPr>
          <w:jc w:val="center"/>
        </w:trPr>
        <w:tc>
          <w:tcPr>
            <w:tcW w:w="50" w:type="pct"/>
            <w:vAlign w:val="center"/>
            <w:hideMark/>
          </w:tcPr>
          <w:p w:rsidR="00000000" w:rsidRDefault="00DF5BC2">
            <w:pPr>
              <w:jc w:val="both"/>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rsidR="00000000" w:rsidRDefault="00DF5BC2">
            <w:pPr>
              <w:spacing w:after="100"/>
              <w:divId w:val="2015374634"/>
              <w:rPr>
                <w:rFonts w:eastAsia="Times New Roman"/>
              </w:rPr>
            </w:pPr>
            <w:hyperlink r:id="rId6" w:history="1">
              <w:r>
                <w:rPr>
                  <w:rStyle w:val="a3"/>
                  <w:rFonts w:eastAsia="Times New Roman"/>
                  <w:sz w:val="20"/>
                  <w:szCs w:val="20"/>
                </w:rPr>
                <w:t>(Second) Amended and Restated Articles of Incorporation of the Company as amended through June 6, 2005.</w:t>
              </w:r>
            </w:hyperlink>
          </w:p>
        </w:tc>
        <w:tc>
          <w:tcPr>
            <w:tcW w:w="0" w:type="auto"/>
            <w:gridSpan w:val="3"/>
            <w:tcBorders>
              <w:top w:val="single" w:sz="8" w:space="0" w:color="000000"/>
            </w:tcBorders>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Borders>
              <w:top w:val="single" w:sz="8" w:space="0" w:color="000000"/>
            </w:tcBorders>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 (6/30/05)</w:t>
            </w:r>
          </w:p>
        </w:tc>
        <w:tc>
          <w:tcPr>
            <w:tcW w:w="0" w:type="auto"/>
            <w:gridSpan w:val="3"/>
            <w:tcBorders>
              <w:top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DF5BC2">
            <w:pPr>
              <w:spacing w:after="100"/>
              <w:divId w:val="1204291191"/>
              <w:rPr>
                <w:rFonts w:eastAsia="Times New Roman"/>
              </w:rPr>
            </w:pPr>
            <w:hyperlink r:id="rId7" w:history="1">
              <w:r>
                <w:rPr>
                  <w:rStyle w:val="a3"/>
                  <w:rFonts w:eastAsia="Times New Roman"/>
                  <w:sz w:val="20"/>
                  <w:szCs w:val="20"/>
                </w:rPr>
                <w:t>Articles of Amendment to the Amended and Restated Articles of Incorporation of UGI Corporation.</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(7/29/14)</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hideMark/>
          </w:tcPr>
          <w:p w:rsidR="00000000" w:rsidRDefault="00DF5BC2">
            <w:pPr>
              <w:spacing w:after="100"/>
              <w:divId w:val="2102216997"/>
              <w:rPr>
                <w:rFonts w:eastAsia="Times New Roman"/>
              </w:rPr>
            </w:pPr>
            <w:hyperlink r:id="rId8" w:history="1">
              <w:r>
                <w:rPr>
                  <w:rStyle w:val="a3"/>
                  <w:rFonts w:eastAsia="Times New Roman"/>
                  <w:sz w:val="20"/>
                  <w:szCs w:val="20"/>
                </w:rPr>
                <w:t>Bylaws of UGI Corporation, amended and restated as of July 25, 2017.</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0" w:type="dxa"/>
              <w:bottom w:w="30" w:type="dxa"/>
              <w:right w:w="200" w:type="dxa"/>
            </w:tcMar>
            <w:hideMark/>
          </w:tcPr>
          <w:p w:rsidR="00000000" w:rsidRDefault="00DF5BC2">
            <w:pPr>
              <w:spacing w:after="100"/>
              <w:jc w:val="center"/>
              <w:rPr>
                <w:rFonts w:eastAsia="Times New Roman"/>
              </w:rPr>
            </w:pPr>
            <w:r>
              <w:rPr>
                <w:rFonts w:eastAsia="Times New Roman"/>
                <w:color w:val="000000"/>
                <w:sz w:val="20"/>
                <w:szCs w:val="20"/>
              </w:rPr>
              <w:t>Form 8-K (7/31/17)</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3.1</w:t>
            </w:r>
          </w:p>
        </w:tc>
      </w:tr>
    </w:tbl>
    <w:p w:rsidR="00000000" w:rsidRDefault="00DF5BC2">
      <w:pPr>
        <w:jc w:val="center"/>
        <w:divId w:val="174342560"/>
        <w:rPr>
          <w:rFonts w:eastAsia="Times New Roman"/>
        </w:rPr>
      </w:pPr>
      <w:r>
        <w:rPr>
          <w:rFonts w:eastAsia="Times New Roman"/>
          <w:color w:val="000000"/>
          <w:sz w:val="20"/>
          <w:szCs w:val="20"/>
        </w:rPr>
        <w:t>75</w:t>
      </w:r>
    </w:p>
    <w:p w:rsidR="00000000" w:rsidRDefault="00DF5BC2">
      <w:pPr>
        <w:rPr>
          <w:rFonts w:eastAsia="Times New Roman"/>
        </w:rPr>
      </w:pPr>
      <w:r>
        <w:rPr>
          <w:rFonts w:eastAsia="Times New Roman"/>
        </w:rPr>
        <w:pict>
          <v:rect id="_x0000_i1102" style="width:0;height:1.5pt" o:hralign="center" o:hrstd="t" o:hr="t" fillcolor="#a0a0a0" stroked="f"/>
        </w:pict>
      </w:r>
    </w:p>
    <w:p w:rsidR="00000000" w:rsidRDefault="00DF5BC2">
      <w:pPr>
        <w:divId w:val="2118794536"/>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6"/>
        <w:gridCol w:w="550"/>
        <w:gridCol w:w="38"/>
        <w:gridCol w:w="56"/>
        <w:gridCol w:w="551"/>
        <w:gridCol w:w="37"/>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hideMark/>
          </w:tcPr>
          <w:p w:rsidR="00000000" w:rsidRDefault="00DF5BC2">
            <w:pPr>
              <w:spacing w:after="100"/>
              <w:divId w:val="1971397156"/>
              <w:rPr>
                <w:rFonts w:eastAsia="Times New Roman"/>
              </w:rPr>
            </w:pPr>
            <w:hyperlink r:id="rId9" w:history="1">
              <w:r>
                <w:rPr>
                  <w:rStyle w:val="a3"/>
                  <w:rFonts w:eastAsia="Times New Roman"/>
                  <w:sz w:val="20"/>
                  <w:szCs w:val="20"/>
                </w:rPr>
                <w:t>Statement with Respect to Shares of the Company with respect to the Convertible Preferred Stock, filed with the Secretary of the Commonwealth of Pennsylv</w:t>
              </w:r>
              <w:r>
                <w:rPr>
                  <w:rStyle w:val="a3"/>
                  <w:rFonts w:eastAsia="Times New Roman"/>
                  <w:sz w:val="20"/>
                  <w:szCs w:val="20"/>
                </w:rPr>
                <w:t>ania and effective on May 25, 2021.</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hideMark/>
          </w:tcPr>
          <w:p w:rsidR="00000000" w:rsidRDefault="00DF5BC2">
            <w:pPr>
              <w:spacing w:after="100"/>
              <w:divId w:val="1048264513"/>
              <w:rPr>
                <w:rFonts w:eastAsia="Times New Roman"/>
              </w:rPr>
            </w:pPr>
            <w:hyperlink r:id="rId10" w:history="1">
              <w:r>
                <w:rPr>
                  <w:rStyle w:val="a3"/>
                  <w:rFonts w:eastAsia="Times New Roman"/>
                  <w:sz w:val="20"/>
                  <w:szCs w:val="20"/>
                </w:rPr>
                <w:t>Statement with Respect to Shares of the Company with respect to the Ser</w:t>
              </w:r>
              <w:r>
                <w:rPr>
                  <w:rStyle w:val="a3"/>
                  <w:rFonts w:eastAsia="Times New Roman"/>
                  <w:sz w:val="20"/>
                  <w:szCs w:val="20"/>
                </w:rPr>
                <w:t>ies B Preferred Stock, filed with the Secretary of the Commonwealth of Pennsylvania and effective on May 25, 2021.</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3.2</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Instruments defining the rights of security holders, including indentures. (The Company agrees to furnish to the Commission upon request a copy of any instrument defining the rights of holders of long-term debt not required to be filed pursuant to Item 601</w:t>
            </w:r>
            <w:r>
              <w:rPr>
                <w:rFonts w:eastAsia="Times New Roman"/>
                <w:color w:val="000000"/>
                <w:sz w:val="20"/>
                <w:szCs w:val="20"/>
              </w:rPr>
              <w:t>(b)(4) of Regulation S-K).</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The description of the Company’s Common Stock contained in the Company’</w:t>
            </w:r>
            <w:r>
              <w:rPr>
                <w:rFonts w:eastAsia="Times New Roman"/>
                <w:color w:val="000000"/>
                <w:sz w:val="20"/>
                <w:szCs w:val="20"/>
              </w:rPr>
              <w:t>s registration statement filed under the Securities Exchange Act of 1934, as amended.</w:t>
            </w:r>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8-B/A (4/17/96)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3.(4)</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UGI Corporation’</w:t>
            </w:r>
            <w:r>
              <w:rPr>
                <w:rFonts w:eastAsia="Times New Roman"/>
                <w:color w:val="000000"/>
                <w:sz w:val="20"/>
                <w:szCs w:val="20"/>
              </w:rPr>
              <w:t>s (Second) Amended and Restated Articles of Incorporation, as amended, and Bylaws referred to in 3.1, 3.2, and 3.3 above.</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Indenture, dated as of August 1, 1993, by and between UGI Utilities, Inc., as Issuer, and U.S. Bank National Association, as successor trustee, incorporated by reference to the Registration Statement on Form S-3 filed on April 8, 1994.</w:t>
            </w:r>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Regist</w:t>
            </w:r>
            <w:r>
              <w:rPr>
                <w:rFonts w:eastAsia="Times New Roman"/>
                <w:color w:val="000000"/>
                <w:sz w:val="20"/>
                <w:szCs w:val="20"/>
              </w:rPr>
              <w:t xml:space="preserve">ration Statement No. 33-77514 </w:t>
            </w:r>
            <w:r>
              <w:rPr>
                <w:rFonts w:eastAsia="Times New Roman"/>
                <w:color w:val="000000"/>
                <w:sz w:val="20"/>
                <w:szCs w:val="20"/>
              </w:rPr>
              <w:br/>
              <w:t>(4/8/94)</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4(c)</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hideMark/>
          </w:tcPr>
          <w:p w:rsidR="00000000" w:rsidRDefault="00DF5BC2">
            <w:pPr>
              <w:spacing w:after="100"/>
              <w:divId w:val="724138908"/>
              <w:rPr>
                <w:rFonts w:eastAsia="Times New Roman"/>
              </w:rPr>
            </w:pPr>
            <w:hyperlink r:id="rId11" w:history="1">
              <w:r>
                <w:rPr>
                  <w:rStyle w:val="a3"/>
                  <w:rFonts w:eastAsia="Times New Roman"/>
                  <w:sz w:val="20"/>
                  <w:szCs w:val="20"/>
                </w:rPr>
                <w:t xml:space="preserve">Supplemental Indenture, dated as of September 15, 2006, by and between UGI Utilities, Inc., as Issuer, </w:t>
              </w:r>
              <w:r>
                <w:rPr>
                  <w:rStyle w:val="a3"/>
                  <w:rFonts w:eastAsia="Times New Roman"/>
                  <w:sz w:val="20"/>
                  <w:szCs w:val="20"/>
                </w:rPr>
                <w:t>and U.S. Bank National Association, successor trustee to Wachovia Bank, National Association.</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(9/12/06)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4.2</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4.6</w:t>
            </w:r>
          </w:p>
        </w:tc>
        <w:tc>
          <w:tcPr>
            <w:tcW w:w="0" w:type="auto"/>
            <w:gridSpan w:val="3"/>
            <w:tcMar>
              <w:top w:w="30" w:type="dxa"/>
              <w:left w:w="20" w:type="dxa"/>
              <w:bottom w:w="30" w:type="dxa"/>
              <w:right w:w="20" w:type="dxa"/>
            </w:tcMar>
            <w:hideMark/>
          </w:tcPr>
          <w:p w:rsidR="00000000" w:rsidRDefault="00DF5BC2">
            <w:pPr>
              <w:spacing w:after="100"/>
              <w:divId w:val="1298074878"/>
              <w:rPr>
                <w:rFonts w:eastAsia="Times New Roman"/>
              </w:rPr>
            </w:pPr>
            <w:hyperlink r:id="rId12" w:history="1">
              <w:r>
                <w:rPr>
                  <w:rStyle w:val="a3"/>
                  <w:rFonts w:eastAsia="Times New Roman"/>
                  <w:sz w:val="20"/>
                  <w:szCs w:val="20"/>
                </w:rPr>
                <w:t xml:space="preserve">Form of Note Purchase Agreement dated October 30, 2013 between the Company and the purchasers listed as signatories thereto. </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(10/30/13)</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bl>
    <w:p w:rsidR="00000000" w:rsidRDefault="00DF5BC2">
      <w:pPr>
        <w:jc w:val="center"/>
        <w:divId w:val="1530147303"/>
        <w:rPr>
          <w:rFonts w:eastAsia="Times New Roman"/>
        </w:rPr>
      </w:pPr>
      <w:r>
        <w:rPr>
          <w:rFonts w:eastAsia="Times New Roman"/>
          <w:color w:val="000000"/>
          <w:sz w:val="20"/>
          <w:szCs w:val="20"/>
        </w:rPr>
        <w:t>76</w:t>
      </w:r>
    </w:p>
    <w:p w:rsidR="00000000" w:rsidRDefault="00DF5BC2">
      <w:pPr>
        <w:rPr>
          <w:rFonts w:eastAsia="Times New Roman"/>
        </w:rPr>
      </w:pPr>
      <w:r>
        <w:rPr>
          <w:rFonts w:eastAsia="Times New Roman"/>
        </w:rPr>
        <w:pict>
          <v:rect id="_x0000_i1103" style="width:0;height:1.5pt" o:hralign="center" o:hrstd="t" o:hr="t" fillcolor="#a0a0a0" stroked="f"/>
        </w:pict>
      </w:r>
    </w:p>
    <w:p w:rsidR="00000000" w:rsidRDefault="00DF5BC2">
      <w:pPr>
        <w:divId w:val="1346857540"/>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9"/>
        <w:gridCol w:w="55"/>
        <w:gridCol w:w="1693"/>
        <w:gridCol w:w="36"/>
        <w:gridCol w:w="55"/>
        <w:gridCol w:w="550"/>
        <w:gridCol w:w="38"/>
        <w:gridCol w:w="55"/>
        <w:gridCol w:w="551"/>
        <w:gridCol w:w="37"/>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4.7</w:t>
            </w:r>
          </w:p>
        </w:tc>
        <w:tc>
          <w:tcPr>
            <w:tcW w:w="0" w:type="auto"/>
            <w:gridSpan w:val="3"/>
            <w:tcMar>
              <w:top w:w="30" w:type="dxa"/>
              <w:left w:w="20" w:type="dxa"/>
              <w:bottom w:w="30" w:type="dxa"/>
              <w:right w:w="20" w:type="dxa"/>
            </w:tcMar>
            <w:hideMark/>
          </w:tcPr>
          <w:p w:rsidR="00000000" w:rsidRDefault="00DF5BC2">
            <w:pPr>
              <w:spacing w:after="100"/>
              <w:divId w:val="584994592"/>
              <w:rPr>
                <w:rFonts w:eastAsia="Times New Roman"/>
              </w:rPr>
            </w:pPr>
            <w:hyperlink r:id="rId13" w:history="1">
              <w:r>
                <w:rPr>
                  <w:rStyle w:val="a3"/>
                  <w:rFonts w:eastAsia="Times New Roman"/>
                  <w:sz w:val="20"/>
                  <w:szCs w:val="20"/>
                </w:rPr>
                <w:t>Note Purchase Agreement dated April 22, 2016 between the Company and the purchasers listed as signatories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(4/28/16)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4.8</w:t>
            </w:r>
          </w:p>
        </w:tc>
        <w:tc>
          <w:tcPr>
            <w:tcW w:w="0" w:type="auto"/>
            <w:gridSpan w:val="3"/>
            <w:tcMar>
              <w:top w:w="30" w:type="dxa"/>
              <w:left w:w="20" w:type="dxa"/>
              <w:bottom w:w="30" w:type="dxa"/>
              <w:right w:w="20" w:type="dxa"/>
            </w:tcMar>
            <w:vAlign w:val="bottom"/>
            <w:hideMark/>
          </w:tcPr>
          <w:p w:rsidR="00000000" w:rsidRDefault="00DF5BC2">
            <w:pPr>
              <w:spacing w:after="100"/>
              <w:divId w:val="679770329"/>
              <w:rPr>
                <w:rFonts w:eastAsia="Times New Roman"/>
              </w:rPr>
            </w:pPr>
            <w:hyperlink r:id="rId14" w:history="1">
              <w:r>
                <w:rPr>
                  <w:rStyle w:val="a3"/>
                  <w:rFonts w:eastAsia="Times New Roman"/>
                  <w:sz w:val="20"/>
                  <w:szCs w:val="20"/>
                </w:rPr>
                <w:t>Indenture, dated as of June 27, 2016, among AmeriGas Partners, L.P., AmeriGas Finance Corp., and U.S. Bank National Association, as trustee.</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 xml:space="preserve">AmeriGas </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(6/27/16)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4.9</w:t>
            </w:r>
          </w:p>
        </w:tc>
        <w:tc>
          <w:tcPr>
            <w:tcW w:w="0" w:type="auto"/>
            <w:gridSpan w:val="3"/>
            <w:tcMar>
              <w:top w:w="30" w:type="dxa"/>
              <w:left w:w="20" w:type="dxa"/>
              <w:bottom w:w="30" w:type="dxa"/>
              <w:right w:w="20" w:type="dxa"/>
            </w:tcMar>
            <w:vAlign w:val="bottom"/>
            <w:hideMark/>
          </w:tcPr>
          <w:p w:rsidR="00000000" w:rsidRDefault="00DF5BC2">
            <w:pPr>
              <w:spacing w:after="100"/>
              <w:divId w:val="975375299"/>
              <w:rPr>
                <w:rFonts w:eastAsia="Times New Roman"/>
              </w:rPr>
            </w:pPr>
            <w:hyperlink r:id="rId15" w:history="1">
              <w:r>
                <w:rPr>
                  <w:rStyle w:val="a3"/>
                  <w:rFonts w:eastAsia="Times New Roman"/>
                  <w:sz w:val="20"/>
                  <w:szCs w:val="20"/>
                </w:rPr>
                <w:t xml:space="preserve">First Supplemental Indenture, dated as of June 27, 2016, among AmeriGas Partners, L.P., AmeriGas Finance Corp., and U.S. Bank National Association, as trustee. </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(6/27/16)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4.2</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4.10</w:t>
            </w:r>
          </w:p>
        </w:tc>
        <w:tc>
          <w:tcPr>
            <w:tcW w:w="0" w:type="auto"/>
            <w:gridSpan w:val="3"/>
            <w:tcMar>
              <w:top w:w="30" w:type="dxa"/>
              <w:left w:w="20" w:type="dxa"/>
              <w:bottom w:w="30" w:type="dxa"/>
              <w:right w:w="20" w:type="dxa"/>
            </w:tcMar>
            <w:hideMark/>
          </w:tcPr>
          <w:p w:rsidR="00000000" w:rsidRDefault="00DF5BC2">
            <w:pPr>
              <w:spacing w:after="100"/>
              <w:divId w:val="843083189"/>
              <w:rPr>
                <w:rFonts w:eastAsia="Times New Roman"/>
              </w:rPr>
            </w:pPr>
            <w:hyperlink r:id="rId16" w:history="1">
              <w:r>
                <w:rPr>
                  <w:rStyle w:val="a3"/>
                  <w:rFonts w:eastAsia="Times New Roman"/>
                  <w:sz w:val="20"/>
                  <w:szCs w:val="20"/>
                </w:rPr>
                <w:t>Second Supplemental Indenture, dated as of December 28, 2016, among AmeriGas Partners, L.P., AmeriGas Finance Corp., and</w:t>
              </w:r>
              <w:r>
                <w:rPr>
                  <w:rStyle w:val="a3"/>
                  <w:rFonts w:eastAsia="Times New Roman"/>
                  <w:sz w:val="20"/>
                  <w:szCs w:val="20"/>
                </w:rPr>
                <w:t xml:space="preserve"> U.S. Bank National Association, as trustee (including form of global note).</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(12/28/16)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4.11</w:t>
            </w:r>
          </w:p>
        </w:tc>
        <w:tc>
          <w:tcPr>
            <w:tcW w:w="0" w:type="auto"/>
            <w:gridSpan w:val="3"/>
            <w:tcMar>
              <w:top w:w="30" w:type="dxa"/>
              <w:left w:w="20" w:type="dxa"/>
              <w:bottom w:w="30" w:type="dxa"/>
              <w:right w:w="20" w:type="dxa"/>
            </w:tcMar>
            <w:hideMark/>
          </w:tcPr>
          <w:p w:rsidR="00000000" w:rsidRDefault="00DF5BC2">
            <w:pPr>
              <w:spacing w:after="100"/>
              <w:divId w:val="1323318749"/>
              <w:rPr>
                <w:rFonts w:eastAsia="Times New Roman"/>
              </w:rPr>
            </w:pPr>
            <w:hyperlink r:id="rId17" w:history="1">
              <w:r>
                <w:rPr>
                  <w:rStyle w:val="a3"/>
                  <w:rFonts w:eastAsia="Times New Roman"/>
                  <w:sz w:val="20"/>
                  <w:szCs w:val="20"/>
                </w:rPr>
                <w:t>Third Supplemental Indenture, dated as of February 13, 2017, among AmeriGas Partners, L.P., AmeriGas Finance Corp., and U.S. Bank National Association, as tru</w:t>
              </w:r>
              <w:r>
                <w:rPr>
                  <w:rStyle w:val="a3"/>
                  <w:rFonts w:eastAsia="Times New Roman"/>
                  <w:sz w:val="20"/>
                  <w:szCs w:val="20"/>
                </w:rPr>
                <w:t>stee (including form of global note).</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(2/13/17)</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4.12</w:t>
            </w:r>
          </w:p>
        </w:tc>
        <w:tc>
          <w:tcPr>
            <w:tcW w:w="0" w:type="auto"/>
            <w:gridSpan w:val="3"/>
            <w:tcMar>
              <w:top w:w="30" w:type="dxa"/>
              <w:left w:w="20" w:type="dxa"/>
              <w:bottom w:w="30" w:type="dxa"/>
              <w:right w:w="20" w:type="dxa"/>
            </w:tcMar>
            <w:hideMark/>
          </w:tcPr>
          <w:p w:rsidR="00000000" w:rsidRDefault="00DF5BC2">
            <w:pPr>
              <w:spacing w:after="100"/>
              <w:divId w:val="1340738809"/>
              <w:rPr>
                <w:rFonts w:eastAsia="Times New Roman"/>
              </w:rPr>
            </w:pPr>
            <w:hyperlink r:id="rId18" w:history="1">
              <w:r>
                <w:rPr>
                  <w:rStyle w:val="a3"/>
                  <w:rFonts w:eastAsia="Times New Roman"/>
                  <w:sz w:val="20"/>
                  <w:szCs w:val="20"/>
                </w:rPr>
                <w:t>Indenture, dated as of October 25, 2018, by and among International, the guarantors named therein, U.S. Bank National Association, as trustee, Elavon Fina</w:t>
              </w:r>
              <w:r>
                <w:rPr>
                  <w:rStyle w:val="a3"/>
                  <w:rFonts w:eastAsia="Times New Roman"/>
                  <w:sz w:val="20"/>
                  <w:szCs w:val="20"/>
                </w:rPr>
                <w:t>ncial Services DAC, as registrar and transfer agent, and Elavon Financial Services DAC, UK Branch, as paying agent (including the form of Note).</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(10/25/18)</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4.13</w:t>
            </w:r>
          </w:p>
        </w:tc>
        <w:tc>
          <w:tcPr>
            <w:tcW w:w="0" w:type="auto"/>
            <w:gridSpan w:val="3"/>
            <w:tcMar>
              <w:top w:w="30" w:type="dxa"/>
              <w:left w:w="20" w:type="dxa"/>
              <w:bottom w:w="30" w:type="dxa"/>
              <w:right w:w="20" w:type="dxa"/>
            </w:tcMar>
            <w:vAlign w:val="bottom"/>
            <w:hideMark/>
          </w:tcPr>
          <w:p w:rsidR="00000000" w:rsidRDefault="00DF5BC2">
            <w:pPr>
              <w:spacing w:after="100"/>
              <w:divId w:val="856112971"/>
              <w:rPr>
                <w:rFonts w:eastAsia="Times New Roman"/>
              </w:rPr>
            </w:pPr>
            <w:hyperlink r:id="rId19" w:history="1">
              <w:r>
                <w:rPr>
                  <w:rStyle w:val="a3"/>
                  <w:rFonts w:eastAsia="Times New Roman"/>
                  <w:sz w:val="20"/>
                  <w:szCs w:val="20"/>
                </w:rPr>
                <w:t>Form of Note Purchase Agreement dated December 21, 2018 between the Company and the purchasers listed as signatories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 (12/31/18)</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4.14</w:t>
            </w:r>
          </w:p>
        </w:tc>
        <w:tc>
          <w:tcPr>
            <w:tcW w:w="0" w:type="auto"/>
            <w:gridSpan w:val="3"/>
            <w:tcMar>
              <w:top w:w="30" w:type="dxa"/>
              <w:left w:w="20" w:type="dxa"/>
              <w:bottom w:w="30" w:type="dxa"/>
              <w:right w:w="20" w:type="dxa"/>
            </w:tcMar>
            <w:vAlign w:val="bottom"/>
            <w:hideMark/>
          </w:tcPr>
          <w:p w:rsidR="00000000" w:rsidRDefault="00DF5BC2">
            <w:pPr>
              <w:spacing w:after="100"/>
              <w:divId w:val="1078477391"/>
              <w:rPr>
                <w:rFonts w:eastAsia="Times New Roman"/>
              </w:rPr>
            </w:pPr>
            <w:hyperlink r:id="rId20" w:history="1">
              <w:r>
                <w:rPr>
                  <w:rStyle w:val="a3"/>
                  <w:rFonts w:eastAsia="Times New Roman"/>
                  <w:sz w:val="20"/>
                  <w:szCs w:val="20"/>
                </w:rPr>
                <w:t>Note Purchase Agreement, dated as of March 19, 2020, by and among the Company and the purchasers listed as signatories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(3/19/20)</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4.15</w:t>
            </w:r>
          </w:p>
        </w:tc>
        <w:tc>
          <w:tcPr>
            <w:tcW w:w="0" w:type="auto"/>
            <w:gridSpan w:val="3"/>
            <w:tcMar>
              <w:top w:w="30" w:type="dxa"/>
              <w:left w:w="20" w:type="dxa"/>
              <w:bottom w:w="30" w:type="dxa"/>
              <w:right w:w="20" w:type="dxa"/>
            </w:tcMar>
            <w:vAlign w:val="bottom"/>
            <w:hideMark/>
          </w:tcPr>
          <w:p w:rsidR="00000000" w:rsidRDefault="00DF5BC2">
            <w:pPr>
              <w:spacing w:after="100"/>
              <w:divId w:val="1523593372"/>
              <w:rPr>
                <w:rFonts w:eastAsia="Times New Roman"/>
              </w:rPr>
            </w:pPr>
            <w:hyperlink r:id="rId21" w:history="1">
              <w:r>
                <w:rPr>
                  <w:rStyle w:val="a3"/>
                  <w:rFonts w:eastAsia="Times New Roman"/>
                  <w:sz w:val="20"/>
                  <w:szCs w:val="20"/>
                </w:rPr>
                <w:t>Note Purchase Agreement, dated May 7, 2021, by and among UGI Utilities, Inc. and the purchasers listed as signatorie</w:t>
              </w:r>
              <w:r>
                <w:rPr>
                  <w:rStyle w:val="a3"/>
                  <w:rFonts w:eastAsia="Times New Roman"/>
                  <w:sz w:val="20"/>
                  <w:szCs w:val="20"/>
                </w:rPr>
                <w:t>s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(5/4/21)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bl>
    <w:p w:rsidR="00000000" w:rsidRDefault="00DF5BC2">
      <w:pPr>
        <w:jc w:val="center"/>
        <w:divId w:val="889151964"/>
        <w:rPr>
          <w:rFonts w:eastAsia="Times New Roman"/>
        </w:rPr>
      </w:pPr>
      <w:r>
        <w:rPr>
          <w:rFonts w:eastAsia="Times New Roman"/>
          <w:color w:val="000000"/>
          <w:sz w:val="20"/>
          <w:szCs w:val="20"/>
        </w:rPr>
        <w:t>77</w:t>
      </w:r>
    </w:p>
    <w:p w:rsidR="00000000" w:rsidRDefault="00DF5BC2">
      <w:pPr>
        <w:rPr>
          <w:rFonts w:eastAsia="Times New Roman"/>
        </w:rPr>
      </w:pPr>
      <w:r>
        <w:rPr>
          <w:rFonts w:eastAsia="Times New Roman"/>
        </w:rPr>
        <w:pict>
          <v:rect id="_x0000_i1104" style="width:0;height:1.5pt" o:hralign="center" o:hrstd="t" o:hr="t" fillcolor="#a0a0a0" stroked="f"/>
        </w:pict>
      </w:r>
    </w:p>
    <w:p w:rsidR="00000000" w:rsidRDefault="00DF5BC2">
      <w:pPr>
        <w:divId w:val="251548647"/>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56"/>
        <w:gridCol w:w="551"/>
        <w:gridCol w:w="37"/>
        <w:gridCol w:w="56"/>
        <w:gridCol w:w="551"/>
        <w:gridCol w:w="36"/>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4.16</w:t>
            </w:r>
          </w:p>
        </w:tc>
        <w:tc>
          <w:tcPr>
            <w:tcW w:w="0" w:type="auto"/>
            <w:gridSpan w:val="3"/>
            <w:tcMar>
              <w:top w:w="30" w:type="dxa"/>
              <w:left w:w="20" w:type="dxa"/>
              <w:bottom w:w="30" w:type="dxa"/>
              <w:right w:w="20" w:type="dxa"/>
            </w:tcMar>
            <w:vAlign w:val="bottom"/>
            <w:hideMark/>
          </w:tcPr>
          <w:p w:rsidR="00000000" w:rsidRDefault="00DF5BC2">
            <w:pPr>
              <w:spacing w:after="100"/>
              <w:divId w:val="914782867"/>
              <w:rPr>
                <w:rFonts w:eastAsia="Times New Roman"/>
              </w:rPr>
            </w:pPr>
            <w:hyperlink r:id="rId22" w:history="1">
              <w:r>
                <w:rPr>
                  <w:rStyle w:val="a3"/>
                  <w:rFonts w:eastAsia="Times New Roman"/>
                  <w:sz w:val="20"/>
                  <w:szCs w:val="20"/>
                </w:rPr>
                <w:t>Purchase Contract and Pledge Agreement, dated May 25, 2021, between the Company and U.S. Bank National Association, as purchase contract agent, collatera</w:t>
              </w:r>
              <w:r>
                <w:rPr>
                  <w:rStyle w:val="a3"/>
                  <w:rFonts w:eastAsia="Times New Roman"/>
                  <w:sz w:val="20"/>
                  <w:szCs w:val="20"/>
                </w:rPr>
                <w:t>l agent, custodial agent and securities intermediary.</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4.17</w:t>
            </w:r>
          </w:p>
        </w:tc>
        <w:tc>
          <w:tcPr>
            <w:tcW w:w="0" w:type="auto"/>
            <w:gridSpan w:val="3"/>
            <w:tcMar>
              <w:top w:w="30" w:type="dxa"/>
              <w:left w:w="20" w:type="dxa"/>
              <w:bottom w:w="30" w:type="dxa"/>
              <w:right w:w="20" w:type="dxa"/>
            </w:tcMar>
            <w:vAlign w:val="bottom"/>
            <w:hideMark/>
          </w:tcPr>
          <w:p w:rsidR="00000000" w:rsidRDefault="00DF5BC2">
            <w:pPr>
              <w:spacing w:after="100"/>
              <w:divId w:val="223420530"/>
              <w:rPr>
                <w:rFonts w:eastAsia="Times New Roman"/>
              </w:rPr>
            </w:pPr>
            <w:hyperlink r:id="rId23" w:history="1">
              <w:r>
                <w:rPr>
                  <w:rStyle w:val="a3"/>
                  <w:rFonts w:eastAsia="Times New Roman"/>
                  <w:sz w:val="20"/>
                  <w:szCs w:val="20"/>
                </w:rPr>
                <w:t>Form of Corporate Unit (included as Exhibit A to Exhi</w:t>
              </w:r>
              <w:r>
                <w:rPr>
                  <w:rStyle w:val="a3"/>
                  <w:rFonts w:eastAsia="Times New Roman"/>
                  <w:sz w:val="20"/>
                  <w:szCs w:val="20"/>
                </w:rPr>
                <w:t>bit 4.1</w:t>
              </w:r>
            </w:hyperlink>
            <w:hyperlink r:id="rId24" w:history="1">
              <w:r>
                <w:rPr>
                  <w:rStyle w:val="a3"/>
                  <w:rFonts w:eastAsia="Times New Roman"/>
                  <w:sz w:val="20"/>
                  <w:szCs w:val="20"/>
                </w:rPr>
                <w:t>6</w:t>
              </w:r>
            </w:hyperlink>
            <w:hyperlink r:id="rId25" w:history="1">
              <w:r>
                <w:rPr>
                  <w:rStyle w:val="a3"/>
                  <w:rFonts w:eastAsia="Times New Roman"/>
                  <w:sz w:val="20"/>
                  <w:szCs w:val="20"/>
                </w:rPr>
                <w:t xml:space="preserve"> hereto)</w:t>
              </w:r>
            </w:hyperlink>
            <w:hyperlink r:id="rId26" w:history="1">
              <w:r>
                <w:rPr>
                  <w:rStyle w:val="a3"/>
                  <w:rFonts w:eastAsia="Times New Roman"/>
                  <w:sz w:val="20"/>
                  <w:szCs w:val="20"/>
                </w:rPr>
                <w:t>.</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4.2</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4.18</w:t>
            </w:r>
          </w:p>
        </w:tc>
        <w:tc>
          <w:tcPr>
            <w:tcW w:w="0" w:type="auto"/>
            <w:gridSpan w:val="3"/>
            <w:tcMar>
              <w:top w:w="30" w:type="dxa"/>
              <w:left w:w="20" w:type="dxa"/>
              <w:bottom w:w="30" w:type="dxa"/>
              <w:right w:w="20" w:type="dxa"/>
            </w:tcMar>
            <w:vAlign w:val="bottom"/>
            <w:hideMark/>
          </w:tcPr>
          <w:p w:rsidR="00000000" w:rsidRDefault="00DF5BC2">
            <w:pPr>
              <w:spacing w:after="100"/>
              <w:divId w:val="986397021"/>
              <w:rPr>
                <w:rFonts w:eastAsia="Times New Roman"/>
              </w:rPr>
            </w:pPr>
            <w:hyperlink r:id="rId27" w:history="1">
              <w:r>
                <w:rPr>
                  <w:rStyle w:val="a3"/>
                  <w:rFonts w:eastAsia="Times New Roman"/>
                  <w:sz w:val="20"/>
                  <w:szCs w:val="20"/>
                </w:rPr>
                <w:t>Form of Treasury Unit (included as Exhibit B to Exhibit 4.</w:t>
              </w:r>
            </w:hyperlink>
            <w:hyperlink r:id="rId28" w:history="1">
              <w:r>
                <w:rPr>
                  <w:rStyle w:val="a3"/>
                  <w:rFonts w:eastAsia="Times New Roman"/>
                  <w:sz w:val="20"/>
                  <w:szCs w:val="20"/>
                </w:rPr>
                <w:t>16</w:t>
              </w:r>
            </w:hyperlink>
            <w:hyperlink r:id="rId29" w:history="1">
              <w:r>
                <w:rPr>
                  <w:rStyle w:val="a3"/>
                  <w:rFonts w:eastAsia="Times New Roman"/>
                  <w:sz w:val="20"/>
                  <w:szCs w:val="20"/>
                </w:rPr>
                <w:t xml:space="preserve"> hereto)</w:t>
              </w:r>
            </w:hyperlink>
            <w:hyperlink r:id="rId30" w:history="1">
              <w:r>
                <w:rPr>
                  <w:rStyle w:val="a3"/>
                  <w:rFonts w:eastAsia="Times New Roman"/>
                  <w:sz w:val="20"/>
                  <w:szCs w:val="20"/>
                </w:rPr>
                <w:t>.</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4.3</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4.19</w:t>
            </w:r>
          </w:p>
        </w:tc>
        <w:tc>
          <w:tcPr>
            <w:tcW w:w="0" w:type="auto"/>
            <w:gridSpan w:val="3"/>
            <w:tcMar>
              <w:top w:w="30" w:type="dxa"/>
              <w:left w:w="20" w:type="dxa"/>
              <w:bottom w:w="30" w:type="dxa"/>
              <w:right w:w="20" w:type="dxa"/>
            </w:tcMar>
            <w:vAlign w:val="bottom"/>
            <w:hideMark/>
          </w:tcPr>
          <w:p w:rsidR="00000000" w:rsidRDefault="00DF5BC2">
            <w:pPr>
              <w:spacing w:after="100"/>
              <w:divId w:val="1131901076"/>
              <w:rPr>
                <w:rFonts w:eastAsia="Times New Roman"/>
              </w:rPr>
            </w:pPr>
            <w:hyperlink r:id="rId31" w:history="1">
              <w:r>
                <w:rPr>
                  <w:rStyle w:val="a3"/>
                  <w:rFonts w:eastAsia="Times New Roman"/>
                  <w:sz w:val="20"/>
                  <w:szCs w:val="20"/>
                </w:rPr>
                <w:t>Form of Cash Settled Unit (included as Exhibit C to Exhibit 4.1</w:t>
              </w:r>
            </w:hyperlink>
            <w:hyperlink r:id="rId32" w:history="1">
              <w:r>
                <w:rPr>
                  <w:rStyle w:val="a3"/>
                  <w:rFonts w:eastAsia="Times New Roman"/>
                  <w:sz w:val="20"/>
                  <w:szCs w:val="20"/>
                </w:rPr>
                <w:t>6</w:t>
              </w:r>
            </w:hyperlink>
            <w:hyperlink r:id="rId33" w:history="1">
              <w:r>
                <w:rPr>
                  <w:rStyle w:val="a3"/>
                  <w:rFonts w:eastAsia="Times New Roman"/>
                  <w:sz w:val="20"/>
                  <w:szCs w:val="20"/>
                </w:rPr>
                <w:t xml:space="preserve"> hereto)</w:t>
              </w:r>
            </w:hyperlink>
            <w:hyperlink r:id="rId34" w:history="1">
              <w:r>
                <w:rPr>
                  <w:rStyle w:val="a3"/>
                  <w:rFonts w:eastAsia="Times New Roman"/>
                  <w:sz w:val="20"/>
                  <w:szCs w:val="20"/>
                </w:rPr>
                <w:t>.</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4.4</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4.20</w:t>
            </w:r>
          </w:p>
        </w:tc>
        <w:tc>
          <w:tcPr>
            <w:tcW w:w="0" w:type="auto"/>
            <w:gridSpan w:val="3"/>
            <w:tcMar>
              <w:top w:w="30" w:type="dxa"/>
              <w:left w:w="20" w:type="dxa"/>
              <w:bottom w:w="30" w:type="dxa"/>
              <w:right w:w="20" w:type="dxa"/>
            </w:tcMar>
            <w:vAlign w:val="bottom"/>
            <w:hideMark/>
          </w:tcPr>
          <w:p w:rsidR="00000000" w:rsidRDefault="00DF5BC2">
            <w:pPr>
              <w:spacing w:after="100"/>
              <w:divId w:val="2142914311"/>
              <w:rPr>
                <w:rFonts w:eastAsia="Times New Roman"/>
              </w:rPr>
            </w:pPr>
            <w:hyperlink r:id="rId35" w:history="1">
              <w:r>
                <w:rPr>
                  <w:rStyle w:val="a3"/>
                  <w:rFonts w:eastAsia="Times New Roman"/>
                  <w:sz w:val="20"/>
                  <w:szCs w:val="20"/>
                </w:rPr>
                <w:t>Form of Series A Cumulative Perpetual Convertible Preferred Stock Certificate.</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4.5</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4.21</w:t>
            </w:r>
          </w:p>
        </w:tc>
        <w:tc>
          <w:tcPr>
            <w:tcW w:w="0" w:type="auto"/>
            <w:gridSpan w:val="3"/>
            <w:tcMar>
              <w:top w:w="30" w:type="dxa"/>
              <w:left w:w="20" w:type="dxa"/>
              <w:bottom w:w="30" w:type="dxa"/>
              <w:right w:w="20" w:type="dxa"/>
            </w:tcMar>
            <w:vAlign w:val="bottom"/>
            <w:hideMark/>
          </w:tcPr>
          <w:p w:rsidR="00000000" w:rsidRDefault="00DF5BC2">
            <w:pPr>
              <w:spacing w:after="100"/>
              <w:divId w:val="1980303444"/>
              <w:rPr>
                <w:rFonts w:eastAsia="Times New Roman"/>
              </w:rPr>
            </w:pPr>
            <w:hyperlink r:id="rId36" w:history="1">
              <w:r>
                <w:rPr>
                  <w:rStyle w:val="a3"/>
                  <w:rFonts w:eastAsia="Times New Roman"/>
                  <w:sz w:val="20"/>
                  <w:szCs w:val="20"/>
                </w:rPr>
                <w:t>Form of Series B Cumulative Perpetual Preferred Stock Certificate.</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4.6</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*4.22</w:t>
            </w:r>
          </w:p>
        </w:tc>
        <w:tc>
          <w:tcPr>
            <w:tcW w:w="0" w:type="auto"/>
            <w:gridSpan w:val="3"/>
            <w:tcMar>
              <w:top w:w="30" w:type="dxa"/>
              <w:left w:w="20" w:type="dxa"/>
              <w:bottom w:w="30" w:type="dxa"/>
              <w:right w:w="20" w:type="dxa"/>
            </w:tcMar>
            <w:vAlign w:val="bottom"/>
            <w:hideMark/>
          </w:tcPr>
          <w:p w:rsidR="00000000" w:rsidRDefault="00DF5BC2">
            <w:pPr>
              <w:spacing w:after="100"/>
              <w:divId w:val="159390715"/>
              <w:rPr>
                <w:rFonts w:eastAsia="Times New Roman"/>
              </w:rPr>
            </w:pPr>
            <w:hyperlink r:id="rId37" w:history="1">
              <w:r>
                <w:rPr>
                  <w:rStyle w:val="a3"/>
                  <w:rFonts w:eastAsia="Times New Roman"/>
                  <w:sz w:val="20"/>
                  <w:szCs w:val="20"/>
                </w:rPr>
                <w:t>Description of the Registrant’s Securities Registered Pursuant to Section 12 of the Securities Exchange Act of 1934.</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DF5BC2">
            <w:pPr>
              <w:spacing w:after="100"/>
              <w:divId w:val="1964654123"/>
              <w:rPr>
                <w:rFonts w:eastAsia="Times New Roman"/>
              </w:rPr>
            </w:pPr>
            <w:hyperlink r:id="rId38" w:history="1">
              <w:r>
                <w:rPr>
                  <w:rStyle w:val="a3"/>
                  <w:rFonts w:eastAsia="Times New Roman"/>
                  <w:sz w:val="20"/>
                  <w:szCs w:val="20"/>
                </w:rPr>
                <w:t>AmeriGas Propane, Inc. Non-Qualified Deferred Compensation Plan, as Amended and Restated effective November 22, 2013.</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 xml:space="preserve">AmeriGas </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 xml:space="preserve">Form </w:t>
            </w:r>
            <w:r>
              <w:rPr>
                <w:rFonts w:eastAsia="Times New Roman"/>
                <w:color w:val="000000"/>
                <w:sz w:val="20"/>
                <w:szCs w:val="20"/>
              </w:rPr>
              <w:t>10-Q</w:t>
            </w:r>
            <w:r>
              <w:rPr>
                <w:rFonts w:eastAsia="Times New Roman"/>
                <w:color w:val="000000"/>
                <w:sz w:val="20"/>
                <w:szCs w:val="20"/>
              </w:rPr>
              <w:br/>
              <w:t>(3/31/14)</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DF5BC2">
            <w:pPr>
              <w:spacing w:after="100"/>
              <w:divId w:val="444159106"/>
              <w:rPr>
                <w:rFonts w:eastAsia="Times New Roman"/>
              </w:rPr>
            </w:pPr>
            <w:hyperlink r:id="rId39" w:history="1">
              <w:r>
                <w:rPr>
                  <w:rStyle w:val="a3"/>
                  <w:rFonts w:eastAsia="Times New Roman"/>
                  <w:sz w:val="20"/>
                  <w:szCs w:val="20"/>
                </w:rPr>
                <w:t>UGI Corporation 2004 Omnibus Equity Compensation Plan Amended and Restated as of September 5, 2014.</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10.25</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hideMark/>
          </w:tcPr>
          <w:p w:rsidR="00000000" w:rsidRDefault="00DF5BC2">
            <w:pPr>
              <w:spacing w:after="100"/>
              <w:divId w:val="513612492"/>
              <w:rPr>
                <w:rFonts w:eastAsia="Times New Roman"/>
              </w:rPr>
            </w:pPr>
            <w:hyperlink r:id="rId40" w:history="1">
              <w:r>
                <w:rPr>
                  <w:rStyle w:val="a3"/>
                  <w:rFonts w:eastAsia="Times New Roman"/>
                  <w:sz w:val="20"/>
                  <w:szCs w:val="20"/>
                </w:rPr>
                <w:t>UGI Corporation 2004 Omnibus Equity Compensation Plan Amended and Restated as of September 5, 2014 - Terms and Conditions as effective January 1, 201</w:t>
              </w:r>
              <w:r>
                <w:rPr>
                  <w:rStyle w:val="a3"/>
                  <w:rFonts w:eastAsia="Times New Roman"/>
                  <w:sz w:val="20"/>
                  <w:szCs w:val="20"/>
                </w:rPr>
                <w:t>6.</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10.26</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DF5BC2">
            <w:pPr>
              <w:spacing w:after="100"/>
              <w:divId w:val="307982399"/>
              <w:rPr>
                <w:rFonts w:eastAsia="Times New Roman"/>
              </w:rPr>
            </w:pPr>
            <w:hyperlink r:id="rId41" w:history="1">
              <w:r>
                <w:rPr>
                  <w:rStyle w:val="a3"/>
                  <w:rFonts w:eastAsia="Times New Roman"/>
                  <w:sz w:val="20"/>
                  <w:szCs w:val="20"/>
                </w:rPr>
                <w:t>UGI Corporation 2009 Deferral Plan, as Amended and Restated effective June 15, 2017.</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 (6/30/17)</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10.6</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hideMark/>
          </w:tcPr>
          <w:p w:rsidR="00000000" w:rsidRDefault="00DF5BC2">
            <w:pPr>
              <w:spacing w:after="100"/>
              <w:divId w:val="1082603967"/>
              <w:rPr>
                <w:rFonts w:eastAsia="Times New Roman"/>
              </w:rPr>
            </w:pPr>
            <w:hyperlink r:id="rId42" w:history="1">
              <w:r>
                <w:rPr>
                  <w:rStyle w:val="a3"/>
                  <w:rFonts w:eastAsia="Times New Roman"/>
                  <w:sz w:val="20"/>
                  <w:szCs w:val="20"/>
                </w:rPr>
                <w:t xml:space="preserve">UGI Corporation </w:t>
              </w:r>
              <w:r>
                <w:rPr>
                  <w:rStyle w:val="a3"/>
                  <w:rFonts w:eastAsia="Times New Roman"/>
                  <w:sz w:val="20"/>
                  <w:szCs w:val="20"/>
                </w:rPr>
                <w:t>2009 Supplemental Executive Retirement Plan for New Employees, as Amended and Restated as of June 15, 2017.</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(6/30/17)</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hideMark/>
          </w:tcPr>
          <w:p w:rsidR="00000000" w:rsidRDefault="00DF5BC2">
            <w:pPr>
              <w:spacing w:after="100"/>
              <w:divId w:val="2007635491"/>
              <w:rPr>
                <w:rFonts w:eastAsia="Times New Roman"/>
              </w:rPr>
            </w:pPr>
            <w:hyperlink r:id="rId43" w:history="1">
              <w:r>
                <w:rPr>
                  <w:rStyle w:val="a3"/>
                  <w:rFonts w:eastAsia="Times New Roman"/>
                  <w:sz w:val="20"/>
                  <w:szCs w:val="20"/>
                </w:rPr>
                <w:t>AmeriGas Propane, Inc. Supplemental Executive Retirement Plan, as Amended and Restated effective June 15, 2017.</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w:t>
            </w:r>
            <w:r>
              <w:rPr>
                <w:rFonts w:eastAsia="Times New Roman"/>
                <w:color w:val="000000"/>
                <w:sz w:val="20"/>
                <w:szCs w:val="20"/>
              </w:rPr>
              <w:t>0/17)</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bl>
    <w:p w:rsidR="00000000" w:rsidRDefault="00DF5BC2">
      <w:pPr>
        <w:jc w:val="center"/>
        <w:divId w:val="437677903"/>
        <w:rPr>
          <w:rFonts w:eastAsia="Times New Roman"/>
        </w:rPr>
      </w:pPr>
      <w:r>
        <w:rPr>
          <w:rFonts w:eastAsia="Times New Roman"/>
          <w:color w:val="000000"/>
          <w:sz w:val="20"/>
          <w:szCs w:val="20"/>
        </w:rPr>
        <w:t>78</w:t>
      </w:r>
    </w:p>
    <w:p w:rsidR="00000000" w:rsidRDefault="00DF5BC2">
      <w:pPr>
        <w:rPr>
          <w:rFonts w:eastAsia="Times New Roman"/>
        </w:rPr>
      </w:pPr>
      <w:r>
        <w:rPr>
          <w:rFonts w:eastAsia="Times New Roman"/>
        </w:rPr>
        <w:pict>
          <v:rect id="_x0000_i1105" style="width:0;height:1.5pt" o:hralign="center" o:hrstd="t" o:hr="t" fillcolor="#a0a0a0" stroked="f"/>
        </w:pict>
      </w:r>
    </w:p>
    <w:p w:rsidR="00000000" w:rsidRDefault="00DF5BC2">
      <w:pPr>
        <w:divId w:val="485895525"/>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8"/>
        <w:gridCol w:w="55"/>
        <w:gridCol w:w="1985"/>
        <w:gridCol w:w="37"/>
        <w:gridCol w:w="55"/>
        <w:gridCol w:w="1693"/>
        <w:gridCol w:w="36"/>
        <w:gridCol w:w="56"/>
        <w:gridCol w:w="551"/>
        <w:gridCol w:w="37"/>
        <w:gridCol w:w="56"/>
        <w:gridCol w:w="551"/>
        <w:gridCol w:w="36"/>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hideMark/>
          </w:tcPr>
          <w:p w:rsidR="00000000" w:rsidRDefault="00DF5BC2">
            <w:pPr>
              <w:spacing w:after="100"/>
              <w:divId w:val="166528529"/>
              <w:rPr>
                <w:rFonts w:eastAsia="Times New Roman"/>
              </w:rPr>
            </w:pPr>
            <w:hyperlink r:id="rId44" w:history="1">
              <w:r>
                <w:rPr>
                  <w:rStyle w:val="a3"/>
                  <w:rFonts w:eastAsia="Times New Roman"/>
                  <w:sz w:val="20"/>
                  <w:szCs w:val="20"/>
                </w:rPr>
                <w:t>UGI Corporation 2013 Omnibus Incentive Compensation Plan, effective as of September 5, 2014.</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10.30</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vAlign w:val="bottom"/>
            <w:hideMark/>
          </w:tcPr>
          <w:p w:rsidR="00000000" w:rsidRDefault="00DF5BC2">
            <w:pPr>
              <w:spacing w:after="100"/>
              <w:divId w:val="1143813673"/>
              <w:rPr>
                <w:rFonts w:eastAsia="Times New Roman"/>
              </w:rPr>
            </w:pPr>
            <w:hyperlink r:id="rId45" w:history="1">
              <w:r>
                <w:rPr>
                  <w:rStyle w:val="a3"/>
                  <w:rFonts w:eastAsia="Times New Roman"/>
                  <w:sz w:val="20"/>
                  <w:szCs w:val="20"/>
                </w:rPr>
                <w:t>UGI Corporation 2013 Omnibus Incentive Compensation Plan, Terms and Conditions for Non-Employee Directors, effective January 1, 2019.</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 (3/31/</w:t>
            </w:r>
            <w:r>
              <w:rPr>
                <w:rFonts w:eastAsia="Times New Roman"/>
                <w:color w:val="000000"/>
                <w:sz w:val="20"/>
                <w:szCs w:val="20"/>
              </w:rPr>
              <w:t>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10.6</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vAlign w:val="bottom"/>
            <w:hideMark/>
          </w:tcPr>
          <w:p w:rsidR="00000000" w:rsidRDefault="00DF5BC2">
            <w:pPr>
              <w:spacing w:after="100"/>
              <w:divId w:val="1494684940"/>
              <w:rPr>
                <w:rFonts w:eastAsia="Times New Roman"/>
              </w:rPr>
            </w:pPr>
            <w:hyperlink r:id="rId46" w:history="1">
              <w:r>
                <w:rPr>
                  <w:rStyle w:val="a3"/>
                  <w:rFonts w:eastAsia="Times New Roman"/>
                  <w:sz w:val="20"/>
                  <w:szCs w:val="20"/>
                </w:rPr>
                <w:t>UGI Corporation Supplemental Executive Retirement Plan and Supplemental Savings Plan, as Amended and Restated effective April 1, 2015.</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10.26</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vAlign w:val="bottom"/>
            <w:hideMark/>
          </w:tcPr>
          <w:p w:rsidR="00000000" w:rsidRDefault="00DF5BC2">
            <w:pPr>
              <w:spacing w:after="100"/>
              <w:divId w:val="2045057369"/>
              <w:rPr>
                <w:rFonts w:eastAsia="Times New Roman"/>
              </w:rPr>
            </w:pPr>
            <w:hyperlink r:id="rId47" w:history="1">
              <w:r>
                <w:rPr>
                  <w:rStyle w:val="a3"/>
                  <w:rFonts w:eastAsia="Times New Roman"/>
                  <w:sz w:val="20"/>
                  <w:szCs w:val="20"/>
                </w:rPr>
                <w:t>UGI Corporation Executive Annual Bonus Plan as amended November 15, 2018</w:t>
              </w:r>
            </w:hyperlink>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10.7</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vAlign w:val="bottom"/>
            <w:hideMark/>
          </w:tcPr>
          <w:p w:rsidR="00000000" w:rsidRDefault="00DF5BC2">
            <w:pPr>
              <w:spacing w:after="100"/>
              <w:divId w:val="1940604083"/>
              <w:rPr>
                <w:rFonts w:eastAsia="Times New Roman"/>
              </w:rPr>
            </w:pPr>
            <w:hyperlink r:id="rId48" w:history="1">
              <w:r>
                <w:rPr>
                  <w:rStyle w:val="a3"/>
                  <w:rFonts w:eastAsia="Times New Roman"/>
                  <w:sz w:val="20"/>
                  <w:szCs w:val="20"/>
                </w:rPr>
                <w:t>AmeriGas Propane, Inc. Executive Annual Bonus Plan as amended November 15, 2018.</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10.10</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hideMark/>
          </w:tcPr>
          <w:p w:rsidR="00000000" w:rsidRDefault="00DF5BC2">
            <w:pPr>
              <w:spacing w:after="100"/>
              <w:divId w:val="644626819"/>
              <w:rPr>
                <w:rFonts w:eastAsia="Times New Roman"/>
              </w:rPr>
            </w:pPr>
            <w:hyperlink r:id="rId49" w:history="1">
              <w:r>
                <w:rPr>
                  <w:rStyle w:val="a3"/>
                  <w:rFonts w:eastAsia="Times New Roman"/>
                  <w:sz w:val="20"/>
                  <w:szCs w:val="20"/>
                </w:rPr>
                <w:t>UGI Corporation 2021 Incentive Award Plan</w:t>
              </w:r>
            </w:hyperlink>
            <w:hyperlink r:id="rId50" w:history="1">
              <w:r>
                <w:rPr>
                  <w:rStyle w:val="a3"/>
                  <w:rFonts w:eastAsia="Times New Roman"/>
                  <w:sz w:val="20"/>
                  <w:szCs w:val="20"/>
                </w:rPr>
                <w:t>.</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S-8</w:t>
            </w:r>
            <w:r>
              <w:rPr>
                <w:rFonts w:eastAsia="Times New Roman"/>
                <w:color w:val="000000"/>
                <w:sz w:val="20"/>
                <w:szCs w:val="20"/>
              </w:rPr>
              <w:br/>
            </w:r>
            <w:r>
              <w:rPr>
                <w:rFonts w:eastAsia="Times New Roman"/>
                <w:color w:val="000000"/>
                <w:sz w:val="20"/>
                <w:szCs w:val="20"/>
              </w:rPr>
              <w:t>(2/4/21)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4.4</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hideMark/>
          </w:tcPr>
          <w:p w:rsidR="00000000" w:rsidRDefault="00DF5BC2">
            <w:pPr>
              <w:spacing w:after="100"/>
              <w:divId w:val="1785032602"/>
              <w:rPr>
                <w:rFonts w:eastAsia="Times New Roman"/>
              </w:rPr>
            </w:pPr>
            <w:hyperlink r:id="rId51" w:history="1">
              <w:r>
                <w:rPr>
                  <w:rStyle w:val="a3"/>
                  <w:rFonts w:eastAsia="Times New Roman"/>
                  <w:sz w:val="20"/>
                  <w:szCs w:val="20"/>
                </w:rPr>
                <w:t>UGI Corporation Executive Severance Plan, as effective October 1, 2021.</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(9/29/21)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vAlign w:val="bottom"/>
            <w:hideMark/>
          </w:tcPr>
          <w:p w:rsidR="00000000" w:rsidRDefault="00DF5BC2">
            <w:pPr>
              <w:spacing w:after="100"/>
              <w:divId w:val="2136480904"/>
              <w:rPr>
                <w:rFonts w:eastAsia="Times New Roman"/>
              </w:rPr>
            </w:pPr>
            <w:hyperlink r:id="rId52" w:history="1">
              <w:r>
                <w:rPr>
                  <w:rStyle w:val="a3"/>
                  <w:rFonts w:eastAsia="Times New Roman"/>
                  <w:sz w:val="20"/>
                  <w:szCs w:val="20"/>
                </w:rPr>
                <w:t>Form of UGI Corporation 2013 Omnibus Incentive Compensation Plan, Nonqualified Stock Option Grant Letter for all US Employees.</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vAlign w:val="bottom"/>
            <w:hideMark/>
          </w:tcPr>
          <w:p w:rsidR="00000000" w:rsidRDefault="00DF5BC2">
            <w:pPr>
              <w:spacing w:after="100"/>
              <w:divId w:val="660281482"/>
              <w:rPr>
                <w:rFonts w:eastAsia="Times New Roman"/>
              </w:rPr>
            </w:pPr>
            <w:hyperlink r:id="rId53" w:history="1">
              <w:r>
                <w:rPr>
                  <w:rStyle w:val="a3"/>
                  <w:rFonts w:eastAsia="Times New Roman"/>
                  <w:sz w:val="20"/>
                  <w:szCs w:val="20"/>
                </w:rPr>
                <w:t>Form of UGI Corporation 2013 Omnibus Incentive Compensation Plan Performance Unit Grant Letter for all US Employees.</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vAlign w:val="bottom"/>
            <w:hideMark/>
          </w:tcPr>
          <w:p w:rsidR="00000000" w:rsidRDefault="00DF5BC2">
            <w:pPr>
              <w:spacing w:after="100"/>
              <w:divId w:val="1980452154"/>
              <w:rPr>
                <w:rFonts w:eastAsia="Times New Roman"/>
              </w:rPr>
            </w:pPr>
            <w:hyperlink r:id="rId54" w:history="1">
              <w:r>
                <w:rPr>
                  <w:rStyle w:val="a3"/>
                  <w:rFonts w:eastAsia="Times New Roman"/>
                  <w:sz w:val="20"/>
                  <w:szCs w:val="20"/>
                </w:rPr>
                <w:t>Form of UGI Corporation 2013 Omnibus Incentive Compensation Plan Stock Unit Grant Letter for all US Employees.</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hideMark/>
          </w:tcPr>
          <w:p w:rsidR="00000000" w:rsidRDefault="00DF5BC2">
            <w:pPr>
              <w:spacing w:after="100"/>
              <w:divId w:val="1368024241"/>
              <w:rPr>
                <w:rFonts w:eastAsia="Times New Roman"/>
              </w:rPr>
            </w:pPr>
            <w:hyperlink r:id="rId55" w:history="1">
              <w:r>
                <w:rPr>
                  <w:rStyle w:val="a3"/>
                  <w:rFonts w:eastAsia="Times New Roman"/>
                  <w:sz w:val="20"/>
                  <w:szCs w:val="20"/>
                </w:rPr>
                <w:t>Form of UGI Corporation 2013 Omnibus Incentive Compensation Plan, Nonqualified Stock Option Grant Letter for Non-Employee Directors.</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hideMark/>
          </w:tcPr>
          <w:p w:rsidR="00000000" w:rsidRDefault="00DF5BC2">
            <w:pPr>
              <w:spacing w:after="100"/>
              <w:divId w:val="195432156"/>
              <w:rPr>
                <w:rFonts w:eastAsia="Times New Roman"/>
              </w:rPr>
            </w:pPr>
            <w:hyperlink r:id="rId56" w:history="1">
              <w:r>
                <w:rPr>
                  <w:rStyle w:val="a3"/>
                  <w:rFonts w:eastAsia="Times New Roman"/>
                  <w:sz w:val="20"/>
                  <w:szCs w:val="20"/>
                </w:rPr>
                <w:t>Form of UGI Corporation 2013 Omnibus Incentive Compensation Plan Stock Unit Grant Letter for Non-Employee Directors.</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10.5</w:t>
            </w:r>
          </w:p>
        </w:tc>
      </w:tr>
    </w:tbl>
    <w:p w:rsidR="00000000" w:rsidRDefault="00DF5BC2">
      <w:pPr>
        <w:jc w:val="center"/>
        <w:divId w:val="862326775"/>
        <w:rPr>
          <w:rFonts w:eastAsia="Times New Roman"/>
        </w:rPr>
      </w:pPr>
      <w:r>
        <w:rPr>
          <w:rFonts w:eastAsia="Times New Roman"/>
          <w:color w:val="000000"/>
          <w:sz w:val="20"/>
          <w:szCs w:val="20"/>
        </w:rPr>
        <w:t>79</w:t>
      </w:r>
    </w:p>
    <w:p w:rsidR="00000000" w:rsidRDefault="00DF5BC2">
      <w:pPr>
        <w:rPr>
          <w:rFonts w:eastAsia="Times New Roman"/>
        </w:rPr>
      </w:pPr>
      <w:r>
        <w:rPr>
          <w:rFonts w:eastAsia="Times New Roman"/>
        </w:rPr>
        <w:pict>
          <v:rect id="_x0000_i1106" style="width:0;height:1.5pt" o:hralign="center" o:hrstd="t" o:hr="t" fillcolor="#a0a0a0" stroked="f"/>
        </w:pict>
      </w:r>
    </w:p>
    <w:p w:rsidR="00000000" w:rsidRDefault="00DF5BC2">
      <w:pPr>
        <w:divId w:val="697396096"/>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8"/>
        <w:gridCol w:w="55"/>
        <w:gridCol w:w="1985"/>
        <w:gridCol w:w="38"/>
        <w:gridCol w:w="55"/>
        <w:gridCol w:w="1693"/>
        <w:gridCol w:w="36"/>
        <w:gridCol w:w="55"/>
        <w:gridCol w:w="550"/>
        <w:gridCol w:w="38"/>
        <w:gridCol w:w="55"/>
        <w:gridCol w:w="551"/>
        <w:gridCol w:w="37"/>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hideMark/>
          </w:tcPr>
          <w:p w:rsidR="00000000" w:rsidRDefault="00DF5BC2">
            <w:pPr>
              <w:spacing w:after="100"/>
              <w:divId w:val="517353586"/>
              <w:rPr>
                <w:rFonts w:eastAsia="Times New Roman"/>
              </w:rPr>
            </w:pPr>
            <w:hyperlink r:id="rId57" w:history="1">
              <w:r>
                <w:rPr>
                  <w:rStyle w:val="a3"/>
                  <w:rFonts w:eastAsia="Times New Roman"/>
                  <w:sz w:val="20"/>
                  <w:szCs w:val="20"/>
                </w:rPr>
                <w:t>Form of UGI Corporation 2021 Incentive Award Plan Nonqualified Stock Option Grant Letter for all US Employees.</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hideMark/>
          </w:tcPr>
          <w:p w:rsidR="00000000" w:rsidRDefault="00DF5BC2">
            <w:pPr>
              <w:spacing w:after="100"/>
              <w:divId w:val="466166105"/>
              <w:rPr>
                <w:rFonts w:eastAsia="Times New Roman"/>
              </w:rPr>
            </w:pPr>
            <w:hyperlink r:id="rId58" w:history="1">
              <w:r>
                <w:rPr>
                  <w:rStyle w:val="a3"/>
                  <w:rFonts w:eastAsia="Times New Roman"/>
                  <w:sz w:val="20"/>
                  <w:szCs w:val="20"/>
                </w:rPr>
                <w:t>Form of UGI Corporation 2021 Incentive Award Plan Performance Unit Grant Letter for all US Employees.</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rsidR="00000000" w:rsidRDefault="00DF5BC2">
            <w:pPr>
              <w:spacing w:after="100"/>
              <w:divId w:val="1377586894"/>
              <w:rPr>
                <w:rFonts w:eastAsia="Times New Roman"/>
              </w:rPr>
            </w:pPr>
            <w:hyperlink r:id="rId59" w:history="1">
              <w:r>
                <w:rPr>
                  <w:rStyle w:val="a3"/>
                  <w:rFonts w:eastAsia="Times New Roman"/>
                  <w:sz w:val="20"/>
                  <w:szCs w:val="20"/>
                </w:rPr>
                <w:t>Form of UGI Corporation 2021 Incentive Award Plan Stock Unit Grant Letter for all US Employees.</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10.22*</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F5BC2">
            <w:pPr>
              <w:spacing w:after="100"/>
              <w:divId w:val="1093286764"/>
              <w:rPr>
                <w:rFonts w:eastAsia="Times New Roman"/>
              </w:rPr>
            </w:pPr>
            <w:hyperlink r:id="rId60" w:history="1">
              <w:r>
                <w:rPr>
                  <w:rStyle w:val="a3"/>
                  <w:rFonts w:eastAsia="Times New Roman"/>
                  <w:sz w:val="20"/>
                  <w:szCs w:val="20"/>
                </w:rPr>
                <w:t>Change in Control Agreement for Monica M. Gaudiosi dated as of April 23, 2012.</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 (6/30/12)</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rsidR="00000000" w:rsidRDefault="00DF5BC2">
            <w:pPr>
              <w:spacing w:after="100"/>
              <w:divId w:val="873929124"/>
              <w:rPr>
                <w:rFonts w:eastAsia="Times New Roman"/>
              </w:rPr>
            </w:pPr>
            <w:hyperlink r:id="rId61" w:history="1">
              <w:r>
                <w:rPr>
                  <w:rStyle w:val="a3"/>
                  <w:rFonts w:eastAsia="Times New Roman"/>
                  <w:sz w:val="20"/>
                  <w:szCs w:val="20"/>
                </w:rPr>
                <w:t>Amended and Restated Change in Control Agreement, dated December 6, 2019, between UGI Corporation and Mr. John L. Walsh.</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 (12/31/19)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rsidR="00000000" w:rsidRDefault="00DF5BC2">
            <w:pPr>
              <w:spacing w:after="100"/>
              <w:divId w:val="894203040"/>
              <w:rPr>
                <w:rFonts w:eastAsia="Times New Roman"/>
              </w:rPr>
            </w:pPr>
            <w:hyperlink r:id="rId62" w:history="1">
              <w:r>
                <w:rPr>
                  <w:rStyle w:val="a3"/>
                  <w:rFonts w:eastAsia="Times New Roman"/>
                  <w:sz w:val="20"/>
                  <w:szCs w:val="20"/>
                </w:rPr>
                <w:t>Form of Confidentiality, Non-Competition and Non-Solicitation Agreement between UGI Corporation and Ted J. Jastrzebski.</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(6/30/18)</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rsidR="00000000" w:rsidRDefault="00DF5BC2">
            <w:pPr>
              <w:spacing w:after="100"/>
              <w:divId w:val="1542741329"/>
              <w:rPr>
                <w:rFonts w:eastAsia="Times New Roman"/>
              </w:rPr>
            </w:pPr>
            <w:hyperlink r:id="rId63" w:history="1">
              <w:r>
                <w:rPr>
                  <w:rStyle w:val="a3"/>
                  <w:rFonts w:eastAsia="Times New Roman"/>
                  <w:sz w:val="20"/>
                  <w:szCs w:val="20"/>
                </w:rPr>
                <w:t>Form of Confidentiality, Non-Competition and Non-Solicitation Agreement between AmeriGas Propane, Inc. and Mr. Hugh J. Gallagher.</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 xml:space="preserve">AmeriGas </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(12/31/18)</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hideMark/>
          </w:tcPr>
          <w:p w:rsidR="00000000" w:rsidRDefault="00DF5BC2">
            <w:pPr>
              <w:spacing w:after="100"/>
              <w:divId w:val="298606826"/>
              <w:rPr>
                <w:rFonts w:eastAsia="Times New Roman"/>
              </w:rPr>
            </w:pPr>
            <w:hyperlink r:id="rId64" w:history="1">
              <w:r>
                <w:rPr>
                  <w:rStyle w:val="a3"/>
                  <w:rFonts w:eastAsia="Times New Roman"/>
                  <w:sz w:val="20"/>
                  <w:szCs w:val="20"/>
                </w:rPr>
                <w:t>Form of Confidentiality, Non-Competition and Non-Solicitation Agreement between UGI Corporation and Mr. Roger Perreault.</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rsidR="00000000" w:rsidRDefault="00DF5BC2">
            <w:pPr>
              <w:spacing w:after="100"/>
              <w:divId w:val="269506568"/>
              <w:rPr>
                <w:rFonts w:eastAsia="Times New Roman"/>
              </w:rPr>
            </w:pPr>
            <w:hyperlink r:id="rId65" w:history="1">
              <w:r>
                <w:rPr>
                  <w:rStyle w:val="a3"/>
                  <w:rFonts w:eastAsia="Times New Roman"/>
                  <w:sz w:val="20"/>
                  <w:szCs w:val="20"/>
                </w:rPr>
                <w:t>Form of Change in Control Agreement, Amended and Restated, between AmeriGas Propane, Inc. and Mr. Hugh J. Gallagher.</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w:t>
            </w:r>
            <w:r>
              <w:rPr>
                <w:rFonts w:eastAsia="Times New Roman"/>
                <w:color w:val="000000"/>
                <w:sz w:val="20"/>
                <w:szCs w:val="20"/>
              </w:rPr>
              <w: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(12/31/18)</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DF5BC2">
            <w:pPr>
              <w:spacing w:after="100"/>
              <w:divId w:val="1025785482"/>
              <w:rPr>
                <w:rFonts w:eastAsia="Times New Roman"/>
              </w:rPr>
            </w:pPr>
            <w:hyperlink r:id="rId66" w:history="1">
              <w:r>
                <w:rPr>
                  <w:rStyle w:val="a3"/>
                  <w:rFonts w:eastAsia="Times New Roman"/>
                  <w:sz w:val="20"/>
                  <w:szCs w:val="20"/>
                </w:rPr>
                <w:t>Form of Change in Control Agreement between UGI Corporation and Mr. Roger Perreault.</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10.5</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rsidR="00000000" w:rsidRDefault="00DF5BC2">
            <w:pPr>
              <w:spacing w:after="100"/>
              <w:divId w:val="1068529188"/>
              <w:rPr>
                <w:rFonts w:eastAsia="Times New Roman"/>
              </w:rPr>
            </w:pPr>
            <w:hyperlink r:id="rId67" w:history="1">
              <w:r>
                <w:rPr>
                  <w:rStyle w:val="a3"/>
                  <w:rFonts w:eastAsia="Times New Roman"/>
                  <w:sz w:val="20"/>
                  <w:szCs w:val="20"/>
                </w:rPr>
                <w:t xml:space="preserve">Form of Confidentiality, Non-Competition and Non-Solicitation Agreement between UGI Corporation and Mr. Robert F. Beard. </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w:t>
            </w:r>
            <w:r>
              <w:rPr>
                <w:rFonts w:eastAsia="Times New Roman"/>
                <w:color w:val="000000"/>
                <w:sz w:val="20"/>
                <w:szCs w:val="20"/>
              </w:rPr>
              <w:t>0)</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10.27</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10.30**</w:t>
            </w:r>
          </w:p>
        </w:tc>
        <w:tc>
          <w:tcPr>
            <w:tcW w:w="0" w:type="auto"/>
            <w:gridSpan w:val="3"/>
            <w:tcMar>
              <w:top w:w="30" w:type="dxa"/>
              <w:left w:w="20" w:type="dxa"/>
              <w:bottom w:w="30" w:type="dxa"/>
              <w:right w:w="20" w:type="dxa"/>
            </w:tcMar>
            <w:hideMark/>
          </w:tcPr>
          <w:p w:rsidR="00000000" w:rsidRDefault="00DF5BC2">
            <w:pPr>
              <w:spacing w:after="100"/>
              <w:divId w:val="2013297350"/>
              <w:rPr>
                <w:rFonts w:eastAsia="Times New Roman"/>
              </w:rPr>
            </w:pPr>
            <w:hyperlink r:id="rId68" w:history="1">
              <w:r>
                <w:rPr>
                  <w:rStyle w:val="a3"/>
                  <w:rFonts w:eastAsia="Times New Roman"/>
                  <w:sz w:val="20"/>
                  <w:szCs w:val="20"/>
                </w:rPr>
                <w:t xml:space="preserve">Form of Change in Control Agreement between UGI Utilities, Inc. and Mr. Robert F. Beard. </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(9/30/20)</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10.28</w:t>
            </w:r>
          </w:p>
        </w:tc>
      </w:tr>
    </w:tbl>
    <w:p w:rsidR="00000000" w:rsidRDefault="00DF5BC2">
      <w:pPr>
        <w:jc w:val="center"/>
        <w:divId w:val="1294553126"/>
        <w:rPr>
          <w:rFonts w:eastAsia="Times New Roman"/>
        </w:rPr>
      </w:pPr>
      <w:r>
        <w:rPr>
          <w:rFonts w:eastAsia="Times New Roman"/>
          <w:color w:val="000000"/>
          <w:sz w:val="20"/>
          <w:szCs w:val="20"/>
        </w:rPr>
        <w:t>80</w:t>
      </w:r>
    </w:p>
    <w:p w:rsidR="00000000" w:rsidRDefault="00DF5BC2">
      <w:pPr>
        <w:rPr>
          <w:rFonts w:eastAsia="Times New Roman"/>
        </w:rPr>
      </w:pPr>
      <w:r>
        <w:rPr>
          <w:rFonts w:eastAsia="Times New Roman"/>
        </w:rPr>
        <w:pict>
          <v:rect id="_x0000_i1107" style="width:0;height:1.5pt" o:hralign="center" o:hrstd="t" o:hr="t" fillcolor="#a0a0a0" stroked="f"/>
        </w:pict>
      </w:r>
    </w:p>
    <w:p w:rsidR="00000000" w:rsidRDefault="00DF5BC2">
      <w:pPr>
        <w:divId w:val="1158351594"/>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8"/>
        <w:gridCol w:w="55"/>
        <w:gridCol w:w="1985"/>
        <w:gridCol w:w="37"/>
        <w:gridCol w:w="55"/>
        <w:gridCol w:w="1693"/>
        <w:gridCol w:w="36"/>
        <w:gridCol w:w="55"/>
        <w:gridCol w:w="550"/>
        <w:gridCol w:w="38"/>
        <w:gridCol w:w="56"/>
        <w:gridCol w:w="551"/>
        <w:gridCol w:w="37"/>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rsidR="00000000" w:rsidRDefault="00DF5BC2">
            <w:pPr>
              <w:spacing w:after="100"/>
              <w:divId w:val="1341467785"/>
              <w:rPr>
                <w:rFonts w:eastAsia="Times New Roman"/>
              </w:rPr>
            </w:pPr>
            <w:hyperlink r:id="rId69" w:history="1">
              <w:r>
                <w:rPr>
                  <w:rStyle w:val="a3"/>
                  <w:rFonts w:eastAsia="Times New Roman"/>
                  <w:sz w:val="20"/>
                  <w:szCs w:val="20"/>
                </w:rPr>
                <w:t xml:space="preserve">Form of Confidentiality, Non-Competition and Non-Solicitation Agreement between UGI Corporation and Ms. Judy Zagorski. </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rsidR="00000000" w:rsidRDefault="00DF5BC2">
            <w:pPr>
              <w:spacing w:after="100"/>
              <w:divId w:val="660231360"/>
              <w:rPr>
                <w:rFonts w:eastAsia="Times New Roman"/>
              </w:rPr>
            </w:pPr>
            <w:hyperlink r:id="rId70" w:history="1">
              <w:r>
                <w:rPr>
                  <w:rStyle w:val="a3"/>
                  <w:rFonts w:eastAsia="Times New Roman"/>
                  <w:sz w:val="20"/>
                  <w:szCs w:val="20"/>
                </w:rPr>
                <w:t>Form of Change in Control Agreemen</w:t>
              </w:r>
              <w:r>
                <w:rPr>
                  <w:rStyle w:val="a3"/>
                  <w:rFonts w:eastAsia="Times New Roman"/>
                  <w:sz w:val="20"/>
                  <w:szCs w:val="20"/>
                </w:rPr>
                <w:t xml:space="preserve">t between UGI </w:t>
              </w:r>
            </w:hyperlink>
            <w:hyperlink r:id="rId71" w:history="1">
              <w:r>
                <w:rPr>
                  <w:rStyle w:val="a3"/>
                  <w:rFonts w:eastAsia="Times New Roman"/>
                  <w:sz w:val="20"/>
                  <w:szCs w:val="20"/>
                </w:rPr>
                <w:t>Corporation</w:t>
              </w:r>
            </w:hyperlink>
            <w:hyperlink r:id="rId72" w:history="1">
              <w:r>
                <w:rPr>
                  <w:rStyle w:val="a3"/>
                  <w:rFonts w:eastAsia="Times New Roman"/>
                  <w:sz w:val="20"/>
                  <w:szCs w:val="20"/>
                </w:rPr>
                <w:t xml:space="preserve"> and Ms. Judy Zagorski. </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rsidR="00000000" w:rsidRDefault="00DF5BC2">
            <w:pPr>
              <w:spacing w:after="100"/>
              <w:divId w:val="1838500493"/>
              <w:rPr>
                <w:rFonts w:eastAsia="Times New Roman"/>
              </w:rPr>
            </w:pPr>
            <w:hyperlink r:id="rId73" w:history="1">
              <w:r>
                <w:rPr>
                  <w:rStyle w:val="a3"/>
                  <w:rFonts w:eastAsia="Times New Roman"/>
                  <w:sz w:val="20"/>
                  <w:szCs w:val="20"/>
                </w:rPr>
                <w:t>Trademark License Agreement dated April 19, 1995 among UGI Corporation, AmeriGas, Inc., AmeriGas Propane, Inc., AmeriGas Partners, L.P. and AmeriGas Propane</w:t>
              </w:r>
              <w:r>
                <w:rPr>
                  <w:rStyle w:val="a3"/>
                  <w:rFonts w:eastAsia="Times New Roman"/>
                  <w:sz w:val="20"/>
                  <w:szCs w:val="20"/>
                </w:rPr>
                <w:t>, L.P.</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 (9/30/10)</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10.37</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hideMark/>
          </w:tcPr>
          <w:p w:rsidR="00000000" w:rsidRDefault="00DF5BC2">
            <w:pPr>
              <w:spacing w:after="100"/>
              <w:divId w:val="726225291"/>
              <w:rPr>
                <w:rFonts w:eastAsia="Times New Roman"/>
              </w:rPr>
            </w:pPr>
            <w:hyperlink r:id="rId74" w:history="1">
              <w:r>
                <w:rPr>
                  <w:rStyle w:val="a3"/>
                  <w:rFonts w:eastAsia="Times New Roman"/>
                  <w:sz w:val="20"/>
                  <w:szCs w:val="20"/>
                </w:rPr>
                <w:t>First Amendment, dated as of November 18, 2015, to Trademark License Agreement, dated April 19, 1995, by and among UGI Corporation, AmeriGas, Inc., AmeriGas Propane, Inc., AmeriGas Partners, L.P., and AmeriGas Propane, L.P.</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w:t>
            </w:r>
            <w:r>
              <w:rPr>
                <w:rFonts w:eastAsia="Times New Roman"/>
                <w:color w:val="000000"/>
                <w:sz w:val="20"/>
                <w:szCs w:val="20"/>
              </w:rPr>
              <w:t xml:space="preserve"> 10-K</w:t>
            </w:r>
            <w:r>
              <w:rPr>
                <w:rFonts w:eastAsia="Times New Roman"/>
                <w:color w:val="000000"/>
                <w:sz w:val="20"/>
                <w:szCs w:val="20"/>
              </w:rPr>
              <w:br/>
              <w:t>(9/30/15)</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10.35</w:t>
            </w:r>
          </w:p>
        </w:tc>
        <w:tc>
          <w:tcPr>
            <w:tcW w:w="0" w:type="auto"/>
            <w:gridSpan w:val="3"/>
            <w:tcMar>
              <w:top w:w="30" w:type="dxa"/>
              <w:left w:w="20" w:type="dxa"/>
              <w:bottom w:w="30" w:type="dxa"/>
              <w:right w:w="20" w:type="dxa"/>
            </w:tcMar>
            <w:hideMark/>
          </w:tcPr>
          <w:p w:rsidR="00000000" w:rsidRDefault="00DF5BC2">
            <w:pPr>
              <w:spacing w:after="100"/>
              <w:divId w:val="1597057576"/>
              <w:rPr>
                <w:rFonts w:eastAsia="Times New Roman"/>
              </w:rPr>
            </w:pPr>
            <w:hyperlink r:id="rId75" w:history="1">
              <w:r>
                <w:rPr>
                  <w:rStyle w:val="a3"/>
                  <w:rFonts w:eastAsia="Times New Roman"/>
                  <w:sz w:val="20"/>
                  <w:szCs w:val="20"/>
                </w:rPr>
                <w:t>Trademark License Agreement, dated April 19, 1995 among AmeriGas Propane, Inc., AmeriGas Partners, L.P. and AmeriGas Propane, L.P.</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 (12/31/10)</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10.36</w:t>
            </w:r>
          </w:p>
        </w:tc>
        <w:tc>
          <w:tcPr>
            <w:tcW w:w="0" w:type="auto"/>
            <w:gridSpan w:val="3"/>
            <w:tcMar>
              <w:top w:w="30" w:type="dxa"/>
              <w:left w:w="20" w:type="dxa"/>
              <w:bottom w:w="30" w:type="dxa"/>
              <w:right w:w="20" w:type="dxa"/>
            </w:tcMar>
            <w:hideMark/>
          </w:tcPr>
          <w:p w:rsidR="00000000" w:rsidRDefault="00DF5BC2">
            <w:pPr>
              <w:spacing w:after="100"/>
              <w:divId w:val="1543401401"/>
              <w:rPr>
                <w:rFonts w:eastAsia="Times New Roman"/>
              </w:rPr>
            </w:pPr>
            <w:hyperlink r:id="rId76" w:history="1">
              <w:r>
                <w:rPr>
                  <w:rStyle w:val="a3"/>
                  <w:rFonts w:eastAsia="Times New Roman"/>
                  <w:sz w:val="20"/>
                  <w:szCs w:val="20"/>
                </w:rPr>
                <w:t>Form of Receivables Purchase Agreement, dated as of November 30, 2001, as amended through and including Amendment No. 18 thereto dated October 27, 2017, by and among UGI Energy Services, LLC, as servicer,</w:t>
              </w:r>
              <w:r>
                <w:rPr>
                  <w:rStyle w:val="a3"/>
                  <w:rFonts w:eastAsia="Times New Roman"/>
                  <w:sz w:val="20"/>
                  <w:szCs w:val="20"/>
                </w:rPr>
                <w:t xml:space="preserve">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10.38</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10.37</w:t>
            </w:r>
          </w:p>
        </w:tc>
        <w:tc>
          <w:tcPr>
            <w:tcW w:w="0" w:type="auto"/>
            <w:gridSpan w:val="3"/>
            <w:tcMar>
              <w:top w:w="30" w:type="dxa"/>
              <w:left w:w="20" w:type="dxa"/>
              <w:bottom w:w="30" w:type="dxa"/>
              <w:right w:w="20" w:type="dxa"/>
            </w:tcMar>
            <w:hideMark/>
          </w:tcPr>
          <w:p w:rsidR="00000000" w:rsidRDefault="00DF5BC2">
            <w:pPr>
              <w:spacing w:after="100"/>
              <w:divId w:val="646324436"/>
              <w:rPr>
                <w:rFonts w:eastAsia="Times New Roman"/>
              </w:rPr>
            </w:pPr>
            <w:hyperlink r:id="rId77" w:history="1">
              <w:r>
                <w:rPr>
                  <w:rStyle w:val="a3"/>
                  <w:rFonts w:eastAsia="Times New Roman"/>
                  <w:sz w:val="20"/>
                  <w:szCs w:val="20"/>
                </w:rPr>
                <w:t>Amendment No. 19, dated as of October 26, 2018, to Receivables Purchase Agreement, dated as of November 30, 2001 (as amended, supplemented or modified from tim</w:t>
              </w:r>
              <w:r>
                <w:rPr>
                  <w:rStyle w:val="a3"/>
                  <w:rFonts w:eastAsia="Times New Roman"/>
                  <w:sz w:val="20"/>
                  <w:szCs w:val="20"/>
                </w:rPr>
                <w:t>e to time), by and among UGI Energy Services, LLC, as 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(10/26/18)</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bl>
    <w:p w:rsidR="00000000" w:rsidRDefault="00DF5BC2">
      <w:pPr>
        <w:jc w:val="center"/>
        <w:divId w:val="786312821"/>
        <w:rPr>
          <w:rFonts w:eastAsia="Times New Roman"/>
        </w:rPr>
      </w:pPr>
      <w:r>
        <w:rPr>
          <w:rFonts w:eastAsia="Times New Roman"/>
          <w:color w:val="000000"/>
          <w:sz w:val="20"/>
          <w:szCs w:val="20"/>
        </w:rPr>
        <w:t>81</w:t>
      </w:r>
    </w:p>
    <w:p w:rsidR="00000000" w:rsidRDefault="00DF5BC2">
      <w:pPr>
        <w:rPr>
          <w:rFonts w:eastAsia="Times New Roman"/>
        </w:rPr>
      </w:pPr>
      <w:r>
        <w:rPr>
          <w:rFonts w:eastAsia="Times New Roman"/>
        </w:rPr>
        <w:pict>
          <v:rect id="_x0000_i1108" style="width:0;height:1.5pt" o:hralign="center" o:hrstd="t" o:hr="t" fillcolor="#a0a0a0" stroked="f"/>
        </w:pict>
      </w:r>
    </w:p>
    <w:p w:rsidR="00000000" w:rsidRDefault="00DF5BC2">
      <w:pPr>
        <w:divId w:val="124857898"/>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6"/>
        <w:gridCol w:w="551"/>
        <w:gridCol w:w="38"/>
        <w:gridCol w:w="56"/>
        <w:gridCol w:w="551"/>
        <w:gridCol w:w="36"/>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10.38</w:t>
            </w:r>
          </w:p>
        </w:tc>
        <w:tc>
          <w:tcPr>
            <w:tcW w:w="0" w:type="auto"/>
            <w:gridSpan w:val="3"/>
            <w:tcMar>
              <w:top w:w="30" w:type="dxa"/>
              <w:left w:w="20" w:type="dxa"/>
              <w:bottom w:w="30" w:type="dxa"/>
              <w:right w:w="20" w:type="dxa"/>
            </w:tcMar>
            <w:hideMark/>
          </w:tcPr>
          <w:p w:rsidR="00000000" w:rsidRDefault="00DF5BC2">
            <w:pPr>
              <w:spacing w:after="100"/>
              <w:divId w:val="1031342691"/>
              <w:rPr>
                <w:rFonts w:eastAsia="Times New Roman"/>
              </w:rPr>
            </w:pPr>
            <w:hyperlink r:id="rId78" w:history="1">
              <w:r>
                <w:rPr>
                  <w:rStyle w:val="a3"/>
                  <w:rFonts w:eastAsia="Times New Roman"/>
                  <w:sz w:val="20"/>
                  <w:szCs w:val="20"/>
                </w:rPr>
                <w:t>Amendment No. 20, dated as of October 25, 2019, to Receivables Purchase Agreement, dated as of November 30, 2001 (as amended, supplemented or modified f</w:t>
              </w:r>
              <w:r>
                <w:rPr>
                  <w:rStyle w:val="a3"/>
                  <w:rFonts w:eastAsia="Times New Roman"/>
                  <w:sz w:val="20"/>
                  <w:szCs w:val="20"/>
                </w:rPr>
                <w:t>rom time to time), by and among UGI Energy Services, LLC, as 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(10/25/19)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10.39</w:t>
            </w:r>
          </w:p>
        </w:tc>
        <w:tc>
          <w:tcPr>
            <w:tcW w:w="0" w:type="auto"/>
            <w:gridSpan w:val="3"/>
            <w:tcMar>
              <w:top w:w="30" w:type="dxa"/>
              <w:left w:w="20" w:type="dxa"/>
              <w:bottom w:w="30" w:type="dxa"/>
              <w:right w:w="20" w:type="dxa"/>
            </w:tcMar>
            <w:hideMark/>
          </w:tcPr>
          <w:p w:rsidR="00000000" w:rsidRDefault="00DF5BC2">
            <w:pPr>
              <w:spacing w:after="100"/>
              <w:divId w:val="194201584"/>
              <w:rPr>
                <w:rFonts w:eastAsia="Times New Roman"/>
              </w:rPr>
            </w:pPr>
            <w:hyperlink r:id="rId79" w:history="1">
              <w:r>
                <w:rPr>
                  <w:rStyle w:val="a3"/>
                  <w:rFonts w:eastAsia="Times New Roman"/>
                  <w:sz w:val="20"/>
                  <w:szCs w:val="20"/>
                </w:rPr>
                <w:t>Amendment No. 21, dated as of October 23, 2020, to Receivables Purchase Agreement, dated as of November 30, 2001, by and among UGI Energy Services, LLC, as s</w:t>
              </w:r>
              <w:r>
                <w:rPr>
                  <w:rStyle w:val="a3"/>
                  <w:rFonts w:eastAsia="Times New Roman"/>
                  <w:sz w:val="20"/>
                  <w:szCs w:val="20"/>
                </w:rPr>
                <w:t>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(10/23/20)</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10.40</w:t>
            </w:r>
          </w:p>
        </w:tc>
        <w:tc>
          <w:tcPr>
            <w:tcW w:w="0" w:type="auto"/>
            <w:gridSpan w:val="3"/>
            <w:tcMar>
              <w:top w:w="30" w:type="dxa"/>
              <w:left w:w="20" w:type="dxa"/>
              <w:bottom w:w="30" w:type="dxa"/>
              <w:right w:w="20" w:type="dxa"/>
            </w:tcMar>
            <w:hideMark/>
          </w:tcPr>
          <w:p w:rsidR="00000000" w:rsidRDefault="00DF5BC2">
            <w:pPr>
              <w:spacing w:after="100"/>
              <w:divId w:val="1421028167"/>
              <w:rPr>
                <w:rFonts w:eastAsia="Times New Roman"/>
              </w:rPr>
            </w:pPr>
            <w:hyperlink r:id="rId80" w:history="1">
              <w:r>
                <w:rPr>
                  <w:rStyle w:val="a3"/>
                  <w:rFonts w:eastAsia="Times New Roman"/>
                  <w:sz w:val="20"/>
                  <w:szCs w:val="20"/>
                </w:rPr>
                <w:t xml:space="preserve">Amendment No. 22, dated as of </w:t>
              </w:r>
            </w:hyperlink>
            <w:hyperlink r:id="rId81" w:history="1">
              <w:r>
                <w:rPr>
                  <w:rStyle w:val="a3"/>
                  <w:rFonts w:eastAsia="Times New Roman"/>
                  <w:sz w:val="20"/>
                  <w:szCs w:val="20"/>
                </w:rPr>
                <w:t xml:space="preserve">October </w:t>
              </w:r>
            </w:hyperlink>
            <w:hyperlink r:id="rId82" w:history="1">
              <w:r>
                <w:rPr>
                  <w:rStyle w:val="a3"/>
                  <w:rFonts w:eastAsia="Times New Roman"/>
                  <w:sz w:val="20"/>
                  <w:szCs w:val="20"/>
                </w:rPr>
                <w:t>22</w:t>
              </w:r>
            </w:hyperlink>
            <w:hyperlink r:id="rId83" w:history="1">
              <w:r>
                <w:rPr>
                  <w:rStyle w:val="a3"/>
                  <w:rFonts w:eastAsia="Times New Roman"/>
                  <w:sz w:val="20"/>
                  <w:szCs w:val="20"/>
                </w:rPr>
                <w:t>, 2021</w:t>
              </w:r>
            </w:hyperlink>
            <w:hyperlink r:id="rId84" w:history="1">
              <w:r>
                <w:rPr>
                  <w:rStyle w:val="a3"/>
                  <w:rFonts w:eastAsia="Times New Roman"/>
                  <w:sz w:val="20"/>
                  <w:szCs w:val="20"/>
                </w:rPr>
                <w:t>, to Receivables Purchase Agreement, dated as of November 30, 2001, by and among UGI Energy Services, LLC, as servicer, Energy Services Funding Corporation, as seller, and PNC Bank, National Association, as issuer and admi</w:t>
              </w:r>
              <w:r>
                <w:rPr>
                  <w:rStyle w:val="a3"/>
                  <w:rFonts w:eastAsia="Times New Roman"/>
                  <w:sz w:val="20"/>
                  <w:szCs w:val="20"/>
                </w:rPr>
                <w:t>nistrator.</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(10/22/21)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rsidR="00000000" w:rsidRDefault="00DF5BC2">
            <w:pPr>
              <w:spacing w:after="100"/>
              <w:divId w:val="1375038233"/>
              <w:rPr>
                <w:rFonts w:eastAsia="Times New Roman"/>
              </w:rPr>
            </w:pPr>
            <w:hyperlink r:id="rId85" w:history="1">
              <w:r>
                <w:rPr>
                  <w:rStyle w:val="a3"/>
                  <w:rFonts w:eastAsia="Times New Roman"/>
                  <w:sz w:val="20"/>
                  <w:szCs w:val="20"/>
                </w:rPr>
                <w:t>Form of Purchase and Sale Agreement, dated as of November 30, 2001, as amended through and including Amendment No. 4 thereto dated October 1, 2013, b</w:t>
              </w:r>
              <w:r>
                <w:rPr>
                  <w:rStyle w:val="a3"/>
                  <w:rFonts w:eastAsia="Times New Roman"/>
                  <w:sz w:val="20"/>
                  <w:szCs w:val="20"/>
                </w:rPr>
                <w:t>y and between UGI Energy Services, LLC and Energy Services Funding Corporation.</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10.39</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rsidR="00000000" w:rsidRDefault="00DF5BC2">
            <w:pPr>
              <w:spacing w:after="100"/>
              <w:divId w:val="1093670330"/>
              <w:rPr>
                <w:rFonts w:eastAsia="Times New Roman"/>
              </w:rPr>
            </w:pPr>
            <w:hyperlink r:id="rId86" w:history="1">
              <w:r>
                <w:rPr>
                  <w:rStyle w:val="a3"/>
                  <w:rFonts w:eastAsia="Times New Roman"/>
                  <w:sz w:val="20"/>
                  <w:szCs w:val="20"/>
                </w:rPr>
                <w:t>FSS Service Agreement No. 79028 effective as of December 1, 2019 by and between Columbia Gas Transmission, LLC and UGI Utilities, Inc.</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10.40</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10.43</w:t>
            </w:r>
          </w:p>
        </w:tc>
        <w:tc>
          <w:tcPr>
            <w:tcW w:w="0" w:type="auto"/>
            <w:gridSpan w:val="3"/>
            <w:tcMar>
              <w:top w:w="30" w:type="dxa"/>
              <w:left w:w="20" w:type="dxa"/>
              <w:bottom w:w="30" w:type="dxa"/>
              <w:right w:w="20" w:type="dxa"/>
            </w:tcMar>
            <w:hideMark/>
          </w:tcPr>
          <w:p w:rsidR="00000000" w:rsidRDefault="00DF5BC2">
            <w:pPr>
              <w:spacing w:after="100"/>
              <w:divId w:val="299841790"/>
              <w:rPr>
                <w:rFonts w:eastAsia="Times New Roman"/>
              </w:rPr>
            </w:pPr>
            <w:hyperlink r:id="rId87" w:history="1">
              <w:r>
                <w:rPr>
                  <w:rStyle w:val="a3"/>
                  <w:rFonts w:eastAsia="Times New Roman"/>
                  <w:sz w:val="20"/>
                  <w:szCs w:val="20"/>
                </w:rPr>
                <w:t>SST Service Agreement No. 79133 effective as of December 1, 2019 by and between Columbia Gas Transmission,</w:t>
              </w:r>
              <w:r>
                <w:rPr>
                  <w:rStyle w:val="a3"/>
                  <w:rFonts w:eastAsia="Times New Roman"/>
                  <w:sz w:val="20"/>
                  <w:szCs w:val="20"/>
                </w:rPr>
                <w:t xml:space="preserve"> LLC and UGI Utilities, Inc.</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10.44</w:t>
            </w:r>
          </w:p>
        </w:tc>
        <w:tc>
          <w:tcPr>
            <w:tcW w:w="0" w:type="auto"/>
            <w:gridSpan w:val="3"/>
            <w:tcMar>
              <w:top w:w="30" w:type="dxa"/>
              <w:left w:w="20" w:type="dxa"/>
              <w:bottom w:w="30" w:type="dxa"/>
              <w:right w:w="20" w:type="dxa"/>
            </w:tcMar>
            <w:hideMark/>
          </w:tcPr>
          <w:p w:rsidR="00000000" w:rsidRDefault="00DF5BC2">
            <w:pPr>
              <w:spacing w:after="100"/>
              <w:divId w:val="91434943"/>
              <w:rPr>
                <w:rFonts w:eastAsia="Times New Roman"/>
              </w:rPr>
            </w:pPr>
            <w:hyperlink r:id="rId88" w:history="1">
              <w:r>
                <w:rPr>
                  <w:rStyle w:val="a3"/>
                  <w:rFonts w:eastAsia="Times New Roman"/>
                  <w:sz w:val="20"/>
                  <w:szCs w:val="20"/>
                </w:rPr>
                <w:t>Gas Supply and Delivery Service Agreement between UGI Utilities, Inc. and UGI Energy Services, LLC, effective November 1, 2015.</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w:t>
            </w:r>
            <w:r>
              <w:rPr>
                <w:rFonts w:eastAsia="Times New Roman"/>
                <w:color w:val="000000"/>
                <w:sz w:val="20"/>
                <w:szCs w:val="20"/>
              </w:rPr>
              <w:t>rm 10-K (9/30/16)</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10.19</w:t>
            </w:r>
          </w:p>
        </w:tc>
      </w:tr>
    </w:tbl>
    <w:p w:rsidR="00000000" w:rsidRDefault="00DF5BC2">
      <w:pPr>
        <w:jc w:val="center"/>
        <w:divId w:val="1737363239"/>
        <w:rPr>
          <w:rFonts w:eastAsia="Times New Roman"/>
        </w:rPr>
      </w:pPr>
      <w:r>
        <w:rPr>
          <w:rFonts w:eastAsia="Times New Roman"/>
          <w:color w:val="000000"/>
          <w:sz w:val="20"/>
          <w:szCs w:val="20"/>
        </w:rPr>
        <w:t>82</w:t>
      </w:r>
    </w:p>
    <w:p w:rsidR="00000000" w:rsidRDefault="00DF5BC2">
      <w:pPr>
        <w:rPr>
          <w:rFonts w:eastAsia="Times New Roman"/>
        </w:rPr>
      </w:pPr>
      <w:r>
        <w:rPr>
          <w:rFonts w:eastAsia="Times New Roman"/>
        </w:rPr>
        <w:pict>
          <v:rect id="_x0000_i1109" style="width:0;height:1.5pt" o:hralign="center" o:hrstd="t" o:hr="t" fillcolor="#a0a0a0" stroked="f"/>
        </w:pict>
      </w:r>
    </w:p>
    <w:p w:rsidR="00000000" w:rsidRDefault="00DF5BC2">
      <w:pPr>
        <w:divId w:val="1913345417"/>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9"/>
        <w:gridCol w:w="55"/>
        <w:gridCol w:w="1693"/>
        <w:gridCol w:w="36"/>
        <w:gridCol w:w="55"/>
        <w:gridCol w:w="550"/>
        <w:gridCol w:w="38"/>
        <w:gridCol w:w="55"/>
        <w:gridCol w:w="551"/>
        <w:gridCol w:w="37"/>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10.45</w:t>
            </w:r>
          </w:p>
        </w:tc>
        <w:tc>
          <w:tcPr>
            <w:tcW w:w="0" w:type="auto"/>
            <w:gridSpan w:val="3"/>
            <w:tcMar>
              <w:top w:w="30" w:type="dxa"/>
              <w:left w:w="20" w:type="dxa"/>
              <w:bottom w:w="30" w:type="dxa"/>
              <w:right w:w="20" w:type="dxa"/>
            </w:tcMar>
            <w:hideMark/>
          </w:tcPr>
          <w:p w:rsidR="00000000" w:rsidRDefault="00DF5BC2">
            <w:pPr>
              <w:spacing w:after="100"/>
              <w:divId w:val="1053888433"/>
              <w:rPr>
                <w:rFonts w:eastAsia="Times New Roman"/>
              </w:rPr>
            </w:pPr>
            <w:hyperlink r:id="rId89" w:history="1">
              <w:r>
                <w:rPr>
                  <w:rStyle w:val="a3"/>
                  <w:rFonts w:eastAsia="Times New Roman"/>
                  <w:sz w:val="20"/>
                  <w:szCs w:val="20"/>
                </w:rPr>
                <w:t>First Amendment, dated November 1, 2020, to Gas Supply and Delivery Service Agreement First Amendment, dated November 1, 2020, to Gas Supply and De</w:t>
              </w:r>
              <w:r>
                <w:rPr>
                  <w:rStyle w:val="a3"/>
                  <w:rFonts w:eastAsia="Times New Roman"/>
                  <w:sz w:val="20"/>
                  <w:szCs w:val="20"/>
                </w:rPr>
                <w:t>livery Service Agreement between UGI Utilities, Inc. and UGI Energy Services, LLC, effective November 1, 2015. UGI Utilities, Inc. and UGI Energy Services, LLC, effective November 1, 2015.</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(9/30/20)</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10.46</w:t>
            </w:r>
          </w:p>
        </w:tc>
        <w:tc>
          <w:tcPr>
            <w:tcW w:w="0" w:type="auto"/>
            <w:gridSpan w:val="3"/>
            <w:tcMar>
              <w:top w:w="30" w:type="dxa"/>
              <w:left w:w="20" w:type="dxa"/>
              <w:bottom w:w="30" w:type="dxa"/>
              <w:right w:w="20" w:type="dxa"/>
            </w:tcMar>
            <w:hideMark/>
          </w:tcPr>
          <w:p w:rsidR="00000000" w:rsidRDefault="00DF5BC2">
            <w:pPr>
              <w:spacing w:after="100"/>
              <w:divId w:val="253904210"/>
              <w:rPr>
                <w:rFonts w:eastAsia="Times New Roman"/>
              </w:rPr>
            </w:pPr>
            <w:hyperlink r:id="rId90" w:history="1">
              <w:r>
                <w:rPr>
                  <w:rStyle w:val="a3"/>
                  <w:rFonts w:eastAsia="Times New Roman"/>
                  <w:sz w:val="20"/>
                  <w:szCs w:val="20"/>
                </w:rPr>
                <w:t>Gas Supply and Delivery Service Agreement between UGI Utilities, Inc. and UGI Energy Services, LLC, effective November 1, 2020.</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(9/30/20)</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10.42</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rsidR="00000000" w:rsidRDefault="00DF5BC2">
            <w:pPr>
              <w:spacing w:after="100"/>
              <w:divId w:val="168377040"/>
              <w:rPr>
                <w:rFonts w:eastAsia="Times New Roman"/>
              </w:rPr>
            </w:pPr>
            <w:hyperlink r:id="rId91" w:history="1">
              <w:r>
                <w:rPr>
                  <w:rStyle w:val="a3"/>
                  <w:rFonts w:eastAsia="Times New Roman"/>
                  <w:sz w:val="20"/>
                  <w:szCs w:val="20"/>
                </w:rPr>
                <w:t>Gas Supply and Delivery Service Agreement between UGI Utilities, Inc. and UGI Energy Services, LLC, effective November 1, 2021.</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10.48</w:t>
            </w:r>
          </w:p>
        </w:tc>
        <w:tc>
          <w:tcPr>
            <w:tcW w:w="0" w:type="auto"/>
            <w:gridSpan w:val="3"/>
            <w:tcMar>
              <w:top w:w="30" w:type="dxa"/>
              <w:left w:w="20" w:type="dxa"/>
              <w:bottom w:w="30" w:type="dxa"/>
              <w:right w:w="20" w:type="dxa"/>
            </w:tcMar>
            <w:hideMark/>
          </w:tcPr>
          <w:p w:rsidR="00000000" w:rsidRDefault="00DF5BC2">
            <w:pPr>
              <w:spacing w:after="100"/>
              <w:divId w:val="1293752322"/>
              <w:rPr>
                <w:rFonts w:eastAsia="Times New Roman"/>
              </w:rPr>
            </w:pPr>
            <w:hyperlink r:id="rId92" w:history="1">
              <w:r>
                <w:rPr>
                  <w:rStyle w:val="a3"/>
                  <w:rFonts w:eastAsia="Times New Roman"/>
                  <w:sz w:val="20"/>
                  <w:szCs w:val="20"/>
                </w:rPr>
                <w:t>Credit Agreement, dated as of June 27, 2019, by and among UGI Utilities, Inc., as borrower, PNC Bank, National Association, as administrative agent, Citizens Bank, N.A., as syndication agent, and the lenders party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10.49</w:t>
            </w:r>
          </w:p>
        </w:tc>
        <w:tc>
          <w:tcPr>
            <w:tcW w:w="0" w:type="auto"/>
            <w:gridSpan w:val="3"/>
            <w:tcMar>
              <w:top w:w="30" w:type="dxa"/>
              <w:left w:w="20" w:type="dxa"/>
              <w:bottom w:w="30" w:type="dxa"/>
              <w:right w:w="20" w:type="dxa"/>
            </w:tcMar>
            <w:hideMark/>
          </w:tcPr>
          <w:p w:rsidR="00000000" w:rsidRDefault="00DF5BC2">
            <w:pPr>
              <w:spacing w:after="100"/>
              <w:divId w:val="445928706"/>
              <w:rPr>
                <w:rFonts w:eastAsia="Times New Roman"/>
              </w:rPr>
            </w:pPr>
            <w:hyperlink r:id="rId93" w:history="1">
              <w:r>
                <w:rPr>
                  <w:rStyle w:val="a3"/>
                  <w:rFonts w:eastAsia="Times New Roman"/>
                  <w:sz w:val="20"/>
                  <w:szCs w:val="20"/>
                </w:rPr>
                <w:t>Second Amended and Restated Credit Agreement dated as of December 15, 2017 by and among AmeriGas Propane, L.P., as Borrower, AmeriGas Propane, Inc., as a Guarantor, Wells Fargo Bank, National Association, as Administrative Agent, Swingline Lender, and Issu</w:t>
              </w:r>
              <w:r>
                <w:rPr>
                  <w:rStyle w:val="a3"/>
                  <w:rFonts w:eastAsia="Times New Roman"/>
                  <w:sz w:val="20"/>
                  <w:szCs w:val="20"/>
                </w:rPr>
                <w:t>ing Lender, Wells Fargo Securities, LLC, as Sole Lead Arranger and Sole Bookrunner, and the other financial institutions from time to time party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 xml:space="preserve">AmeriGas </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(12/15/17)</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bl>
    <w:p w:rsidR="00000000" w:rsidRDefault="00DF5BC2">
      <w:pPr>
        <w:jc w:val="center"/>
        <w:divId w:val="1200123840"/>
        <w:rPr>
          <w:rFonts w:eastAsia="Times New Roman"/>
        </w:rPr>
      </w:pPr>
      <w:r>
        <w:rPr>
          <w:rFonts w:eastAsia="Times New Roman"/>
          <w:color w:val="000000"/>
          <w:sz w:val="20"/>
          <w:szCs w:val="20"/>
        </w:rPr>
        <w:t>83</w:t>
      </w:r>
    </w:p>
    <w:p w:rsidR="00000000" w:rsidRDefault="00DF5BC2">
      <w:pPr>
        <w:rPr>
          <w:rFonts w:eastAsia="Times New Roman"/>
        </w:rPr>
      </w:pPr>
      <w:r>
        <w:rPr>
          <w:rFonts w:eastAsia="Times New Roman"/>
        </w:rPr>
        <w:pict>
          <v:rect id="_x0000_i1110" style="width:0;height:1.5pt" o:hralign="center" o:hrstd="t" o:hr="t" fillcolor="#a0a0a0" stroked="f"/>
        </w:pict>
      </w:r>
    </w:p>
    <w:p w:rsidR="00000000" w:rsidRDefault="00DF5BC2">
      <w:pPr>
        <w:divId w:val="2088381671"/>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6"/>
        <w:gridCol w:w="551"/>
        <w:gridCol w:w="38"/>
        <w:gridCol w:w="56"/>
        <w:gridCol w:w="551"/>
        <w:gridCol w:w="36"/>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10.50</w:t>
            </w:r>
          </w:p>
        </w:tc>
        <w:tc>
          <w:tcPr>
            <w:tcW w:w="0" w:type="auto"/>
            <w:gridSpan w:val="3"/>
            <w:tcMar>
              <w:top w:w="30" w:type="dxa"/>
              <w:left w:w="20" w:type="dxa"/>
              <w:bottom w:w="30" w:type="dxa"/>
              <w:right w:w="20" w:type="dxa"/>
            </w:tcMar>
            <w:hideMark/>
          </w:tcPr>
          <w:p w:rsidR="00000000" w:rsidRDefault="00DF5BC2">
            <w:pPr>
              <w:spacing w:after="100"/>
              <w:divId w:val="720521570"/>
              <w:rPr>
                <w:rFonts w:eastAsia="Times New Roman"/>
              </w:rPr>
            </w:pPr>
            <w:hyperlink r:id="rId94" w:history="1">
              <w:r>
                <w:rPr>
                  <w:rStyle w:val="a3"/>
                  <w:rFonts w:eastAsia="Times New Roman"/>
                  <w:sz w:val="20"/>
                  <w:szCs w:val="20"/>
                </w:rPr>
                <w:t>First Amendment, dated as of December 17, 2019, to Second Amended and Restated Credit Agreement, dated as of December 15, 2017, by and among AmeriGas P</w:t>
              </w:r>
              <w:r>
                <w:rPr>
                  <w:rStyle w:val="a3"/>
                  <w:rFonts w:eastAsia="Times New Roman"/>
                  <w:sz w:val="20"/>
                  <w:szCs w:val="20"/>
                </w:rPr>
                <w:t xml:space="preserve">ropane, L.P., as Borrower, AmeriGas Propane, Inc., as a Guarantor, Wells Fargo Bank, National Association, as Administrative Agent, Swingline Lender, and Issuing Lender, Wells Fargo Securities, LLC, as Sole Lead Arranger and Sole Bookrunner, and the other </w:t>
              </w:r>
              <w:r>
                <w:rPr>
                  <w:rStyle w:val="a3"/>
                  <w:rFonts w:eastAsia="Times New Roman"/>
                  <w:sz w:val="20"/>
                  <w:szCs w:val="20"/>
                </w:rPr>
                <w:t>financial institutions from time to time party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(12/31/19)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10.3</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10.51</w:t>
            </w:r>
          </w:p>
        </w:tc>
        <w:tc>
          <w:tcPr>
            <w:tcW w:w="0" w:type="auto"/>
            <w:gridSpan w:val="3"/>
            <w:tcMar>
              <w:top w:w="30" w:type="dxa"/>
              <w:left w:w="20" w:type="dxa"/>
              <w:bottom w:w="30" w:type="dxa"/>
              <w:right w:w="20" w:type="dxa"/>
            </w:tcMar>
            <w:hideMark/>
          </w:tcPr>
          <w:p w:rsidR="00000000" w:rsidRDefault="00DF5BC2">
            <w:pPr>
              <w:spacing w:after="100"/>
              <w:divId w:val="1087965033"/>
              <w:rPr>
                <w:rFonts w:eastAsia="Times New Roman"/>
              </w:rPr>
            </w:pPr>
            <w:hyperlink r:id="rId95" w:history="1">
              <w:r>
                <w:rPr>
                  <w:rStyle w:val="a3"/>
                  <w:rFonts w:eastAsia="Times New Roman"/>
                  <w:sz w:val="20"/>
                  <w:szCs w:val="20"/>
                </w:rPr>
                <w:t>Multicurrency Facilities Agreement, effective Oc</w:t>
              </w:r>
              <w:r>
                <w:rPr>
                  <w:rStyle w:val="a3"/>
                  <w:rFonts w:eastAsia="Times New Roman"/>
                  <w:sz w:val="20"/>
                  <w:szCs w:val="20"/>
                </w:rPr>
                <w:t>tober 25, 2018, among International, as borrower, Natixis, as agent, mandated lead arranger, bookrunner and coordinator, Barclays Bank Plc, BNP Paribas, Credit Agricole Corporate and Investment Bank, HSBC France, ING Bank N.V., French Branch, Mediobanca In</w:t>
              </w:r>
              <w:r>
                <w:rPr>
                  <w:rStyle w:val="a3"/>
                  <w:rFonts w:eastAsia="Times New Roman"/>
                  <w:sz w:val="20"/>
                  <w:szCs w:val="20"/>
                </w:rPr>
                <w:t>ternational (Luxembourg) S.A., Raiffeisen Bank International AG and Societe Generale Corporate and Investment Banking, as mandated lead arrangers, and certain other lenders.</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(10/25/18)</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4.2</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10.52</w:t>
            </w:r>
          </w:p>
        </w:tc>
        <w:tc>
          <w:tcPr>
            <w:tcW w:w="0" w:type="auto"/>
            <w:gridSpan w:val="3"/>
            <w:tcMar>
              <w:top w:w="30" w:type="dxa"/>
              <w:left w:w="20" w:type="dxa"/>
              <w:bottom w:w="30" w:type="dxa"/>
              <w:right w:w="20" w:type="dxa"/>
            </w:tcMar>
            <w:hideMark/>
          </w:tcPr>
          <w:p w:rsidR="00000000" w:rsidRDefault="00DF5BC2">
            <w:pPr>
              <w:spacing w:after="100"/>
              <w:divId w:val="1072584162"/>
              <w:rPr>
                <w:rFonts w:eastAsia="Times New Roman"/>
              </w:rPr>
            </w:pPr>
            <w:hyperlink r:id="rId96" w:history="1">
              <w:r>
                <w:rPr>
                  <w:rStyle w:val="a3"/>
                  <w:rFonts w:eastAsia="Times New Roman"/>
                  <w:sz w:val="20"/>
                  <w:szCs w:val="20"/>
                </w:rPr>
                <w:t>Credit Agreement, dated as of August 13, 2019, by and among UGI Energy Services, LLC, as borrower, Credit Suisse AG, Cayman Islands Branch, as administrative</w:t>
              </w:r>
              <w:r>
                <w:rPr>
                  <w:rStyle w:val="a3"/>
                  <w:rFonts w:eastAsia="Times New Roman"/>
                  <w:sz w:val="20"/>
                  <w:szCs w:val="20"/>
                </w:rPr>
                <w:t xml:space="preserve"> agent and collateral agent, and the lenders party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 (8/13/19)</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10.53</w:t>
            </w:r>
          </w:p>
        </w:tc>
        <w:tc>
          <w:tcPr>
            <w:tcW w:w="0" w:type="auto"/>
            <w:gridSpan w:val="3"/>
            <w:tcMar>
              <w:top w:w="30" w:type="dxa"/>
              <w:left w:w="20" w:type="dxa"/>
              <w:bottom w:w="30" w:type="dxa"/>
              <w:right w:w="20" w:type="dxa"/>
            </w:tcMar>
            <w:hideMark/>
          </w:tcPr>
          <w:p w:rsidR="00000000" w:rsidRDefault="00DF5BC2">
            <w:pPr>
              <w:spacing w:after="100"/>
              <w:divId w:val="1835801175"/>
              <w:rPr>
                <w:rFonts w:eastAsia="Times New Roman"/>
              </w:rPr>
            </w:pPr>
            <w:hyperlink r:id="rId97" w:history="1">
              <w:r>
                <w:rPr>
                  <w:rStyle w:val="a3"/>
                  <w:rFonts w:eastAsia="Times New Roman"/>
                  <w:sz w:val="20"/>
                  <w:szCs w:val="20"/>
                </w:rPr>
                <w:t>Third Amended and Restated Credit Agreement, dated as of March 6, 2020, by and among UGI Energy Services, LLC, as borrower, JPMorgan Chase Bank, N.A</w:t>
              </w:r>
              <w:r>
                <w:rPr>
                  <w:rStyle w:val="a3"/>
                  <w:rFonts w:eastAsia="Times New Roman"/>
                  <w:sz w:val="20"/>
                  <w:szCs w:val="20"/>
                </w:rPr>
                <w:t>., as administrative agent, PNC Bank, National Association, as syndication agent, and Wells Fargo Bank, National Association, as documentation agent.</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(3/6/20)</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bl>
    <w:p w:rsidR="00000000" w:rsidRDefault="00DF5BC2">
      <w:pPr>
        <w:jc w:val="center"/>
        <w:divId w:val="1266038312"/>
        <w:rPr>
          <w:rFonts w:eastAsia="Times New Roman"/>
        </w:rPr>
      </w:pPr>
      <w:r>
        <w:rPr>
          <w:rFonts w:eastAsia="Times New Roman"/>
          <w:color w:val="000000"/>
          <w:sz w:val="20"/>
          <w:szCs w:val="20"/>
        </w:rPr>
        <w:t>84</w:t>
      </w:r>
    </w:p>
    <w:p w:rsidR="00000000" w:rsidRDefault="00DF5BC2">
      <w:pPr>
        <w:rPr>
          <w:rFonts w:eastAsia="Times New Roman"/>
        </w:rPr>
      </w:pPr>
      <w:r>
        <w:rPr>
          <w:rFonts w:eastAsia="Times New Roman"/>
        </w:rPr>
        <w:pict>
          <v:rect id="_x0000_i1111" style="width:0;height:1.5pt" o:hralign="center" o:hrstd="t" o:hr="t" fillcolor="#a0a0a0" stroked="f"/>
        </w:pict>
      </w:r>
    </w:p>
    <w:p w:rsidR="00000000" w:rsidRDefault="00DF5BC2">
      <w:pPr>
        <w:divId w:val="1508835614"/>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7"/>
        <w:gridCol w:w="1010"/>
        <w:gridCol w:w="39"/>
        <w:gridCol w:w="55"/>
        <w:gridCol w:w="1985"/>
        <w:gridCol w:w="37"/>
        <w:gridCol w:w="55"/>
        <w:gridCol w:w="1693"/>
        <w:gridCol w:w="36"/>
        <w:gridCol w:w="55"/>
        <w:gridCol w:w="550"/>
        <w:gridCol w:w="39"/>
        <w:gridCol w:w="55"/>
        <w:gridCol w:w="550"/>
        <w:gridCol w:w="37"/>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10.54</w:t>
            </w:r>
          </w:p>
        </w:tc>
        <w:tc>
          <w:tcPr>
            <w:tcW w:w="0" w:type="auto"/>
            <w:gridSpan w:val="3"/>
            <w:tcMar>
              <w:top w:w="30" w:type="dxa"/>
              <w:left w:w="20" w:type="dxa"/>
              <w:bottom w:w="30" w:type="dxa"/>
              <w:right w:w="20" w:type="dxa"/>
            </w:tcMar>
            <w:hideMark/>
          </w:tcPr>
          <w:p w:rsidR="00000000" w:rsidRDefault="00DF5BC2">
            <w:pPr>
              <w:spacing w:after="100"/>
              <w:divId w:val="119079003"/>
              <w:rPr>
                <w:rFonts w:eastAsia="Times New Roman"/>
              </w:rPr>
            </w:pPr>
            <w:hyperlink r:id="rId98" w:history="1">
              <w:r>
                <w:rPr>
                  <w:rStyle w:val="a3"/>
                  <w:rFonts w:eastAsia="Times New Roman"/>
                  <w:sz w:val="20"/>
                  <w:szCs w:val="20"/>
                </w:rPr>
                <w:t>Amended and Restated Credit Agreement, dated as of May 4, 2021, by and among UGI Corporation and JPMorgan Chase Bank, N.A., as administrative agent, Citi</w:t>
              </w:r>
              <w:r>
                <w:rPr>
                  <w:rStyle w:val="a3"/>
                  <w:rFonts w:eastAsia="Times New Roman"/>
                  <w:sz w:val="20"/>
                  <w:szCs w:val="20"/>
                </w:rPr>
                <w:t>zens Bank, N.A., PNC Bank, National Association and Wells Fargo Bank, National Association, as co-documentation agents, and the other financial institutions from time to time party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(5/4/21)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10.55</w:t>
            </w:r>
          </w:p>
        </w:tc>
        <w:tc>
          <w:tcPr>
            <w:tcW w:w="0" w:type="auto"/>
            <w:gridSpan w:val="3"/>
            <w:tcMar>
              <w:top w:w="30" w:type="dxa"/>
              <w:left w:w="20" w:type="dxa"/>
              <w:bottom w:w="30" w:type="dxa"/>
              <w:right w:w="20" w:type="dxa"/>
            </w:tcMar>
            <w:hideMark/>
          </w:tcPr>
          <w:p w:rsidR="00000000" w:rsidRDefault="00DF5BC2">
            <w:pPr>
              <w:spacing w:after="100"/>
              <w:divId w:val="760108437"/>
              <w:rPr>
                <w:rFonts w:eastAsia="Times New Roman"/>
              </w:rPr>
            </w:pPr>
            <w:hyperlink r:id="rId99" w:history="1">
              <w:r>
                <w:rPr>
                  <w:rStyle w:val="a3"/>
                  <w:rFonts w:eastAsia="Times New Roman"/>
                  <w:sz w:val="20"/>
                  <w:szCs w:val="20"/>
                </w:rPr>
                <w:t>First Amendment to the Amended and Restated Credit Agreement, dated as of June 23, 2021, by and among UGI Corporation, as borrower, JPMorgan Ch</w:t>
              </w:r>
              <w:r>
                <w:rPr>
                  <w:rStyle w:val="a3"/>
                  <w:rFonts w:eastAsia="Times New Roman"/>
                  <w:sz w:val="20"/>
                  <w:szCs w:val="20"/>
                </w:rPr>
                <w:t>ase Bank, N.A., as administrative agent, and the lenders party thereto.</w:t>
              </w:r>
            </w:hyperlink>
          </w:p>
        </w:tc>
        <w:tc>
          <w:tcPr>
            <w:tcW w:w="0" w:type="auto"/>
            <w:gridSpan w:val="3"/>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10.6</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hideMark/>
          </w:tcPr>
          <w:p w:rsidR="00000000" w:rsidRDefault="00DF5BC2">
            <w:pPr>
              <w:spacing w:after="100"/>
              <w:divId w:val="1429696271"/>
              <w:rPr>
                <w:rFonts w:eastAsia="Times New Roman"/>
              </w:rPr>
            </w:pPr>
            <w:hyperlink r:id="rId100" w:history="1">
              <w:r>
                <w:rPr>
                  <w:rStyle w:val="a3"/>
                  <w:rFonts w:eastAsia="Times New Roman"/>
                  <w:sz w:val="20"/>
                  <w:szCs w:val="20"/>
                </w:rPr>
                <w:t>Code of Business Conduct and Ethics.</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rsidR="00000000" w:rsidRDefault="00DF5BC2">
            <w:pPr>
              <w:spacing w:after="100"/>
              <w:divId w:val="1193956768"/>
              <w:rPr>
                <w:rFonts w:eastAsia="Times New Roman"/>
              </w:rPr>
            </w:pPr>
            <w:hyperlink r:id="rId101" w:history="1">
              <w:r>
                <w:rPr>
                  <w:rStyle w:val="a3"/>
                  <w:rFonts w:eastAsia="Times New Roman"/>
                  <w:sz w:val="20"/>
                  <w:szCs w:val="20"/>
                </w:rPr>
                <w:t>Subsidiaries of the Registrant.</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rsidR="00000000" w:rsidRDefault="00DF5BC2">
            <w:pPr>
              <w:spacing w:after="100"/>
              <w:divId w:val="2104910131"/>
              <w:rPr>
                <w:rFonts w:eastAsia="Times New Roman"/>
              </w:rPr>
            </w:pPr>
            <w:hyperlink r:id="rId102" w:history="1">
              <w:r>
                <w:rPr>
                  <w:rStyle w:val="a3"/>
                  <w:rFonts w:eastAsia="Times New Roman"/>
                  <w:sz w:val="20"/>
                  <w:szCs w:val="20"/>
                </w:rPr>
                <w:t>Consent of Ernst &amp; Young LLP</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DF5BC2">
            <w:pPr>
              <w:spacing w:after="100"/>
              <w:divId w:val="376517265"/>
              <w:rPr>
                <w:rFonts w:eastAsia="Times New Roman"/>
              </w:rPr>
            </w:pPr>
            <w:hyperlink r:id="rId103" w:history="1">
              <w:r>
                <w:rPr>
                  <w:rStyle w:val="a3"/>
                  <w:rFonts w:eastAsia="Times New Roman"/>
                  <w:sz w:val="20"/>
                  <w:szCs w:val="20"/>
                </w:rPr>
                <w:t>Certification by the Chief Executive Officer relating to the Registrant’s Report on Form 10-K for the fiscal year ended September 30, 2021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DF5BC2">
            <w:pPr>
              <w:spacing w:after="100"/>
              <w:divId w:val="1909458483"/>
              <w:rPr>
                <w:rFonts w:eastAsia="Times New Roman"/>
              </w:rPr>
            </w:pPr>
            <w:hyperlink r:id="rId104" w:history="1">
              <w:r>
                <w:rPr>
                  <w:rStyle w:val="a3"/>
                  <w:rFonts w:eastAsia="Times New Roman"/>
                  <w:sz w:val="20"/>
                  <w:szCs w:val="20"/>
                </w:rPr>
                <w:t>Certification by the Chief Financial Officer relating to the Registrant’s Report on Form 10-K for the fiscal year ended September 30, 2021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DF5BC2">
            <w:pPr>
              <w:spacing w:after="100"/>
              <w:divId w:val="1730420838"/>
              <w:rPr>
                <w:rFonts w:eastAsia="Times New Roman"/>
              </w:rPr>
            </w:pPr>
            <w:hyperlink r:id="rId105" w:history="1">
              <w:r>
                <w:rPr>
                  <w:rStyle w:val="a3"/>
                  <w:rFonts w:eastAsia="Times New Roman"/>
                  <w:sz w:val="20"/>
                  <w:szCs w:val="20"/>
                </w:rPr>
                <w:t>Certification by the Chief Executive Officer and the Chief Financial Officer relating to the Registrant’s Report on Form 10-K for the fiscal year ended September 30, 2021,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XBRL Taxonomy Extension Schema</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XBRL Taxonomy Extension Calculation Linkbase</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jc w:val="center"/>
        <w:divId w:val="695346016"/>
        <w:rPr>
          <w:rFonts w:eastAsia="Times New Roman"/>
        </w:rPr>
      </w:pPr>
      <w:r>
        <w:rPr>
          <w:rFonts w:eastAsia="Times New Roman"/>
          <w:color w:val="000000"/>
          <w:sz w:val="20"/>
          <w:szCs w:val="20"/>
        </w:rPr>
        <w:t>85</w:t>
      </w:r>
    </w:p>
    <w:p w:rsidR="00000000" w:rsidRDefault="00DF5BC2">
      <w:pPr>
        <w:rPr>
          <w:rFonts w:eastAsia="Times New Roman"/>
        </w:rPr>
      </w:pPr>
      <w:r>
        <w:rPr>
          <w:rFonts w:eastAsia="Times New Roman"/>
        </w:rPr>
        <w:pict>
          <v:rect id="_x0000_i1112" style="width:0;height:1.5pt" o:hralign="center" o:hrstd="t" o:hr="t" fillcolor="#a0a0a0" stroked="f"/>
        </w:pict>
      </w:r>
    </w:p>
    <w:p w:rsidR="00000000" w:rsidRDefault="00DF5BC2">
      <w:pPr>
        <w:divId w:val="1572429724"/>
        <w:rPr>
          <w:rFonts w:eastAsia="Times New Roman"/>
        </w:rPr>
      </w:pPr>
      <w:hyperlink w:anchor="ica38aa2cb9a04eba8f8cadac27ee7fb9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6"/>
        <w:gridCol w:w="1011"/>
        <w:gridCol w:w="38"/>
        <w:gridCol w:w="55"/>
        <w:gridCol w:w="1985"/>
        <w:gridCol w:w="38"/>
        <w:gridCol w:w="55"/>
        <w:gridCol w:w="1693"/>
        <w:gridCol w:w="36"/>
        <w:gridCol w:w="55"/>
        <w:gridCol w:w="551"/>
        <w:gridCol w:w="37"/>
        <w:gridCol w:w="56"/>
        <w:gridCol w:w="551"/>
        <w:gridCol w:w="36"/>
        <w:gridCol w:w="57"/>
        <w:gridCol w:w="696"/>
        <w:gridCol w:w="36"/>
      </w:tblGrid>
      <w:tr w:rsidR="00000000">
        <w:trPr>
          <w:jc w:val="center"/>
        </w:trPr>
        <w:tc>
          <w:tcPr>
            <w:tcW w:w="50" w:type="pct"/>
            <w:vAlign w:val="center"/>
            <w:hideMark/>
          </w:tcPr>
          <w:p w:rsidR="00000000" w:rsidRDefault="00DF5BC2">
            <w:pPr>
              <w:rPr>
                <w:rFonts w:eastAsia="Times New Roman"/>
              </w:rPr>
            </w:pPr>
          </w:p>
        </w:tc>
        <w:tc>
          <w:tcPr>
            <w:tcW w:w="7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0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Incorporation by Reference</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Exhibit</w:t>
            </w: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XBRL Taxonomy Extension Definition Linkbase</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XBRL Taxonomy Extension Labels Linkbase</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XBRL Taxonomy Extension Presentation Linkbase</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6"/>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rPr>
      </w:pPr>
    </w:p>
    <w:p w:rsidR="00000000" w:rsidRDefault="00DF5BC2">
      <w:pPr>
        <w:ind w:hanging="405"/>
        <w:jc w:val="both"/>
        <w:rPr>
          <w:rFonts w:eastAsia="Times New Roman"/>
        </w:rPr>
      </w:pPr>
      <w:r>
        <w:rPr>
          <w:rFonts w:eastAsia="Times New Roman"/>
          <w:color w:val="000000"/>
          <w:sz w:val="20"/>
          <w:szCs w:val="20"/>
        </w:rPr>
        <w:t xml:space="preserve">*    Filed herewith. </w:t>
      </w:r>
    </w:p>
    <w:p w:rsidR="00000000" w:rsidRDefault="00DF5BC2">
      <w:pPr>
        <w:ind w:hanging="405"/>
        <w:jc w:val="both"/>
        <w:rPr>
          <w:rFonts w:eastAsia="Times New Roman"/>
        </w:rPr>
      </w:pPr>
      <w:r>
        <w:rPr>
          <w:rFonts w:eastAsia="Times New Roman"/>
          <w:color w:val="000000"/>
          <w:sz w:val="20"/>
          <w:szCs w:val="20"/>
        </w:rPr>
        <w:t>**    </w:t>
      </w:r>
      <w:r>
        <w:rPr>
          <w:rFonts w:eastAsia="Times New Roman"/>
          <w:color w:val="000000"/>
          <w:sz w:val="20"/>
          <w:szCs w:val="20"/>
        </w:rPr>
        <w:t>As required by Item 15(a)(3), this exhibit is identified as a compensatory plan or arrangement.</w:t>
      </w:r>
    </w:p>
    <w:p w:rsidR="00000000" w:rsidRDefault="00DF5BC2">
      <w:pPr>
        <w:divId w:val="1381592082"/>
        <w:rPr>
          <w:rFonts w:eastAsia="Times New Roman"/>
        </w:rPr>
      </w:pPr>
    </w:p>
    <w:p w:rsidR="00000000" w:rsidRDefault="00DF5BC2">
      <w:pPr>
        <w:divId w:val="554901741"/>
        <w:rPr>
          <w:rFonts w:eastAsia="Times New Roman"/>
        </w:rPr>
      </w:pPr>
    </w:p>
    <w:p w:rsidR="00000000" w:rsidRDefault="00DF5BC2">
      <w:pPr>
        <w:divId w:val="992680967"/>
        <w:rPr>
          <w:rFonts w:eastAsia="Times New Roman"/>
        </w:rPr>
      </w:pPr>
      <w:r>
        <w:rPr>
          <w:rFonts w:eastAsia="Times New Roman"/>
          <w:b/>
          <w:bCs/>
          <w:color w:val="000000"/>
          <w:sz w:val="20"/>
          <w:szCs w:val="20"/>
        </w:rPr>
        <w:t>ITEM 16. FORM 10-K SUMMARY</w:t>
      </w:r>
    </w:p>
    <w:p w:rsidR="00000000" w:rsidRDefault="00DF5BC2">
      <w:pPr>
        <w:divId w:val="1126655086"/>
        <w:rPr>
          <w:rFonts w:eastAsia="Times New Roman"/>
        </w:rPr>
      </w:pPr>
      <w:r>
        <w:rPr>
          <w:rFonts w:eastAsia="Times New Roman"/>
          <w:color w:val="000000"/>
          <w:sz w:val="20"/>
          <w:szCs w:val="20"/>
        </w:rPr>
        <w:t>None.</w:t>
      </w:r>
    </w:p>
    <w:p w:rsidR="00000000" w:rsidRDefault="00DF5BC2">
      <w:pPr>
        <w:divId w:val="2131781689"/>
        <w:rPr>
          <w:rFonts w:eastAsia="Times New Roman"/>
        </w:rPr>
      </w:pPr>
    </w:p>
    <w:p w:rsidR="00000000" w:rsidRDefault="00DF5BC2">
      <w:pPr>
        <w:jc w:val="center"/>
        <w:rPr>
          <w:rFonts w:eastAsia="Times New Roman"/>
        </w:rPr>
      </w:pPr>
      <w:r>
        <w:rPr>
          <w:rFonts w:eastAsia="Times New Roman"/>
          <w:b/>
          <w:bCs/>
          <w:color w:val="000000"/>
          <w:sz w:val="20"/>
          <w:szCs w:val="20"/>
        </w:rPr>
        <w:t>EXHIBIT INDEX</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865"/>
        <w:gridCol w:w="38"/>
        <w:gridCol w:w="68"/>
        <w:gridCol w:w="7180"/>
        <w:gridCol w:w="37"/>
      </w:tblGrid>
      <w:tr w:rsidR="00000000">
        <w:trPr>
          <w:jc w:val="center"/>
        </w:trPr>
        <w:tc>
          <w:tcPr>
            <w:tcW w:w="50" w:type="pct"/>
            <w:vAlign w:val="center"/>
            <w:hideMark/>
          </w:tcPr>
          <w:p w:rsidR="00000000" w:rsidRDefault="00DF5BC2">
            <w:pPr>
              <w:jc w:val="center"/>
              <w:rPr>
                <w:rFonts w:eastAsia="Times New Roman"/>
              </w:rPr>
            </w:pPr>
          </w:p>
        </w:tc>
        <w:tc>
          <w:tcPr>
            <w:tcW w:w="53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35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Exhibit No.</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Description</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4.22</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hyperlink r:id="rId106" w:history="1">
              <w:r>
                <w:rPr>
                  <w:rStyle w:val="a3"/>
                  <w:rFonts w:eastAsia="Times New Roman"/>
                  <w:sz w:val="20"/>
                  <w:szCs w:val="20"/>
                </w:rPr>
                <w:t>Description of the Registrant’s Securities Registered Pursuant to Section 12 of the Securities Exchange Act of 1934.</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hyperlink r:id="rId107" w:history="1">
              <w:r>
                <w:rPr>
                  <w:rStyle w:val="a3"/>
                  <w:rFonts w:eastAsia="Times New Roman"/>
                  <w:sz w:val="20"/>
                  <w:szCs w:val="20"/>
                </w:rPr>
                <w:t xml:space="preserve">Form of Confidentiality, Non-Competition and Non-Solicitation Agreement between UGI Corporation and Ms. Judy Zagorski. </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hyperlink r:id="rId108" w:history="1">
              <w:r>
                <w:rPr>
                  <w:rStyle w:val="a3"/>
                  <w:rFonts w:eastAsia="Times New Roman"/>
                  <w:sz w:val="20"/>
                  <w:szCs w:val="20"/>
                </w:rPr>
                <w:t xml:space="preserve">Form of Change in Control Agreement between UGI Corporation and Ms. Judy Zagorski. </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rsidR="00000000" w:rsidRDefault="00DF5BC2">
            <w:pPr>
              <w:spacing w:after="100"/>
              <w:divId w:val="1923953669"/>
              <w:rPr>
                <w:rFonts w:eastAsia="Times New Roman"/>
              </w:rPr>
            </w:pPr>
            <w:hyperlink r:id="rId109" w:history="1">
              <w:r>
                <w:rPr>
                  <w:rStyle w:val="a3"/>
                  <w:rFonts w:eastAsia="Times New Roman"/>
                  <w:sz w:val="20"/>
                  <w:szCs w:val="20"/>
                </w:rPr>
                <w:t xml:space="preserve">Gas Supply and Delivery Service Agreement between UGI Utilities, Inc. and UGI Energy Services, LLC, </w:t>
              </w:r>
              <w:r>
                <w:rPr>
                  <w:rStyle w:val="a3"/>
                  <w:rFonts w:eastAsia="Times New Roman"/>
                  <w:sz w:val="20"/>
                  <w:szCs w:val="20"/>
                </w:rPr>
                <w:t>effective November 1, 2021.</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hideMark/>
          </w:tcPr>
          <w:p w:rsidR="00000000" w:rsidRDefault="00DF5BC2">
            <w:pPr>
              <w:spacing w:after="100"/>
              <w:divId w:val="1286278802"/>
              <w:rPr>
                <w:rFonts w:eastAsia="Times New Roman"/>
              </w:rPr>
            </w:pPr>
            <w:hyperlink r:id="rId110" w:history="1">
              <w:r>
                <w:rPr>
                  <w:rStyle w:val="a3"/>
                  <w:rFonts w:eastAsia="Times New Roman"/>
                  <w:sz w:val="20"/>
                  <w:szCs w:val="20"/>
                </w:rPr>
                <w:t>Code of Business Conduct and Ethics.</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hyperlink r:id="rId111" w:history="1">
              <w:r>
                <w:rPr>
                  <w:rStyle w:val="a3"/>
                  <w:rFonts w:eastAsia="Times New Roman"/>
                  <w:sz w:val="20"/>
                  <w:szCs w:val="20"/>
                </w:rPr>
                <w:t>Subsidiaries of the Registrant.</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hyperlink r:id="rId112" w:history="1">
              <w:r>
                <w:rPr>
                  <w:rStyle w:val="a3"/>
                  <w:rFonts w:eastAsia="Times New Roman"/>
                  <w:sz w:val="20"/>
                  <w:szCs w:val="20"/>
                </w:rPr>
                <w:t>Consent of Ernst &amp; Young LLP.</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hyperlink r:id="rId113" w:history="1">
              <w:r>
                <w:rPr>
                  <w:rStyle w:val="a3"/>
                  <w:rFonts w:eastAsia="Times New Roman"/>
                  <w:sz w:val="20"/>
                  <w:szCs w:val="20"/>
                </w:rPr>
                <w:t>Certification by the Chief Executive Officer relating to the Registrant’s Report on Form 10-K for the fiscal year ended September 30, 2021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hyperlink r:id="rId114" w:history="1">
              <w:r>
                <w:rPr>
                  <w:rStyle w:val="a3"/>
                  <w:rFonts w:eastAsia="Times New Roman"/>
                  <w:sz w:val="20"/>
                  <w:szCs w:val="20"/>
                </w:rPr>
                <w:t>Certification by the Chief Financial Officer relating to the Registrant’s Report on Form 10-K for the fiscal year ended September 30, 2021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hyperlink r:id="rId115" w:history="1">
              <w:r>
                <w:rPr>
                  <w:rStyle w:val="a3"/>
                  <w:rFonts w:eastAsia="Times New Roman"/>
                  <w:sz w:val="20"/>
                  <w:szCs w:val="20"/>
                </w:rPr>
                <w:t>Certification by the Chief Executive Officer and the Chief Financial Officer relating to the Registrant’s Report on Form 10-K for the fiscal year ended September 30, 2021, pursuant to Section 906 of the Sarbanes-Oxle</w:t>
              </w:r>
              <w:r>
                <w:rPr>
                  <w:rStyle w:val="a3"/>
                  <w:rFonts w:eastAsia="Times New Roman"/>
                  <w:sz w:val="20"/>
                  <w:szCs w:val="20"/>
                </w:rPr>
                <w:t>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XBRL Taxonomy Extension Schema</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XBRL Taxonomy Extension Calculation Linkbase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XBRL Taxonomy Extension Definition Linkbase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XBRL Taxonomy Extension Labels Linkbase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rsidR="00000000" w:rsidRDefault="00DF5BC2">
            <w:pPr>
              <w:spacing w:after="100"/>
              <w:jc w:val="both"/>
              <w:rPr>
                <w:rFonts w:eastAsia="Times New Roman"/>
              </w:rPr>
            </w:pPr>
            <w:r>
              <w:rPr>
                <w:rFonts w:eastAsia="Times New Roman"/>
                <w:color w:val="000000"/>
                <w:sz w:val="20"/>
                <w:szCs w:val="20"/>
              </w:rPr>
              <w:t>XBRL Taxonomy Extension Presentation Linkbase</w:t>
            </w:r>
          </w:p>
        </w:tc>
      </w:tr>
    </w:tbl>
    <w:p w:rsidR="00000000" w:rsidRDefault="00DF5BC2">
      <w:pPr>
        <w:jc w:val="center"/>
        <w:divId w:val="998191417"/>
        <w:rPr>
          <w:rFonts w:eastAsia="Times New Roman"/>
        </w:rPr>
      </w:pPr>
      <w:r>
        <w:rPr>
          <w:rFonts w:eastAsia="Times New Roman"/>
          <w:color w:val="000000"/>
          <w:sz w:val="20"/>
          <w:szCs w:val="20"/>
        </w:rPr>
        <w:t>86</w:t>
      </w:r>
    </w:p>
    <w:p w:rsidR="00000000" w:rsidRDefault="00DF5BC2">
      <w:pPr>
        <w:rPr>
          <w:rFonts w:eastAsia="Times New Roman"/>
        </w:rPr>
      </w:pPr>
      <w:r>
        <w:rPr>
          <w:rFonts w:eastAsia="Times New Roman"/>
        </w:rPr>
        <w:pict>
          <v:rect id="_x0000_i1113" style="width:0;height:1.5pt" o:hralign="center" o:hrstd="t" o:hr="t" fillcolor="#a0a0a0" stroked="f"/>
        </w:pict>
      </w:r>
    </w:p>
    <w:p w:rsidR="00000000" w:rsidRDefault="00DF5BC2">
      <w:pPr>
        <w:divId w:val="181960824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b/>
          <w:bCs/>
          <w:color w:val="000000"/>
          <w:sz w:val="20"/>
          <w:szCs w:val="20"/>
        </w:rPr>
        <w:t>SIGNATURES</w:t>
      </w:r>
    </w:p>
    <w:p w:rsidR="00000000" w:rsidRDefault="00DF5BC2">
      <w:pPr>
        <w:jc w:val="both"/>
        <w:divId w:val="2107844436"/>
        <w:rPr>
          <w:rFonts w:eastAsia="Times New Roman"/>
        </w:rPr>
      </w:pPr>
      <w:r>
        <w:rPr>
          <w:rFonts w:eastAsia="Times New Roman"/>
          <w:color w:val="000000"/>
          <w:sz w:val="20"/>
          <w:szCs w:val="20"/>
        </w:rPr>
        <w:t>Pursuant to the requirements of Section 13 or 15(d) of the Securities Exchange Act of 1934, the Registrant has duly caused this Repor</w:t>
      </w:r>
      <w:r>
        <w:rPr>
          <w:rFonts w:eastAsia="Times New Roman"/>
          <w:color w:val="000000"/>
          <w:sz w:val="20"/>
          <w:szCs w:val="20"/>
        </w:rPr>
        <w:t>t to be signed on its behalf by the undersigned, thereunto duly authorized.</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557"/>
        <w:gridCol w:w="36"/>
        <w:gridCol w:w="36"/>
        <w:gridCol w:w="4515"/>
        <w:gridCol w:w="36"/>
        <w:gridCol w:w="36"/>
        <w:gridCol w:w="378"/>
        <w:gridCol w:w="36"/>
        <w:gridCol w:w="36"/>
        <w:gridCol w:w="4522"/>
        <w:gridCol w:w="36"/>
      </w:tblGrid>
      <w:tr w:rsidR="00000000">
        <w:trPr>
          <w:jc w:val="center"/>
        </w:trPr>
        <w:tc>
          <w:tcPr>
            <w:tcW w:w="20" w:type="dxa"/>
            <w:vAlign w:val="center"/>
            <w:hideMark/>
          </w:tcPr>
          <w:p w:rsidR="00000000" w:rsidRDefault="00DF5BC2">
            <w:pPr>
              <w:jc w:val="both"/>
              <w:rPr>
                <w:rFonts w:eastAsia="Times New Roman"/>
              </w:rPr>
            </w:pPr>
          </w:p>
        </w:tc>
        <w:tc>
          <w:tcPr>
            <w:tcW w:w="56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458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38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458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trHeight w:val="48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UGI CORPORATION</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November 19, 2021</w:t>
            </w: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Ted J. Jastrzebski</w:t>
            </w:r>
          </w:p>
        </w:tc>
      </w:tr>
      <w:tr w:rsidR="00000000">
        <w:trPr>
          <w:trHeight w:val="70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Ted J. Jastrzebski</w:t>
            </w:r>
            <w:r>
              <w:rPr>
                <w:rFonts w:eastAsia="Times New Roman"/>
                <w:color w:val="000000"/>
                <w:sz w:val="20"/>
                <w:szCs w:val="20"/>
              </w:rPr>
              <w:br/>
            </w:r>
            <w:r>
              <w:rPr>
                <w:rFonts w:eastAsia="Times New Roman"/>
                <w:color w:val="000000"/>
                <w:sz w:val="20"/>
                <w:szCs w:val="20"/>
              </w:rPr>
              <w:t>Chief Financial Officer </w:t>
            </w:r>
          </w:p>
        </w:tc>
      </w:tr>
    </w:tbl>
    <w:p w:rsidR="00000000" w:rsidRDefault="00DF5BC2">
      <w:pPr>
        <w:divId w:val="1157578437"/>
        <w:rPr>
          <w:rFonts w:eastAsia="Times New Roman"/>
        </w:rPr>
      </w:pPr>
    </w:p>
    <w:p w:rsidR="00000000" w:rsidRDefault="00DF5BC2">
      <w:pPr>
        <w:jc w:val="both"/>
        <w:rPr>
          <w:rFonts w:eastAsia="Times New Roman"/>
        </w:rPr>
      </w:pPr>
      <w:r>
        <w:rPr>
          <w:rFonts w:eastAsia="Times New Roman"/>
          <w:color w:val="000000"/>
          <w:sz w:val="20"/>
          <w:szCs w:val="20"/>
        </w:rPr>
        <w:t>Pursuant to the requirements of the Securities Exchange Act of 1934, this Report has been signed below on November 19, 2021, by the following persons on behalf of the Registrant in the capacities indicated.</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3770"/>
        <w:gridCol w:w="36"/>
        <w:gridCol w:w="36"/>
        <w:gridCol w:w="286"/>
        <w:gridCol w:w="36"/>
        <w:gridCol w:w="52"/>
        <w:gridCol w:w="5941"/>
        <w:gridCol w:w="52"/>
      </w:tblGrid>
      <w:tr w:rsidR="00000000">
        <w:trPr>
          <w:jc w:val="center"/>
        </w:trPr>
        <w:tc>
          <w:tcPr>
            <w:tcW w:w="20" w:type="dxa"/>
            <w:vAlign w:val="center"/>
            <w:hideMark/>
          </w:tcPr>
          <w:p w:rsidR="00000000" w:rsidRDefault="00DF5BC2">
            <w:pPr>
              <w:jc w:val="both"/>
              <w:rPr>
                <w:rFonts w:eastAsia="Times New Roman"/>
              </w:rPr>
            </w:pPr>
          </w:p>
        </w:tc>
        <w:tc>
          <w:tcPr>
            <w:tcW w:w="4865"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38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488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Signature</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b/>
                <w:bCs/>
                <w:color w:val="000000"/>
                <w:sz w:val="20"/>
                <w:szCs w:val="20"/>
              </w:rPr>
              <w:t>Title</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 </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Roger Perreault</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President and Chief Executive Officer</w:t>
            </w:r>
            <w:r>
              <w:rPr>
                <w:rFonts w:eastAsia="Times New Roman"/>
                <w:color w:val="000000"/>
                <w:sz w:val="20"/>
                <w:szCs w:val="20"/>
              </w:rPr>
              <w:br/>
              <w:t>(Principal Executive Officer) and 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Roger Perreault</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Ted J. Jastrzebski</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Chief Financial Officer (Principal Financial Officer)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Ted J. Jastrzebski</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Jean Felix Tematio Dontsop</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Vice President, Chief Accounting Officer and Corporate Controller (Principal Accounting Officer)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Jean Felix Tematio Dontsop</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Frank S. Hermance</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Chairman and 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Frank S. Hermance</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M. Shawn Bort</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 Shawn Bort</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Theodore A. Dosch</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Theodore A. Dosch</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Alan N. Harris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Alan N. Harris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Mario Longhi</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Mario Longhi</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William J. Marrazzo</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William J. Marrazzo</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Cindy J. Miller</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Cindy J. Miller</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Kelly A. Romano</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Kelly A. Romano</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 James B. Stallings, Jr.</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James B. Stallings, Jr.</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/s/ John L. Walsh</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Director</w:t>
            </w:r>
          </w:p>
        </w:tc>
      </w:tr>
      <w:tr w:rsidR="00000000">
        <w:trPr>
          <w:trHeight w:val="280"/>
          <w:jc w:val="center"/>
        </w:trPr>
        <w:tc>
          <w:tcPr>
            <w:tcW w:w="0" w:type="auto"/>
            <w:gridSpan w:val="3"/>
            <w:tcBorders>
              <w:top w:val="single" w:sz="8" w:space="0" w:color="000000"/>
            </w:tcBorders>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John L. Walsh</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vMerge/>
            <w:vAlign w:val="center"/>
            <w:hideMark/>
          </w:tcPr>
          <w:p w:rsidR="00000000" w:rsidRDefault="00DF5BC2">
            <w:pPr>
              <w:spacing w:after="100"/>
              <w:rPr>
                <w:rFonts w:eastAsia="Times New Roman"/>
              </w:rPr>
            </w:pPr>
          </w:p>
        </w:tc>
      </w:tr>
    </w:tbl>
    <w:p w:rsidR="00000000" w:rsidRDefault="00DF5BC2">
      <w:pPr>
        <w:divId w:val="1843934165"/>
        <w:rPr>
          <w:rFonts w:eastAsia="Times New Roman"/>
        </w:rPr>
      </w:pPr>
    </w:p>
    <w:p w:rsidR="00000000" w:rsidRDefault="00DF5BC2">
      <w:pPr>
        <w:jc w:val="center"/>
        <w:divId w:val="339504632"/>
        <w:rPr>
          <w:rFonts w:eastAsia="Times New Roman"/>
        </w:rPr>
      </w:pPr>
      <w:r>
        <w:rPr>
          <w:rFonts w:eastAsia="Times New Roman"/>
          <w:color w:val="000000"/>
          <w:sz w:val="20"/>
          <w:szCs w:val="20"/>
        </w:rPr>
        <w:t>87</w:t>
      </w:r>
    </w:p>
    <w:p w:rsidR="00000000" w:rsidRDefault="00DF5BC2">
      <w:pPr>
        <w:rPr>
          <w:rFonts w:eastAsia="Times New Roman"/>
        </w:rPr>
      </w:pPr>
      <w:r>
        <w:rPr>
          <w:rFonts w:eastAsia="Times New Roman"/>
        </w:rPr>
        <w:pict>
          <v:rect id="_x0000_i1114" style="width:0;height:1.5pt" o:hralign="center" o:hrstd="t" o:hr="t" fillcolor="#a0a0a0" stroked="f"/>
        </w:pict>
      </w:r>
    </w:p>
    <w:p w:rsidR="00000000" w:rsidRDefault="00DF5BC2">
      <w:pPr>
        <w:divId w:val="48119443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divId w:val="1462502141"/>
        <w:rPr>
          <w:rFonts w:eastAsia="Times New Roman"/>
        </w:rPr>
      </w:pPr>
      <w:r>
        <w:rPr>
          <w:rFonts w:eastAsia="Times New Roman"/>
          <w:b/>
          <w:bCs/>
          <w:color w:val="000000"/>
          <w:sz w:val="20"/>
          <w:szCs w:val="20"/>
        </w:rPr>
        <w:t>UGI CORPORATION AND SUBSIDIARIES</w:t>
      </w:r>
    </w:p>
    <w:p w:rsidR="00000000" w:rsidRDefault="00DF5BC2">
      <w:pPr>
        <w:jc w:val="center"/>
        <w:divId w:val="801269026"/>
        <w:rPr>
          <w:rFonts w:eastAsia="Times New Roman"/>
        </w:rPr>
      </w:pPr>
      <w:r>
        <w:rPr>
          <w:rFonts w:eastAsia="Times New Roman"/>
          <w:color w:val="000000"/>
          <w:sz w:val="20"/>
          <w:szCs w:val="20"/>
        </w:rPr>
        <w:t>FINANCIAL INFORMATION</w:t>
      </w:r>
    </w:p>
    <w:p w:rsidR="00000000" w:rsidRDefault="00DF5BC2">
      <w:pPr>
        <w:jc w:val="center"/>
        <w:divId w:val="1951281159"/>
        <w:rPr>
          <w:rFonts w:eastAsia="Times New Roman"/>
        </w:rPr>
      </w:pPr>
      <w:r>
        <w:rPr>
          <w:rFonts w:eastAsia="Times New Roman"/>
          <w:color w:val="000000"/>
          <w:sz w:val="20"/>
          <w:szCs w:val="20"/>
        </w:rPr>
        <w:t>FOR INCLUSION IN ANNUAL REPORT ON FORM 10-K</w:t>
      </w:r>
    </w:p>
    <w:p w:rsidR="00000000" w:rsidRDefault="00DF5BC2">
      <w:pPr>
        <w:jc w:val="center"/>
        <w:divId w:val="27535021"/>
        <w:rPr>
          <w:rFonts w:eastAsia="Times New Roman"/>
        </w:rPr>
      </w:pPr>
      <w:r>
        <w:rPr>
          <w:rFonts w:eastAsia="Times New Roman"/>
          <w:color w:val="000000"/>
          <w:sz w:val="20"/>
          <w:szCs w:val="20"/>
        </w:rPr>
        <w:t xml:space="preserve">YEAR ENDED SEPTEMBER 30, 2021 </w:t>
      </w:r>
    </w:p>
    <w:p w:rsidR="00000000" w:rsidRDefault="00DF5BC2">
      <w:pPr>
        <w:jc w:val="center"/>
        <w:rPr>
          <w:rFonts w:eastAsia="Times New Roman"/>
        </w:rPr>
      </w:pPr>
    </w:p>
    <w:p w:rsidR="00000000" w:rsidRDefault="00DF5BC2">
      <w:pPr>
        <w:jc w:val="center"/>
        <w:divId w:val="1112674751"/>
        <w:rPr>
          <w:rFonts w:eastAsia="Times New Roman"/>
        </w:rPr>
      </w:pPr>
      <w:r>
        <w:rPr>
          <w:rFonts w:eastAsia="Times New Roman"/>
          <w:color w:val="000000"/>
          <w:sz w:val="20"/>
          <w:szCs w:val="20"/>
        </w:rPr>
        <w:t>F-1</w:t>
      </w:r>
    </w:p>
    <w:p w:rsidR="00000000" w:rsidRDefault="00DF5BC2">
      <w:pPr>
        <w:rPr>
          <w:rFonts w:eastAsia="Times New Roman"/>
        </w:rPr>
      </w:pPr>
      <w:r>
        <w:rPr>
          <w:rFonts w:eastAsia="Times New Roman"/>
        </w:rPr>
        <w:pict>
          <v:rect id="_x0000_i1115" style="width:0;height:1.5pt" o:hralign="center" o:hrstd="t" o:hr="t" fillcolor="#a0a0a0" stroked="f"/>
        </w:pict>
      </w:r>
    </w:p>
    <w:p w:rsidR="00000000" w:rsidRDefault="00DF5BC2">
      <w:pPr>
        <w:divId w:val="1658418761"/>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color w:val="000000"/>
          <w:sz w:val="20"/>
          <w:szCs w:val="20"/>
        </w:rPr>
        <w:t>UGI CORPORATION AND SUBSIDIARIES</w:t>
      </w:r>
    </w:p>
    <w:p w:rsidR="00000000" w:rsidRDefault="00DF5BC2">
      <w:pPr>
        <w:jc w:val="center"/>
        <w:rPr>
          <w:rFonts w:eastAsia="Times New Roman"/>
        </w:rPr>
      </w:pPr>
      <w:r>
        <w:rPr>
          <w:rFonts w:eastAsia="Times New Roman"/>
          <w:color w:val="000000"/>
          <w:sz w:val="20"/>
          <w:szCs w:val="20"/>
        </w:rPr>
        <w:t>INDEX TO FINANCIAL STATEMENTS AND FINANCIAL STATEMENT SCHEDULES</w:t>
      </w:r>
    </w:p>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9036"/>
        <w:gridCol w:w="36"/>
        <w:gridCol w:w="36"/>
        <w:gridCol w:w="1050"/>
        <w:gridCol w:w="36"/>
      </w:tblGrid>
      <w:tr w:rsidR="00000000">
        <w:trPr>
          <w:jc w:val="center"/>
        </w:trPr>
        <w:tc>
          <w:tcPr>
            <w:tcW w:w="20" w:type="dxa"/>
            <w:vAlign w:val="center"/>
            <w:hideMark/>
          </w:tcPr>
          <w:p w:rsidR="00000000" w:rsidRDefault="00DF5BC2">
            <w:pPr>
              <w:jc w:val="center"/>
              <w:rPr>
                <w:rFonts w:eastAsia="Times New Roman"/>
              </w:rPr>
            </w:pPr>
          </w:p>
        </w:tc>
        <w:tc>
          <w:tcPr>
            <w:tcW w:w="9095"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c>
          <w:tcPr>
            <w:tcW w:w="1055" w:type="dxa"/>
            <w:vAlign w:val="center"/>
            <w:hideMark/>
          </w:tcPr>
          <w:p w:rsidR="00000000" w:rsidRDefault="00DF5BC2">
            <w:pPr>
              <w:spacing w:after="100"/>
              <w:rPr>
                <w:rFonts w:eastAsia="Times New Roman"/>
                <w:sz w:val="20"/>
                <w:szCs w:val="20"/>
              </w:rPr>
            </w:pPr>
          </w:p>
        </w:tc>
        <w:tc>
          <w:tcPr>
            <w:tcW w:w="20" w:type="dxa"/>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Pages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611589209"/>
              <w:rPr>
                <w:rFonts w:eastAsia="Times New Roman"/>
              </w:rPr>
            </w:pPr>
            <w:hyperlink w:anchor="ica38aa2cb9a04eba8f8cadac27ee7fb9_136" w:history="1">
              <w:r>
                <w:rPr>
                  <w:rStyle w:val="a3"/>
                  <w:rFonts w:eastAsia="Times New Roman"/>
                  <w:sz w:val="20"/>
                  <w:szCs w:val="20"/>
                </w:rPr>
                <w:t>Management’</w:t>
              </w:r>
              <w:r>
                <w:rPr>
                  <w:rStyle w:val="a3"/>
                  <w:rFonts w:eastAsia="Times New Roman"/>
                  <w:sz w:val="20"/>
                  <w:szCs w:val="20"/>
                </w:rPr>
                <w:t>s Annual Report on Consolidated Financial Statements and Schedules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F-</w:t>
            </w:r>
            <w:hyperlink w:anchor="ica38aa2cb9a04eba8f8cadac27ee7fb9_136" w:history="1">
              <w:r>
                <w:rPr>
                  <w:rStyle w:val="a3"/>
                  <w:rFonts w:eastAsia="Times New Roman"/>
                  <w:color w:val="000000"/>
                  <w:sz w:val="20"/>
                  <w:szCs w:val="20"/>
                  <w:u w:val="none"/>
                </w:rPr>
                <w:t>3</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95098182"/>
              <w:rPr>
                <w:rFonts w:eastAsia="Times New Roman"/>
              </w:rPr>
            </w:pPr>
            <w:hyperlink w:anchor="ica38aa2cb9a04eba8f8cadac27ee7fb9_136"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480"/>
          <w:jc w:val="center"/>
        </w:trPr>
        <w:tc>
          <w:tcPr>
            <w:tcW w:w="0" w:type="auto"/>
            <w:gridSpan w:val="3"/>
            <w:tcMar>
              <w:top w:w="30" w:type="dxa"/>
              <w:left w:w="20" w:type="dxa"/>
              <w:bottom w:w="30" w:type="dxa"/>
              <w:right w:w="20" w:type="dxa"/>
            </w:tcMar>
            <w:vAlign w:val="bottom"/>
            <w:hideMark/>
          </w:tcPr>
          <w:p w:rsidR="00000000" w:rsidRDefault="00DF5BC2">
            <w:pPr>
              <w:spacing w:after="100"/>
              <w:divId w:val="543447748"/>
              <w:rPr>
                <w:rFonts w:eastAsia="Times New Roman"/>
              </w:rPr>
            </w:pPr>
            <w:hyperlink w:anchor="ica38aa2cb9a04eba8f8cadac27ee7fb9_145" w:history="1">
              <w:r>
                <w:rPr>
                  <w:rStyle w:val="a3"/>
                  <w:rFonts w:eastAsia="Times New Roman"/>
                  <w:sz w:val="20"/>
                  <w:szCs w:val="20"/>
                </w:rPr>
                <w:t>Report of Independent Registered Public Accounting Firm (on Consolidated Financial Statements and Schedules)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F-</w:t>
            </w:r>
            <w:hyperlink w:anchor="ica38aa2cb9a04eba8f8cadac27ee7fb9_145" w:history="1">
              <w:r>
                <w:rPr>
                  <w:rStyle w:val="a3"/>
                  <w:rFonts w:eastAsia="Times New Roman"/>
                  <w:color w:val="000000"/>
                  <w:sz w:val="20"/>
                  <w:szCs w:val="20"/>
                  <w:u w:val="none"/>
                </w:rPr>
                <w:t>4</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040856236"/>
              <w:rPr>
                <w:rFonts w:eastAsia="Times New Roman"/>
              </w:rPr>
            </w:pPr>
            <w:hyperlink w:anchor="ica38aa2cb9a04eba8f8cadac27ee7fb9_148" w:history="1">
              <w:r>
                <w:rPr>
                  <w:rStyle w:val="a3"/>
                  <w:rFonts w:eastAsia="Times New Roman"/>
                  <w:sz w:val="20"/>
                  <w:szCs w:val="20"/>
                </w:rPr>
                <w:t>Consolidated Balance Sheets as of September 30, 2021 and 2020</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F-</w:t>
            </w:r>
            <w:hyperlink w:anchor="ica38aa2cb9a04eba8f8cadac27ee7fb9_148" w:history="1">
              <w:r>
                <w:rPr>
                  <w:rStyle w:val="a3"/>
                  <w:rFonts w:eastAsia="Times New Roman"/>
                  <w:color w:val="000000"/>
                  <w:sz w:val="20"/>
                  <w:szCs w:val="20"/>
                  <w:u w:val="none"/>
                </w:rPr>
                <w:t>6</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412314391"/>
              <w:rPr>
                <w:rFonts w:eastAsia="Times New Roman"/>
              </w:rPr>
            </w:pPr>
            <w:hyperlink w:anchor="ica38aa2cb9a04eba8f8cadac27ee7fb9_151" w:history="1">
              <w:r>
                <w:rPr>
                  <w:rStyle w:val="a3"/>
                  <w:rFonts w:eastAsia="Times New Roman"/>
                  <w:sz w:val="20"/>
                  <w:szCs w:val="20"/>
                </w:rPr>
                <w:t>Consolidated Statements of Income for the years ended September 30, 2021, 2020 and 2019</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F-</w:t>
            </w:r>
            <w:hyperlink w:anchor="ica38aa2cb9a04eba8f8cadac27ee7fb9_151" w:history="1">
              <w:r>
                <w:rPr>
                  <w:rStyle w:val="a3"/>
                  <w:rFonts w:eastAsia="Times New Roman"/>
                  <w:color w:val="000000"/>
                  <w:sz w:val="20"/>
                  <w:szCs w:val="20"/>
                  <w:u w:val="none"/>
                </w:rPr>
                <w:t>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001465557"/>
              <w:rPr>
                <w:rFonts w:eastAsia="Times New Roman"/>
              </w:rPr>
            </w:pPr>
            <w:hyperlink w:anchor="ica38aa2cb9a04eba8f8cadac27ee7fb9_154" w:history="1">
              <w:r>
                <w:rPr>
                  <w:rStyle w:val="a3"/>
                  <w:rFonts w:eastAsia="Times New Roman"/>
                  <w:sz w:val="20"/>
                  <w:szCs w:val="20"/>
                </w:rPr>
                <w:t>Consolidated Statements of Comprehensive Income for the years ended September 30, 2021, 2020 and 2019</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F-</w:t>
            </w:r>
            <w:hyperlink w:anchor="ica38aa2cb9a04eba8f8cadac27ee7fb9_154" w:history="1">
              <w:r>
                <w:rPr>
                  <w:rStyle w:val="a3"/>
                  <w:rFonts w:eastAsia="Times New Roman"/>
                  <w:color w:val="000000"/>
                  <w:sz w:val="20"/>
                  <w:szCs w:val="20"/>
                  <w:u w:val="none"/>
                </w:rPr>
                <w:t>8</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075398448"/>
              <w:rPr>
                <w:rFonts w:eastAsia="Times New Roman"/>
              </w:rPr>
            </w:pPr>
            <w:hyperlink w:anchor="ica38aa2cb9a04eba8f8cadac27ee7fb9_157" w:history="1">
              <w:r>
                <w:rPr>
                  <w:rStyle w:val="a3"/>
                  <w:rFonts w:eastAsia="Times New Roman"/>
                  <w:sz w:val="20"/>
                  <w:szCs w:val="20"/>
                </w:rPr>
                <w:t>Consolidated Statements of Cash Flows for the years ended September 30, 2021, 2020 and 2019</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F-</w:t>
            </w:r>
            <w:hyperlink w:anchor="ica38aa2cb9a04eba8f8cadac27ee7fb9_157" w:history="1">
              <w:r>
                <w:rPr>
                  <w:rStyle w:val="a3"/>
                  <w:rFonts w:eastAsia="Times New Roman"/>
                  <w:color w:val="000000"/>
                  <w:sz w:val="20"/>
                  <w:szCs w:val="20"/>
                  <w:u w:val="none"/>
                </w:rPr>
                <w:t>9</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243731989"/>
              <w:rPr>
                <w:rFonts w:eastAsia="Times New Roman"/>
              </w:rPr>
            </w:pPr>
            <w:hyperlink w:anchor="ica38aa2cb9a04eba8f8cadac27ee7fb9_160" w:history="1">
              <w:r>
                <w:rPr>
                  <w:rStyle w:val="a3"/>
                  <w:rFonts w:eastAsia="Times New Roman"/>
                  <w:sz w:val="20"/>
                  <w:szCs w:val="20"/>
                </w:rPr>
                <w:t>Consolidated Statements of Changes in Equity for the years ended September 30, 2021, 2020 and 2019</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F-</w:t>
            </w:r>
            <w:hyperlink w:anchor="ica38aa2cb9a04eba8f8cadac27ee7fb9_160" w:history="1">
              <w:r>
                <w:rPr>
                  <w:rStyle w:val="a3"/>
                  <w:rFonts w:eastAsia="Times New Roman"/>
                  <w:color w:val="000000"/>
                  <w:sz w:val="20"/>
                  <w:szCs w:val="20"/>
                  <w:u w:val="none"/>
                </w:rPr>
                <w:t>10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223826895"/>
              <w:rPr>
                <w:rFonts w:eastAsia="Times New Roman"/>
              </w:rPr>
            </w:pPr>
            <w:hyperlink w:anchor="ica38aa2cb9a04eba8f8cadac27ee7fb9_163"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F-</w:t>
            </w:r>
            <w:hyperlink w:anchor="ica38aa2cb9a04eba8f8cadac27ee7fb9_163" w:history="1">
              <w:r>
                <w:rPr>
                  <w:rStyle w:val="a3"/>
                  <w:rFonts w:eastAsia="Times New Roman"/>
                  <w:color w:val="000000"/>
                  <w:sz w:val="20"/>
                  <w:szCs w:val="20"/>
                  <w:u w:val="none"/>
                </w:rPr>
                <w:t>11</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Financial Statement Schedules:</w:t>
            </w:r>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 the years ended September 30, 2021, 2020 and 2019:</w:t>
            </w:r>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730424304"/>
              <w:rPr>
                <w:rFonts w:eastAsia="Times New Roman"/>
              </w:rPr>
            </w:pPr>
            <w:hyperlink w:anchor="ica38aa2cb9a04eba8f8cadac27ee7fb9_247" w:history="1">
              <w:r>
                <w:rPr>
                  <w:rStyle w:val="a3"/>
                  <w:rFonts w:eastAsia="Times New Roman"/>
                  <w:sz w:val="20"/>
                  <w:szCs w:val="20"/>
                </w:rPr>
                <w:t xml:space="preserve">I — </w:t>
              </w:r>
              <w:r>
                <w:rPr>
                  <w:rStyle w:val="a3"/>
                  <w:rFonts w:eastAsia="Times New Roman"/>
                  <w:sz w:val="20"/>
                  <w:szCs w:val="20"/>
                </w:rPr>
                <w:t>Condensed Financial Information of Registrant (Parent Company)</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S-</w:t>
            </w:r>
            <w:hyperlink w:anchor="ica38aa2cb9a04eba8f8cadac27ee7fb9_247" w:history="1">
              <w:r>
                <w:rPr>
                  <w:rStyle w:val="a3"/>
                  <w:rFonts w:eastAsia="Times New Roman"/>
                  <w:color w:val="000000"/>
                  <w:sz w:val="20"/>
                  <w:szCs w:val="20"/>
                  <w:u w:val="none"/>
                </w:rPr>
                <w:t>1</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F5BC2">
            <w:pPr>
              <w:spacing w:after="100"/>
              <w:divId w:val="152184529"/>
              <w:rPr>
                <w:rFonts w:eastAsia="Times New Roman"/>
              </w:rPr>
            </w:pPr>
            <w:hyperlink w:anchor="ica38aa2cb9a04eba8f8cadac27ee7fb9_259" w:history="1">
              <w:r>
                <w:rPr>
                  <w:rStyle w:val="a3"/>
                  <w:rFonts w:eastAsia="Times New Roman"/>
                  <w:sz w:val="20"/>
                  <w:szCs w:val="20"/>
                </w:rPr>
                <w:t>II — Valuation and Qualifying Accounts</w:t>
              </w:r>
            </w:hyperlink>
          </w:p>
        </w:tc>
        <w:tc>
          <w:tcPr>
            <w:tcW w:w="0" w:type="auto"/>
            <w:gridSpan w:val="3"/>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S-</w:t>
            </w:r>
            <w:hyperlink w:anchor="ica38aa2cb9a04eba8f8cadac27ee7fb9_259" w:history="1">
              <w:r>
                <w:rPr>
                  <w:rStyle w:val="a3"/>
                  <w:rFonts w:eastAsia="Times New Roman"/>
                  <w:color w:val="000000"/>
                  <w:sz w:val="20"/>
                  <w:szCs w:val="20"/>
                  <w:u w:val="none"/>
                </w:rPr>
                <w:t>4</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have omitted all other financial statement schedules because the required information is either (1) not present; (2) not present in amounts sufficient to require submission of the schedule; or (3) included elsewhere in the financial statements or relate</w:t>
      </w:r>
      <w:r>
        <w:rPr>
          <w:rFonts w:eastAsia="Times New Roman"/>
          <w:color w:val="000000"/>
          <w:sz w:val="20"/>
          <w:szCs w:val="20"/>
        </w:rPr>
        <w:t>d notes.</w:t>
      </w:r>
    </w:p>
    <w:p w:rsidR="00000000" w:rsidRDefault="00DF5BC2">
      <w:pPr>
        <w:jc w:val="both"/>
        <w:rPr>
          <w:rFonts w:eastAsia="Times New Roman"/>
        </w:rPr>
      </w:pPr>
    </w:p>
    <w:p w:rsidR="00000000" w:rsidRDefault="00DF5BC2">
      <w:pPr>
        <w:jc w:val="center"/>
        <w:divId w:val="1552615235"/>
        <w:rPr>
          <w:rFonts w:eastAsia="Times New Roman"/>
        </w:rPr>
      </w:pPr>
      <w:r>
        <w:rPr>
          <w:rFonts w:eastAsia="Times New Roman"/>
          <w:color w:val="000000"/>
          <w:sz w:val="20"/>
          <w:szCs w:val="20"/>
        </w:rPr>
        <w:t>F-2</w:t>
      </w:r>
    </w:p>
    <w:p w:rsidR="00000000" w:rsidRDefault="00DF5BC2">
      <w:pPr>
        <w:rPr>
          <w:rFonts w:eastAsia="Times New Roman"/>
        </w:rPr>
      </w:pPr>
      <w:r>
        <w:rPr>
          <w:rFonts w:eastAsia="Times New Roman"/>
        </w:rPr>
        <w:pict>
          <v:rect id="_x0000_i1116" style="width:0;height:1.5pt" o:hralign="center" o:hrstd="t" o:hr="t" fillcolor="#a0a0a0" stroked="f"/>
        </w:pict>
      </w:r>
    </w:p>
    <w:p w:rsidR="00000000" w:rsidRDefault="00DF5BC2">
      <w:pPr>
        <w:divId w:val="416513807"/>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color w:val="000000"/>
          <w:sz w:val="20"/>
          <w:szCs w:val="20"/>
        </w:rPr>
        <w:t>Management’s Annual Report on Consolidated Financial Statements and Schedules</w:t>
      </w:r>
    </w:p>
    <w:p w:rsidR="00000000" w:rsidRDefault="00DF5BC2">
      <w:pPr>
        <w:jc w:val="both"/>
        <w:divId w:val="997611282"/>
        <w:rPr>
          <w:rFonts w:eastAsia="Times New Roman"/>
        </w:rPr>
      </w:pPr>
      <w:r>
        <w:rPr>
          <w:rFonts w:eastAsia="Times New Roman"/>
          <w:color w:val="000000"/>
          <w:sz w:val="20"/>
          <w:szCs w:val="20"/>
        </w:rPr>
        <w:t>The Company’s consolidated financial statements an</w:t>
      </w:r>
      <w:r>
        <w:rPr>
          <w:rFonts w:eastAsia="Times New Roman"/>
          <w:color w:val="000000"/>
          <w:sz w:val="20"/>
          <w:szCs w:val="20"/>
        </w:rPr>
        <w:t>d other financial information contained in this Annual Report were prepared by management, which is responsible for their fairness, integrity and objectivity. The consolidated financial statements and related information were prepared in accordance with GA</w:t>
      </w:r>
      <w:r>
        <w:rPr>
          <w:rFonts w:eastAsia="Times New Roman"/>
          <w:color w:val="000000"/>
          <w:sz w:val="20"/>
          <w:szCs w:val="20"/>
        </w:rPr>
        <w:t>AP and include amounts that are based on management’s best judgments and estimates.</w:t>
      </w:r>
    </w:p>
    <w:p w:rsidR="00000000" w:rsidRDefault="00DF5BC2">
      <w:pPr>
        <w:jc w:val="both"/>
        <w:divId w:val="1926986441"/>
        <w:rPr>
          <w:rFonts w:eastAsia="Times New Roman"/>
        </w:rPr>
      </w:pPr>
      <w:r>
        <w:rPr>
          <w:rFonts w:eastAsia="Times New Roman"/>
          <w:color w:val="000000"/>
          <w:sz w:val="20"/>
          <w:szCs w:val="20"/>
        </w:rPr>
        <w:t>The Audit Committee of the Board of Directors (the “Committee”) is composed of four members, each of whom is independent and a non-employee director of the Company. The Com</w:t>
      </w:r>
      <w:r>
        <w:rPr>
          <w:rFonts w:eastAsia="Times New Roman"/>
          <w:color w:val="000000"/>
          <w:sz w:val="20"/>
          <w:szCs w:val="20"/>
        </w:rPr>
        <w:t>mittee is responsible for monitoring and overseeing the financial reporting process, the adequacy of internal accounting controls, and the independence and performance of the Company’s independent registered public accounting firm and internal auditors. Th</w:t>
      </w:r>
      <w:r>
        <w:rPr>
          <w:rFonts w:eastAsia="Times New Roman"/>
          <w:color w:val="000000"/>
          <w:sz w:val="20"/>
          <w:szCs w:val="20"/>
        </w:rPr>
        <w:t>e Committee meets regularly, with and without management present, with the independent registered public accounting firm and the internal auditors, both of which report directly to the Committee. In addition, the Committee provides regular reports to the B</w:t>
      </w:r>
      <w:r>
        <w:rPr>
          <w:rFonts w:eastAsia="Times New Roman"/>
          <w:color w:val="000000"/>
          <w:sz w:val="20"/>
          <w:szCs w:val="20"/>
        </w:rPr>
        <w:t>oard of Directors.</w:t>
      </w:r>
    </w:p>
    <w:p w:rsidR="00000000" w:rsidRDefault="00DF5BC2">
      <w:pPr>
        <w:divId w:val="488598519"/>
        <w:rPr>
          <w:rFonts w:eastAsia="Times New Roman"/>
        </w:rPr>
      </w:pPr>
    </w:p>
    <w:p w:rsidR="00000000" w:rsidRDefault="00DF5BC2">
      <w:pPr>
        <w:divId w:val="17201061"/>
        <w:rPr>
          <w:rFonts w:eastAsia="Times New Roman"/>
        </w:rPr>
      </w:pPr>
      <w:r>
        <w:rPr>
          <w:rFonts w:eastAsia="Times New Roman"/>
          <w:color w:val="000000"/>
          <w:sz w:val="20"/>
          <w:szCs w:val="20"/>
        </w:rPr>
        <w:t>/s/ Roger Perrault</w:t>
      </w:r>
    </w:p>
    <w:p w:rsidR="00000000" w:rsidRDefault="00DF5BC2">
      <w:pPr>
        <w:divId w:val="280496042"/>
        <w:rPr>
          <w:rFonts w:eastAsia="Times New Roman"/>
        </w:rPr>
      </w:pPr>
      <w:r>
        <w:rPr>
          <w:rFonts w:eastAsia="Times New Roman"/>
          <w:color w:val="000000"/>
          <w:sz w:val="20"/>
          <w:szCs w:val="20"/>
        </w:rPr>
        <w:t>Chief Executive Officer</w:t>
      </w:r>
    </w:p>
    <w:p w:rsidR="00000000" w:rsidRDefault="00DF5BC2">
      <w:pPr>
        <w:divId w:val="410276140"/>
        <w:rPr>
          <w:rFonts w:eastAsia="Times New Roman"/>
        </w:rPr>
      </w:pPr>
    </w:p>
    <w:p w:rsidR="00000000" w:rsidRDefault="00DF5BC2">
      <w:pPr>
        <w:divId w:val="877352221"/>
        <w:rPr>
          <w:rFonts w:eastAsia="Times New Roman"/>
        </w:rPr>
      </w:pPr>
      <w:r>
        <w:rPr>
          <w:rFonts w:eastAsia="Times New Roman"/>
          <w:color w:val="000000"/>
          <w:sz w:val="20"/>
          <w:szCs w:val="20"/>
        </w:rPr>
        <w:t>/s/ Ted J. Jastrzebski</w:t>
      </w:r>
    </w:p>
    <w:p w:rsidR="00000000" w:rsidRDefault="00DF5BC2">
      <w:pPr>
        <w:divId w:val="1650481876"/>
        <w:rPr>
          <w:rFonts w:eastAsia="Times New Roman"/>
        </w:rPr>
      </w:pPr>
      <w:r>
        <w:rPr>
          <w:rFonts w:eastAsia="Times New Roman"/>
          <w:color w:val="000000"/>
          <w:sz w:val="20"/>
          <w:szCs w:val="20"/>
        </w:rPr>
        <w:t>Chief Financial Officer</w:t>
      </w:r>
    </w:p>
    <w:p w:rsidR="00000000" w:rsidRDefault="00DF5BC2">
      <w:pPr>
        <w:divId w:val="601954984"/>
        <w:rPr>
          <w:rFonts w:eastAsia="Times New Roman"/>
        </w:rPr>
      </w:pPr>
    </w:p>
    <w:p w:rsidR="00000000" w:rsidRDefault="00DF5BC2">
      <w:pPr>
        <w:divId w:val="775174812"/>
        <w:rPr>
          <w:rFonts w:eastAsia="Times New Roman"/>
        </w:rPr>
      </w:pPr>
      <w:r>
        <w:rPr>
          <w:rFonts w:eastAsia="Times New Roman"/>
          <w:color w:val="000000"/>
          <w:sz w:val="20"/>
          <w:szCs w:val="20"/>
        </w:rPr>
        <w:t>/s/ Jean Felix Tematio Dontsop</w:t>
      </w:r>
    </w:p>
    <w:p w:rsidR="00000000" w:rsidRDefault="00DF5BC2">
      <w:pPr>
        <w:divId w:val="300890826"/>
        <w:rPr>
          <w:rFonts w:eastAsia="Times New Roman"/>
        </w:rPr>
      </w:pPr>
      <w:r>
        <w:rPr>
          <w:rFonts w:eastAsia="Times New Roman"/>
          <w:color w:val="000000"/>
          <w:sz w:val="20"/>
          <w:szCs w:val="20"/>
        </w:rPr>
        <w:t>Chief Accounting Officer</w:t>
      </w:r>
    </w:p>
    <w:p w:rsidR="00000000" w:rsidRDefault="00DF5BC2">
      <w:pPr>
        <w:jc w:val="both"/>
        <w:rPr>
          <w:rFonts w:eastAsia="Times New Roman"/>
        </w:rPr>
      </w:pPr>
    </w:p>
    <w:p w:rsidR="00000000" w:rsidRDefault="00DF5BC2">
      <w:pPr>
        <w:jc w:val="center"/>
        <w:divId w:val="2137991849"/>
        <w:rPr>
          <w:rFonts w:eastAsia="Times New Roman"/>
        </w:rPr>
      </w:pPr>
      <w:r>
        <w:rPr>
          <w:rFonts w:eastAsia="Times New Roman"/>
          <w:color w:val="000000"/>
          <w:sz w:val="20"/>
          <w:szCs w:val="20"/>
        </w:rPr>
        <w:t>F-3</w:t>
      </w:r>
    </w:p>
    <w:p w:rsidR="00000000" w:rsidRDefault="00DF5BC2">
      <w:pPr>
        <w:rPr>
          <w:rFonts w:eastAsia="Times New Roman"/>
        </w:rPr>
      </w:pPr>
      <w:r>
        <w:rPr>
          <w:rFonts w:eastAsia="Times New Roman"/>
        </w:rPr>
        <w:pict>
          <v:rect id="_x0000_i1117" style="width:0;height:1.5pt" o:hralign="center" o:hrstd="t" o:hr="t" fillcolor="#a0a0a0" stroked="f"/>
        </w:pict>
      </w:r>
    </w:p>
    <w:p w:rsidR="00000000" w:rsidRDefault="00DF5BC2">
      <w:pPr>
        <w:divId w:val="147135188"/>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b/>
          <w:bCs/>
          <w:color w:val="000000"/>
          <w:sz w:val="20"/>
          <w:szCs w:val="20"/>
        </w:rPr>
        <w:t>Report of Independent Registered Public Accounting Firm</w:t>
      </w:r>
    </w:p>
    <w:p w:rsidR="00000000" w:rsidRDefault="00DF5BC2">
      <w:pPr>
        <w:jc w:val="both"/>
        <w:rPr>
          <w:rFonts w:eastAsia="Times New Roman"/>
        </w:rPr>
      </w:pPr>
    </w:p>
    <w:p w:rsidR="00000000" w:rsidRDefault="00DF5BC2">
      <w:pPr>
        <w:jc w:val="both"/>
        <w:divId w:val="984702755"/>
        <w:rPr>
          <w:rFonts w:eastAsia="Times New Roman"/>
        </w:rPr>
      </w:pPr>
      <w:r>
        <w:rPr>
          <w:rFonts w:eastAsia="Times New Roman"/>
          <w:color w:val="000000"/>
          <w:sz w:val="20"/>
          <w:szCs w:val="20"/>
        </w:rPr>
        <w:t xml:space="preserve">To the Stockholders and the Board of Directors of UGI Corporation </w:t>
      </w:r>
    </w:p>
    <w:p w:rsidR="00000000" w:rsidRDefault="00DF5BC2">
      <w:pPr>
        <w:jc w:val="both"/>
        <w:divId w:val="1485510491"/>
        <w:rPr>
          <w:rFonts w:eastAsia="Times New Roman"/>
        </w:rPr>
      </w:pPr>
      <w:r>
        <w:rPr>
          <w:rFonts w:eastAsia="Times New Roman"/>
          <w:b/>
          <w:bCs/>
          <w:color w:val="000000"/>
          <w:sz w:val="20"/>
          <w:szCs w:val="20"/>
        </w:rPr>
        <w:t xml:space="preserve">Opinion on the Financial Statements </w:t>
      </w:r>
    </w:p>
    <w:p w:rsidR="00000000" w:rsidRDefault="00DF5BC2">
      <w:pPr>
        <w:jc w:val="both"/>
        <w:rPr>
          <w:rFonts w:eastAsia="Times New Roman"/>
        </w:rPr>
      </w:pPr>
      <w:r>
        <w:rPr>
          <w:rFonts w:eastAsia="Times New Roman"/>
          <w:color w:val="000000"/>
          <w:sz w:val="20"/>
          <w:szCs w:val="20"/>
        </w:rPr>
        <w:t>We have audited the accompanying consolidated balance sheets of UGI Corporation and subsidiaries (the Company) as of September 30, 2021 and 2020, the related consolidated statements of income, comprehensive income, changes in equity and cash flows for each</w:t>
      </w:r>
      <w:r>
        <w:rPr>
          <w:rFonts w:eastAsia="Times New Roman"/>
          <w:color w:val="000000"/>
          <w:sz w:val="20"/>
          <w:szCs w:val="20"/>
        </w:rPr>
        <w:t xml:space="preserve"> of the three years in the period ended September 30, 2021, and the related notes and the financial statement schedules listed in the Index at Item 15(a) (collectively referred to as the “consolidated financial statements”). In our opinion, the consolidate</w:t>
      </w:r>
      <w:r>
        <w:rPr>
          <w:rFonts w:eastAsia="Times New Roman"/>
          <w:color w:val="000000"/>
          <w:sz w:val="20"/>
          <w:szCs w:val="20"/>
        </w:rPr>
        <w:t xml:space="preserve">d financial statements present fairly, in all material respects, the financial position of the Company at September 30, 2021 and 2020, and the results of its operations and its cash flows for each of the three years in the period ended September 30, 2021, </w:t>
      </w:r>
      <w:r>
        <w:rPr>
          <w:rFonts w:eastAsia="Times New Roman"/>
          <w:color w:val="000000"/>
          <w:sz w:val="20"/>
          <w:szCs w:val="20"/>
        </w:rPr>
        <w:t xml:space="preserve">in conformity with U.S. generally accepted accounting principles.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w:t>
      </w:r>
      <w:r>
        <w:rPr>
          <w:rFonts w:eastAsia="Times New Roman"/>
          <w:color w:val="000000"/>
          <w:sz w:val="20"/>
          <w:szCs w:val="20"/>
        </w:rPr>
        <w:t xml:space="preserve"> of September 30, 2021, based on criteria established in Internal Control-Integrated Framework issued by the Committee of Sponsoring Organizations of the Treadway Commission (2013 framework) and our report dated November 19, 2021, expressed an unqualified </w:t>
      </w:r>
      <w:r>
        <w:rPr>
          <w:rFonts w:eastAsia="Times New Roman"/>
          <w:color w:val="000000"/>
          <w:sz w:val="20"/>
          <w:szCs w:val="20"/>
        </w:rPr>
        <w:t>opinion thereon.</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Basis for Opinion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w:t>
      </w:r>
      <w:r>
        <w:rPr>
          <w:rFonts w:eastAsia="Times New Roman"/>
          <w:color w:val="000000"/>
          <w:sz w:val="20"/>
          <w:szCs w:val="20"/>
        </w:rPr>
        <w:t xml:space="preserve"> to be independent with respect to the Company in accordance with the U.S. federal securities laws and the applicable rules and regulations of the Securities and Exchange Commission and the PCAOB.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conducted our audits in accordance with the standards</w:t>
      </w:r>
      <w:r>
        <w:rPr>
          <w:rFonts w:eastAsia="Times New Roman"/>
          <w:color w:val="000000"/>
          <w:sz w:val="20"/>
          <w:szCs w:val="20"/>
        </w:rPr>
        <w:t xml:space="preserve"> of the PCAOB. Those standards require that we plan and perform the audit to obtain reasonable assurance about whether the financial statements are free of material misstatement, whether due to error or fraud. Our audits included performing procedures to a</w:t>
      </w:r>
      <w:r>
        <w:rPr>
          <w:rFonts w:eastAsia="Times New Roman"/>
          <w:color w:val="000000"/>
          <w:sz w:val="20"/>
          <w:szCs w:val="20"/>
        </w:rPr>
        <w:t xml:space="preserve">ssess the risks of material misstatement of the financial statements, whether due to error or fraud, and performing procedures that respond to those risks. Such procedures included examining, on a test basis, evidence regarding the amounts and disclosures </w:t>
      </w:r>
      <w:r>
        <w:rPr>
          <w:rFonts w:eastAsia="Times New Roman"/>
          <w:color w:val="000000"/>
          <w:sz w:val="20"/>
          <w:szCs w:val="20"/>
        </w:rPr>
        <w:t>in the financial statements. Our audits also included evaluating the accounting principles used and significant estimates made by management, as well as evaluating the overall presentation of the financial statements. We believe that our audits provide a r</w:t>
      </w:r>
      <w:r>
        <w:rPr>
          <w:rFonts w:eastAsia="Times New Roman"/>
          <w:color w:val="000000"/>
          <w:sz w:val="20"/>
          <w:szCs w:val="20"/>
        </w:rPr>
        <w:t>easonable basis for our opinion.</w:t>
      </w:r>
    </w:p>
    <w:p w:rsidR="00000000" w:rsidRDefault="00DF5BC2">
      <w:pPr>
        <w:divId w:val="107747772"/>
        <w:rPr>
          <w:rFonts w:eastAsia="Times New Roman"/>
        </w:rPr>
      </w:pPr>
    </w:p>
    <w:p w:rsidR="00000000" w:rsidRDefault="00DF5BC2">
      <w:pPr>
        <w:jc w:val="both"/>
        <w:divId w:val="1079251015"/>
        <w:rPr>
          <w:rFonts w:eastAsia="Times New Roman"/>
        </w:rPr>
      </w:pPr>
      <w:r>
        <w:rPr>
          <w:rFonts w:eastAsia="Times New Roman"/>
          <w:b/>
          <w:bCs/>
          <w:color w:val="000000"/>
          <w:sz w:val="20"/>
          <w:szCs w:val="20"/>
        </w:rPr>
        <w:t>Critical Audit Matter</w:t>
      </w:r>
    </w:p>
    <w:p w:rsidR="00000000" w:rsidRDefault="00DF5BC2">
      <w:pPr>
        <w:jc w:val="both"/>
        <w:divId w:val="2104059504"/>
        <w:rPr>
          <w:rFonts w:eastAsia="Times New Roman"/>
        </w:rPr>
      </w:pPr>
      <w:r>
        <w:rPr>
          <w:rFonts w:eastAsia="Times New Roman"/>
          <w:color w:val="000000"/>
          <w:sz w:val="20"/>
          <w:szCs w:val="20"/>
        </w:rPr>
        <w:t xml:space="preserve">The critical audit matter communicated below is a matter arising from the current period audit of the financial statements that was communicated or required to be communicated to the audit committee </w:t>
      </w:r>
      <w:r>
        <w:rPr>
          <w:rFonts w:eastAsia="Times New Roman"/>
          <w:color w:val="000000"/>
          <w:sz w:val="20"/>
          <w:szCs w:val="20"/>
        </w:rPr>
        <w:t>and that: (1) relates to accounts or disclosures that are material to the financial statements and (2) involved our especially challenging, subjective, or complex judgments. The communication of the critical audit matter does not alter in any way our opini</w:t>
      </w:r>
      <w:r>
        <w:rPr>
          <w:rFonts w:eastAsia="Times New Roman"/>
          <w:color w:val="000000"/>
          <w:sz w:val="20"/>
          <w:szCs w:val="20"/>
        </w:rPr>
        <w:t>on on the consolidated financial statements, taken as a whole, and we are not, by communicating the critical audit matter below, providing a separate opinion on the critical audit matter or on the accounts or disclosures to which it relates.</w:t>
      </w:r>
    </w:p>
    <w:p w:rsidR="00000000" w:rsidRDefault="00DF5BC2">
      <w:pPr>
        <w:jc w:val="center"/>
        <w:divId w:val="88546779"/>
        <w:rPr>
          <w:rFonts w:eastAsia="Times New Roman"/>
        </w:rPr>
      </w:pPr>
      <w:r>
        <w:rPr>
          <w:rFonts w:eastAsia="Times New Roman"/>
          <w:color w:val="000000"/>
          <w:sz w:val="20"/>
          <w:szCs w:val="20"/>
        </w:rPr>
        <w:t>F-4</w:t>
      </w:r>
    </w:p>
    <w:p w:rsidR="00000000" w:rsidRDefault="00DF5BC2">
      <w:pPr>
        <w:rPr>
          <w:rFonts w:eastAsia="Times New Roman"/>
        </w:rPr>
      </w:pPr>
      <w:r>
        <w:rPr>
          <w:rFonts w:eastAsia="Times New Roman"/>
        </w:rPr>
        <w:pict>
          <v:rect id="_x0000_i1118" style="width:0;height:1.5pt" o:hralign="center" o:hrstd="t" o:hr="t" fillcolor="#a0a0a0" stroked="f"/>
        </w:pict>
      </w:r>
    </w:p>
    <w:p w:rsidR="00000000" w:rsidRDefault="00DF5BC2">
      <w:pPr>
        <w:divId w:val="1646081149"/>
        <w:rPr>
          <w:rFonts w:eastAsia="Times New Roman"/>
        </w:rPr>
      </w:pPr>
      <w:hyperlink w:anchor="ica38aa2cb9a04eba8f8cadac27ee7fb9_7"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85"/>
        <w:gridCol w:w="892"/>
        <w:gridCol w:w="36"/>
        <w:gridCol w:w="36"/>
        <w:gridCol w:w="171"/>
        <w:gridCol w:w="36"/>
        <w:gridCol w:w="41"/>
        <w:gridCol w:w="6959"/>
        <w:gridCol w:w="37"/>
      </w:tblGrid>
      <w:tr w:rsidR="00000000">
        <w:trPr>
          <w:divId w:val="55206412"/>
        </w:trPr>
        <w:tc>
          <w:tcPr>
            <w:tcW w:w="50" w:type="pct"/>
            <w:vAlign w:val="center"/>
            <w:hideMark/>
          </w:tcPr>
          <w:p w:rsidR="00000000" w:rsidRDefault="00DF5BC2">
            <w:pPr>
              <w:rPr>
                <w:rFonts w:eastAsia="Times New Roman"/>
              </w:rPr>
            </w:pPr>
          </w:p>
        </w:tc>
        <w:tc>
          <w:tcPr>
            <w:tcW w:w="53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22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55206412"/>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b/>
                <w:bCs/>
                <w:i/>
                <w:iCs/>
                <w:color w:val="000000"/>
                <w:sz w:val="20"/>
                <w:szCs w:val="20"/>
              </w:rPr>
              <w:t>Valuation of general, automobile and product liability and workers’ compensation reserves</w:t>
            </w:r>
          </w:p>
        </w:tc>
      </w:tr>
      <w:tr w:rsidR="00000000">
        <w:trPr>
          <w:divId w:val="55206412"/>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hideMark/>
          </w:tcPr>
          <w:p w:rsidR="00000000" w:rsidRDefault="00DF5BC2">
            <w:pPr>
              <w:spacing w:after="100"/>
              <w:jc w:val="both"/>
              <w:divId w:val="1070687892"/>
              <w:rPr>
                <w:rFonts w:eastAsia="Times New Roman"/>
              </w:rPr>
            </w:pPr>
            <w:r>
              <w:rPr>
                <w:rFonts w:eastAsia="Times New Roman"/>
                <w:color w:val="000000"/>
                <w:sz w:val="20"/>
                <w:szCs w:val="20"/>
              </w:rPr>
              <w:t>As discussed in Note 2 to the consolidated financial statements, the Company is subject to risk of loss for general, automobile and product liability and workers’ compensation claims for which it obtains coverage under insura</w:t>
            </w:r>
            <w:r>
              <w:rPr>
                <w:rFonts w:eastAsia="Times New Roman"/>
                <w:color w:val="000000"/>
                <w:sz w:val="20"/>
                <w:szCs w:val="20"/>
              </w:rPr>
              <w:t>nce policies that are subject to self-insured retentions or deductibles. The Company establishes reserves for pending and incurred but not reported claims associated with general, automobile and product liability matters and workers’ compensation when it i</w:t>
            </w:r>
            <w:r>
              <w:rPr>
                <w:rFonts w:eastAsia="Times New Roman"/>
                <w:color w:val="000000"/>
                <w:sz w:val="20"/>
                <w:szCs w:val="20"/>
              </w:rPr>
              <w:t>s probable that a liability exists and the amount or range of amounts can be reasonably estimated.</w:t>
            </w:r>
          </w:p>
          <w:p w:rsidR="00000000" w:rsidRDefault="00DF5BC2">
            <w:pPr>
              <w:spacing w:after="100"/>
              <w:jc w:val="both"/>
              <w:divId w:val="1487361288"/>
              <w:rPr>
                <w:rFonts w:eastAsia="Times New Roman"/>
              </w:rPr>
            </w:pPr>
            <w:r>
              <w:rPr>
                <w:rFonts w:eastAsia="Times New Roman"/>
                <w:color w:val="000000"/>
                <w:sz w:val="20"/>
                <w:szCs w:val="20"/>
              </w:rPr>
              <w:t>Auditing the Company’s general, automobile and product liability, and workers’ compensation reserves was complex and required us to involve our actuarial spe</w:t>
            </w:r>
            <w:r>
              <w:rPr>
                <w:rFonts w:eastAsia="Times New Roman"/>
                <w:color w:val="000000"/>
                <w:sz w:val="20"/>
                <w:szCs w:val="20"/>
              </w:rPr>
              <w:t>cialists due to the significant measurement uncertainty associated with the estimate and the use of actuarial methods. In addition, the reserve estimate is sensitive to significant management assumptions, including the loss development factors for reported</w:t>
            </w:r>
            <w:r>
              <w:rPr>
                <w:rFonts w:eastAsia="Times New Roman"/>
                <w:color w:val="000000"/>
                <w:sz w:val="20"/>
                <w:szCs w:val="20"/>
              </w:rPr>
              <w:t xml:space="preserve"> claims.</w:t>
            </w:r>
          </w:p>
        </w:tc>
      </w:tr>
      <w:tr w:rsidR="00000000">
        <w:trPr>
          <w:divId w:val="55206412"/>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hideMark/>
          </w:tcPr>
          <w:p w:rsidR="00000000" w:rsidRDefault="00DF5BC2">
            <w:pPr>
              <w:spacing w:after="100"/>
              <w:jc w:val="both"/>
              <w:divId w:val="1094471394"/>
              <w:rPr>
                <w:rFonts w:eastAsia="Times New Roman"/>
              </w:rPr>
            </w:pPr>
            <w:r>
              <w:rPr>
                <w:rFonts w:eastAsia="Times New Roman"/>
                <w:color w:val="000000"/>
                <w:sz w:val="20"/>
                <w:szCs w:val="20"/>
              </w:rPr>
              <w:t>We obtained an understanding, evaluated the design, and tested the operating effectiveness of controls over the Company’s valuation of general, automobile and product liability, and workers’ compensation reserves. For example, we tested controls over manag</w:t>
            </w:r>
            <w:r>
              <w:rPr>
                <w:rFonts w:eastAsia="Times New Roman"/>
                <w:color w:val="000000"/>
                <w:sz w:val="20"/>
                <w:szCs w:val="20"/>
              </w:rPr>
              <w:t>ement’s review of the appropriateness of the assumptions used in the calculations and the completeness and accuracy of the data underlying the reserves.</w:t>
            </w:r>
          </w:p>
          <w:p w:rsidR="00000000" w:rsidRDefault="00DF5BC2">
            <w:pPr>
              <w:spacing w:after="100"/>
              <w:jc w:val="both"/>
              <w:divId w:val="1362970777"/>
              <w:rPr>
                <w:rFonts w:eastAsia="Times New Roman"/>
              </w:rPr>
            </w:pPr>
            <w:r>
              <w:rPr>
                <w:rFonts w:eastAsia="Times New Roman"/>
                <w:color w:val="000000"/>
                <w:sz w:val="20"/>
                <w:szCs w:val="20"/>
              </w:rPr>
              <w:t>To test the valuation of general, automobile and product liability, and workers’ compensation reserves,</w:t>
            </w:r>
            <w:r>
              <w:rPr>
                <w:rFonts w:eastAsia="Times New Roman"/>
                <w:color w:val="000000"/>
                <w:sz w:val="20"/>
                <w:szCs w:val="20"/>
              </w:rPr>
              <w:t xml:space="preserve"> our audit procedures included, among others, assessing the methodologies used to estimate the reserves and testing the completeness and accuracy of the underlying data. We involved our actuarial specialists to assist in evaluating the significant assumpti</w:t>
            </w:r>
            <w:r>
              <w:rPr>
                <w:rFonts w:eastAsia="Times New Roman"/>
                <w:color w:val="000000"/>
                <w:sz w:val="20"/>
                <w:szCs w:val="20"/>
              </w:rPr>
              <w:t>ons and actuarial methodologies used by the Company to estimate the total expected losses for claims. We also performed a search for unrecorded claims reserves related to claims incurred prior to the balance sheet date through examination of subsequent pay</w:t>
            </w:r>
            <w:r>
              <w:rPr>
                <w:rFonts w:eastAsia="Times New Roman"/>
                <w:color w:val="000000"/>
                <w:sz w:val="20"/>
                <w:szCs w:val="20"/>
              </w:rPr>
              <w:t>ments and other supporting documentation to determine if unrecorded claims affect the loss reserve estimation process or reserve balance.</w:t>
            </w:r>
          </w:p>
        </w:tc>
      </w:tr>
    </w:tbl>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 Ernst &amp; Young LLP</w:t>
      </w:r>
    </w:p>
    <w:p w:rsidR="00000000" w:rsidRDefault="00DF5BC2">
      <w:pPr>
        <w:jc w:val="both"/>
        <w:rPr>
          <w:rFonts w:eastAsia="Times New Roman"/>
        </w:rPr>
      </w:pPr>
      <w:r>
        <w:rPr>
          <w:rFonts w:eastAsia="Times New Roman"/>
          <w:color w:val="000000"/>
          <w:sz w:val="20"/>
          <w:szCs w:val="20"/>
        </w:rPr>
        <w:t>We have served as the Company’s auditor since 2014.</w:t>
      </w:r>
    </w:p>
    <w:p w:rsidR="00000000" w:rsidRDefault="00DF5BC2">
      <w:pPr>
        <w:jc w:val="both"/>
        <w:rPr>
          <w:rFonts w:eastAsia="Times New Roman"/>
        </w:rPr>
      </w:pPr>
      <w:r>
        <w:rPr>
          <w:rFonts w:eastAsia="Times New Roman"/>
          <w:color w:val="000000"/>
          <w:sz w:val="20"/>
          <w:szCs w:val="20"/>
        </w:rPr>
        <w:t>Philadelphia, Pennsylvania</w:t>
      </w:r>
    </w:p>
    <w:p w:rsidR="00000000" w:rsidRDefault="00DF5BC2">
      <w:pPr>
        <w:jc w:val="both"/>
        <w:rPr>
          <w:rFonts w:eastAsia="Times New Roman"/>
        </w:rPr>
      </w:pPr>
      <w:r>
        <w:rPr>
          <w:rFonts w:eastAsia="Times New Roman"/>
          <w:color w:val="000000"/>
          <w:sz w:val="20"/>
          <w:szCs w:val="20"/>
        </w:rPr>
        <w:t>November 19, 2021</w:t>
      </w:r>
    </w:p>
    <w:p w:rsidR="00000000" w:rsidRDefault="00DF5BC2">
      <w:pPr>
        <w:jc w:val="center"/>
        <w:divId w:val="229317379"/>
        <w:rPr>
          <w:rFonts w:eastAsia="Times New Roman"/>
        </w:rPr>
      </w:pPr>
      <w:r>
        <w:rPr>
          <w:rFonts w:eastAsia="Times New Roman"/>
          <w:color w:val="000000"/>
          <w:sz w:val="20"/>
          <w:szCs w:val="20"/>
        </w:rPr>
        <w:t>F-5</w:t>
      </w:r>
    </w:p>
    <w:p w:rsidR="00000000" w:rsidRDefault="00DF5BC2">
      <w:pPr>
        <w:rPr>
          <w:rFonts w:eastAsia="Times New Roman"/>
        </w:rPr>
      </w:pPr>
      <w:r>
        <w:rPr>
          <w:rFonts w:eastAsia="Times New Roman"/>
        </w:rPr>
        <w:pict>
          <v:rect id="_x0000_i1119" style="width:0;height:1.5pt" o:hralign="center" o:hrstd="t" o:hr="t" fillcolor="#a0a0a0" stroked="f"/>
        </w:pict>
      </w:r>
    </w:p>
    <w:p w:rsidR="00000000" w:rsidRDefault="00DF5BC2">
      <w:pPr>
        <w:divId w:val="1729113278"/>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color w:val="000000"/>
          <w:sz w:val="20"/>
          <w:szCs w:val="20"/>
        </w:rPr>
        <w:t>UGI CORPORATION AND SUBSIDIARIES</w:t>
      </w:r>
    </w:p>
    <w:p w:rsidR="00000000" w:rsidRDefault="00DF5BC2">
      <w:pPr>
        <w:ind w:firstLine="45"/>
        <w:jc w:val="center"/>
        <w:rPr>
          <w:rFonts w:eastAsia="Times New Roman"/>
        </w:rPr>
      </w:pPr>
      <w:r>
        <w:rPr>
          <w:rFonts w:eastAsia="Times New Roman"/>
          <w:color w:val="000000"/>
          <w:sz w:val="20"/>
          <w:szCs w:val="20"/>
        </w:rPr>
        <w:t>CONSOLIDATED BALANCE SHEETS</w:t>
      </w:r>
    </w:p>
    <w:p w:rsidR="00000000" w:rsidRDefault="00DF5BC2">
      <w:pPr>
        <w:jc w:val="center"/>
        <w:rPr>
          <w:rFonts w:eastAsia="Times New Roman"/>
        </w:rPr>
      </w:pPr>
      <w:r>
        <w:rPr>
          <w:rFonts w:eastAsia="Times New Roman"/>
          <w:color w:val="000000"/>
          <w:sz w:val="20"/>
          <w:szCs w:val="20"/>
        </w:rPr>
        <w:t>(Millions of dollars)</w:t>
      </w:r>
    </w:p>
    <w:tbl>
      <w:tblPr>
        <w:tblW w:w="5000" w:type="pct"/>
        <w:tblCellMar>
          <w:top w:w="15" w:type="dxa"/>
          <w:left w:w="15" w:type="dxa"/>
          <w:bottom w:w="15" w:type="dxa"/>
          <w:right w:w="15" w:type="dxa"/>
        </w:tblCellMar>
        <w:tblLook w:val="04A0" w:firstRow="1" w:lastRow="0" w:firstColumn="1" w:lastColumn="0" w:noHBand="0" w:noVBand="1"/>
      </w:tblPr>
      <w:tblGrid>
        <w:gridCol w:w="44"/>
        <w:gridCol w:w="6441"/>
        <w:gridCol w:w="39"/>
        <w:gridCol w:w="110"/>
        <w:gridCol w:w="707"/>
        <w:gridCol w:w="36"/>
        <w:gridCol w:w="36"/>
        <w:gridCol w:w="36"/>
        <w:gridCol w:w="36"/>
        <w:gridCol w:w="110"/>
        <w:gridCol w:w="675"/>
        <w:gridCol w:w="36"/>
      </w:tblGrid>
      <w:tr w:rsidR="00000000">
        <w:trPr>
          <w:divId w:val="1181622739"/>
        </w:trPr>
        <w:tc>
          <w:tcPr>
            <w:tcW w:w="50" w:type="pct"/>
            <w:vAlign w:val="center"/>
            <w:hideMark/>
          </w:tcPr>
          <w:p w:rsidR="00000000" w:rsidRDefault="00DF5BC2">
            <w:pPr>
              <w:jc w:val="center"/>
              <w:rPr>
                <w:rFonts w:eastAsia="Times New Roman"/>
              </w:rPr>
            </w:pPr>
          </w:p>
        </w:tc>
        <w:tc>
          <w:tcPr>
            <w:tcW w:w="389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4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4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181622739"/>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September 30,</w:t>
            </w:r>
          </w:p>
        </w:tc>
      </w:tr>
      <w:tr w:rsidR="00000000">
        <w:trPr>
          <w:divId w:val="1181622739"/>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F5BC2">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F5BC2">
            <w:pPr>
              <w:spacing w:after="100"/>
              <w:jc w:val="center"/>
              <w:rPr>
                <w:rFonts w:eastAsia="Times New Roman"/>
              </w:rPr>
            </w:pPr>
            <w:r>
              <w:rPr>
                <w:rFonts w:eastAsia="Times New Roman"/>
                <w:color w:val="000000"/>
                <w:sz w:val="18"/>
                <w:szCs w:val="18"/>
              </w:rPr>
              <w:t>2020</w:t>
            </w:r>
          </w:p>
        </w:tc>
      </w:tr>
      <w:tr w:rsidR="00000000">
        <w:trPr>
          <w:divId w:val="1181622739"/>
        </w:trPr>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r>
      <w:tr w:rsidR="00000000">
        <w:trPr>
          <w:divId w:val="118162273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855 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336 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326785442"/>
              <w:rPr>
                <w:rFonts w:eastAsia="Times New Roman"/>
              </w:rPr>
            </w:pPr>
            <w:r>
              <w:rPr>
                <w:rFonts w:eastAsia="Times New Roman"/>
                <w:color w:val="000000"/>
                <w:sz w:val="18"/>
                <w:szCs w:val="18"/>
              </w:rPr>
              <w:t>Accounts receivable (less allowances for doubtful accounts of $53 and $42, respectively)</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880 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652 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Accrued utility revenues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Income taxes receivable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469 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665 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96 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3,270 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1,543 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Property, plant and equipment</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Non-utility</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6,486 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6,393 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Utility</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5,022 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4,265 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11,508 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10,658 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(3,950)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(3,698)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Net property, plant, and equipment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7,558 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6,960 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3,770 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3,518 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583 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677 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Utility regulatory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373 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395 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338 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831 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854 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16,723 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13,985 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b/>
                <w:bCs/>
                <w:color w:val="000000"/>
                <w:sz w:val="18"/>
                <w:szCs w:val="18"/>
              </w:rPr>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center"/>
            <w:hideMark/>
          </w:tcPr>
          <w:p w:rsidR="00000000" w:rsidRDefault="00DF5BC2">
            <w:pPr>
              <w:spacing w:after="100"/>
              <w:rPr>
                <w:rFonts w:eastAsia="Times New Roman"/>
              </w:rPr>
            </w:pPr>
            <w:r>
              <w:rPr>
                <w:rFonts w:eastAsia="Times New Roman"/>
                <w:color w:val="000000"/>
                <w:sz w:val="18"/>
                <w:szCs w:val="18"/>
              </w:rPr>
              <w:t> </w:t>
            </w:r>
          </w:p>
        </w:tc>
      </w:tr>
      <w:tr w:rsidR="00000000">
        <w:trPr>
          <w:divId w:val="118162273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Current maturities of long-term debt</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Short-term borrowings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367 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347 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837 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475 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Employee compensation and benefits accrued</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181 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Deposits and advances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208 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204 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Other current liabilities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534 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2,297 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1,755 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Noncurrent liabilities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Long-term debt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6,339 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5,981 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1,137 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640 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81622739"/>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Other noncurrent liabilities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1,381 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1,413 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11,192 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9,848 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Commitments and contingencies (Note 17)</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18162273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Equity:</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r>
      <w:tr w:rsidR="00000000">
        <w:trPr>
          <w:divId w:val="118162273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UGI Corporation stockholders’ equity:</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 </w:t>
            </w:r>
          </w:p>
        </w:tc>
      </w:tr>
      <w:tr w:rsidR="00000000">
        <w:trPr>
          <w:divId w:val="118162273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466512880"/>
              <w:rPr>
                <w:rFonts w:eastAsia="Times New Roman"/>
              </w:rPr>
            </w:pPr>
            <w:r>
              <w:rPr>
                <w:rFonts w:eastAsia="Times New Roman"/>
                <w:color w:val="000000"/>
                <w:sz w:val="18"/>
                <w:szCs w:val="18"/>
              </w:rPr>
              <w:t xml:space="preserve">Preferred Stock, without par value (authorized 5,000,000 shares; issued 220,000 and 0 </w:t>
            </w:r>
            <w:r>
              <w:rPr>
                <w:rFonts w:eastAsia="Times New Roman"/>
                <w:color w:val="000000"/>
                <w:sz w:val="18"/>
                <w:szCs w:val="18"/>
              </w:rPr>
              <w:t>Series A shares, respectively)</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897399401"/>
              <w:rPr>
                <w:rFonts w:eastAsia="Times New Roman"/>
              </w:rPr>
            </w:pPr>
            <w:r>
              <w:rPr>
                <w:rFonts w:eastAsia="Times New Roman"/>
                <w:color w:val="000000"/>
                <w:sz w:val="18"/>
                <w:szCs w:val="18"/>
              </w:rPr>
              <w:t>UGI Common Stock, without par value (authorized – 450,000,000 shares; issued – 209,843,296 and 209,514,044 shares, respectively)</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1,394 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1,416 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36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4,081 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2,908 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36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(140)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(147)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36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Treasury stock, at cost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63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Total UGI Corporation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CCEE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5,531 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81622739"/>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16,723 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13,985 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rPr>
          <w:rFonts w:eastAsia="Times New Roman"/>
        </w:rPr>
      </w:pPr>
      <w:r>
        <w:rPr>
          <w:rFonts w:eastAsia="Times New Roman"/>
          <w:color w:val="000000"/>
          <w:sz w:val="18"/>
          <w:szCs w:val="18"/>
        </w:rPr>
        <w:t>See accompanying Notes to Consolidated Financial Statements.</w:t>
      </w:r>
    </w:p>
    <w:p w:rsidR="00000000" w:rsidRDefault="00DF5BC2">
      <w:pPr>
        <w:jc w:val="center"/>
        <w:divId w:val="638265545"/>
        <w:rPr>
          <w:rFonts w:eastAsia="Times New Roman"/>
        </w:rPr>
      </w:pPr>
      <w:r>
        <w:rPr>
          <w:rFonts w:eastAsia="Times New Roman"/>
          <w:color w:val="000000"/>
          <w:sz w:val="20"/>
          <w:szCs w:val="20"/>
        </w:rPr>
        <w:t>F-6</w:t>
      </w:r>
    </w:p>
    <w:p w:rsidR="00000000" w:rsidRDefault="00DF5BC2">
      <w:pPr>
        <w:rPr>
          <w:rFonts w:eastAsia="Times New Roman"/>
        </w:rPr>
      </w:pPr>
      <w:r>
        <w:rPr>
          <w:rFonts w:eastAsia="Times New Roman"/>
        </w:rPr>
        <w:pict>
          <v:rect id="_x0000_i1120" style="width:0;height:1.5pt" o:hralign="center" o:hrstd="t" o:hr="t" fillcolor="#a0a0a0" stroked="f"/>
        </w:pict>
      </w:r>
    </w:p>
    <w:p w:rsidR="00000000" w:rsidRDefault="00DF5BC2">
      <w:pPr>
        <w:divId w:val="740493255"/>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color w:val="000000"/>
          <w:sz w:val="20"/>
          <w:szCs w:val="20"/>
        </w:rPr>
        <w:t>UGI CORPORATION AND SUBSIDIARIES</w:t>
      </w:r>
    </w:p>
    <w:p w:rsidR="00000000" w:rsidRDefault="00DF5BC2">
      <w:pPr>
        <w:ind w:firstLine="45"/>
        <w:jc w:val="center"/>
        <w:rPr>
          <w:rFonts w:eastAsia="Times New Roman"/>
        </w:rPr>
      </w:pPr>
      <w:r>
        <w:rPr>
          <w:rFonts w:eastAsia="Times New Roman"/>
          <w:color w:val="000000"/>
          <w:sz w:val="20"/>
          <w:szCs w:val="20"/>
        </w:rPr>
        <w:t>CONSOLIDATED STATEMENTS OF INCOME</w:t>
      </w:r>
    </w:p>
    <w:p w:rsidR="00000000" w:rsidRDefault="00DF5BC2">
      <w:pPr>
        <w:jc w:val="center"/>
        <w:rPr>
          <w:rFonts w:eastAsia="Times New Roman"/>
        </w:rPr>
      </w:pPr>
      <w:r>
        <w:rPr>
          <w:rFonts w:eastAsia="Times New Roman"/>
          <w:color w:val="000000"/>
          <w:sz w:val="20"/>
          <w:szCs w:val="20"/>
        </w:rPr>
        <w:t>(Millions of dollars, except per share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4862"/>
        <w:gridCol w:w="38"/>
        <w:gridCol w:w="121"/>
        <w:gridCol w:w="916"/>
        <w:gridCol w:w="36"/>
        <w:gridCol w:w="36"/>
        <w:gridCol w:w="36"/>
        <w:gridCol w:w="36"/>
        <w:gridCol w:w="121"/>
        <w:gridCol w:w="875"/>
        <w:gridCol w:w="36"/>
        <w:gridCol w:w="36"/>
        <w:gridCol w:w="36"/>
        <w:gridCol w:w="36"/>
        <w:gridCol w:w="121"/>
        <w:gridCol w:w="876"/>
        <w:gridCol w:w="36"/>
      </w:tblGrid>
      <w:tr w:rsidR="00000000">
        <w:trPr>
          <w:jc w:val="center"/>
        </w:trPr>
        <w:tc>
          <w:tcPr>
            <w:tcW w:w="50" w:type="pct"/>
            <w:vAlign w:val="center"/>
            <w:hideMark/>
          </w:tcPr>
          <w:p w:rsidR="00000000" w:rsidRDefault="00DF5BC2">
            <w:pPr>
              <w:jc w:val="center"/>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Year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Costs and 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Cost of sales (excluding depreciation and amortization shown below)</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3,149 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4,323 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1,911 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1,963 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 on disposals of Conemaugh and HVAC</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operating income, net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 income from equity investees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 on extinguishments of debt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non-operating income (expense), net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income including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Deduct net income attributable to noncontrolling interests, principally in AmeriGas Partners prior to the AmeriGas Merger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income attributable to UGI Corporation</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Earnings per common share attributable to UGI Corporation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6.92 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Weighted-average common shares outstanding (thousands):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209,063 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208,928 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178,417 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212,126 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209,869 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181,111 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See accompanying Notes to Consolidated Financial Statements.</w:t>
      </w:r>
    </w:p>
    <w:p w:rsidR="00000000" w:rsidRDefault="00DF5BC2">
      <w:pPr>
        <w:jc w:val="both"/>
        <w:rPr>
          <w:rFonts w:eastAsia="Times New Roman"/>
        </w:rPr>
      </w:pPr>
    </w:p>
    <w:p w:rsidR="00000000" w:rsidRDefault="00DF5BC2">
      <w:pPr>
        <w:jc w:val="center"/>
        <w:divId w:val="393743979"/>
        <w:rPr>
          <w:rFonts w:eastAsia="Times New Roman"/>
        </w:rPr>
      </w:pPr>
      <w:r>
        <w:rPr>
          <w:rFonts w:eastAsia="Times New Roman"/>
          <w:color w:val="000000"/>
          <w:sz w:val="20"/>
          <w:szCs w:val="20"/>
        </w:rPr>
        <w:t>F-7</w:t>
      </w:r>
    </w:p>
    <w:p w:rsidR="00000000" w:rsidRDefault="00DF5BC2">
      <w:pPr>
        <w:rPr>
          <w:rFonts w:eastAsia="Times New Roman"/>
        </w:rPr>
      </w:pPr>
      <w:r>
        <w:rPr>
          <w:rFonts w:eastAsia="Times New Roman"/>
        </w:rPr>
        <w:pict>
          <v:rect id="_x0000_i1121" style="width:0;height:1.5pt" o:hralign="center" o:hrstd="t" o:hr="t" fillcolor="#a0a0a0" stroked="f"/>
        </w:pict>
      </w:r>
    </w:p>
    <w:p w:rsidR="00000000" w:rsidRDefault="00DF5BC2">
      <w:pPr>
        <w:divId w:val="1479302584"/>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color w:val="000000"/>
          <w:sz w:val="20"/>
          <w:szCs w:val="20"/>
        </w:rPr>
        <w:t>UGI CORPORATION AND SUBSIDIARIES</w:t>
      </w:r>
    </w:p>
    <w:p w:rsidR="00000000" w:rsidRDefault="00DF5BC2">
      <w:pPr>
        <w:ind w:firstLine="45"/>
        <w:jc w:val="center"/>
        <w:rPr>
          <w:rFonts w:eastAsia="Times New Roman"/>
        </w:rPr>
      </w:pPr>
      <w:r>
        <w:rPr>
          <w:rFonts w:eastAsia="Times New Roman"/>
          <w:color w:val="000000"/>
          <w:sz w:val="20"/>
          <w:szCs w:val="20"/>
        </w:rPr>
        <w:t>CONSOLIDATED STATEMENTS OF COMPREHENSIVE INCOME</w:t>
      </w:r>
    </w:p>
    <w:p w:rsidR="00000000" w:rsidRDefault="00DF5BC2">
      <w:pPr>
        <w:jc w:val="center"/>
        <w:rPr>
          <w:rFonts w:eastAsia="Times New Roman"/>
        </w:rPr>
      </w:pPr>
      <w:r>
        <w:rPr>
          <w:rFonts w:eastAsia="Times New Roman"/>
          <w:color w:val="000000"/>
          <w:sz w:val="20"/>
          <w:szCs w:val="20"/>
        </w:rPr>
        <w:t>(Millions of dollars)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63"/>
        <w:gridCol w:w="37"/>
        <w:gridCol w:w="120"/>
        <w:gridCol w:w="916"/>
        <w:gridCol w:w="36"/>
        <w:gridCol w:w="36"/>
        <w:gridCol w:w="36"/>
        <w:gridCol w:w="36"/>
        <w:gridCol w:w="120"/>
        <w:gridCol w:w="877"/>
        <w:gridCol w:w="36"/>
        <w:gridCol w:w="36"/>
        <w:gridCol w:w="36"/>
        <w:gridCol w:w="36"/>
        <w:gridCol w:w="120"/>
        <w:gridCol w:w="878"/>
        <w:gridCol w:w="36"/>
      </w:tblGrid>
      <w:tr w:rsidR="00000000">
        <w:trPr>
          <w:jc w:val="center"/>
        </w:trPr>
        <w:tc>
          <w:tcPr>
            <w:tcW w:w="50" w:type="pct"/>
            <w:vAlign w:val="center"/>
            <w:hideMark/>
          </w:tcPr>
          <w:p w:rsidR="00000000" w:rsidRDefault="00DF5BC2">
            <w:pPr>
              <w:jc w:val="center"/>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Year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income including noncontrolling interests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2005164521"/>
              <w:rPr>
                <w:rFonts w:eastAsia="Times New Roman"/>
              </w:rPr>
            </w:pPr>
            <w:r>
              <w:rPr>
                <w:rFonts w:eastAsia="Times New Roman"/>
                <w:color w:val="000000"/>
                <w:sz w:val="20"/>
                <w:szCs w:val="20"/>
              </w:rPr>
              <w:t>Net gains (losses) on derivative instruments (net of tax of $(1), $15, and $3</w:t>
            </w:r>
            <w:r>
              <w:rPr>
                <w:rFonts w:eastAsia="Times New Roman"/>
                <w:color w:val="000000"/>
                <w:sz w:val="20"/>
                <w:szCs w:val="20"/>
              </w:rPr>
              <w:t>, respectively)</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138567081"/>
              <w:rPr>
                <w:rFonts w:eastAsia="Times New Roman"/>
              </w:rPr>
            </w:pPr>
            <w:r>
              <w:rPr>
                <w:rFonts w:eastAsia="Times New Roman"/>
                <w:color w:val="000000"/>
                <w:sz w:val="20"/>
                <w:szCs w:val="20"/>
              </w:rPr>
              <w:t>Reclassifications of net losses on derivative instruments (net of tax of $(7), $(4), and $(2), respectively)</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260114926"/>
              <w:rPr>
                <w:rFonts w:eastAsia="Times New Roman"/>
              </w:rPr>
            </w:pPr>
            <w:r>
              <w:rPr>
                <w:rFonts w:eastAsia="Times New Roman"/>
                <w:color w:val="000000"/>
                <w:sz w:val="20"/>
                <w:szCs w:val="20"/>
              </w:rPr>
              <w:t>Foreign currency translation adjustments (net of tax of $(4), $12, and $(13), respectively)</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(losses) gains on long-term intra-company transactions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2012029044"/>
              <w:rPr>
                <w:rFonts w:eastAsia="Times New Roman"/>
              </w:rPr>
            </w:pPr>
            <w:r>
              <w:rPr>
                <w:rFonts w:eastAsia="Times New Roman"/>
                <w:color w:val="000000"/>
                <w:sz w:val="20"/>
                <w:szCs w:val="20"/>
              </w:rPr>
              <w:t>Benefit plans, principally actuarial gains (losses) (net of tax of $(3), $1, and $5, respectively)</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58693468"/>
              <w:rPr>
                <w:rFonts w:eastAsia="Times New Roman"/>
              </w:rPr>
            </w:pPr>
            <w:r>
              <w:rPr>
                <w:rFonts w:eastAsia="Times New Roman"/>
                <w:color w:val="000000"/>
                <w:sz w:val="20"/>
                <w:szCs w:val="20"/>
              </w:rPr>
              <w:t>Reclassifications of benefit plans actuarial losses and net prior service benefit (net of tax of $(1), $(1), and $(1), respectively)</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Comp</w:t>
            </w:r>
            <w:r>
              <w:rPr>
                <w:rFonts w:eastAsia="Times New Roman"/>
                <w:color w:val="000000"/>
                <w:sz w:val="20"/>
                <w:szCs w:val="20"/>
              </w:rPr>
              <w:t>rehensive income including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Deduct comprehensive income attributable to noncontrolling interests, principally in AmeriGas Partners prior to the AmeriGas Merger</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Comprehensive income attributable to UGI Corporation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See accompanying Notes to Consolidated Financial Statements.</w:t>
      </w:r>
    </w:p>
    <w:p w:rsidR="00000000" w:rsidRDefault="00DF5BC2">
      <w:pPr>
        <w:jc w:val="both"/>
        <w:rPr>
          <w:rFonts w:eastAsia="Times New Roman"/>
        </w:rPr>
      </w:pPr>
    </w:p>
    <w:p w:rsidR="00000000" w:rsidRDefault="00DF5BC2">
      <w:pPr>
        <w:jc w:val="center"/>
        <w:divId w:val="826046146"/>
        <w:rPr>
          <w:rFonts w:eastAsia="Times New Roman"/>
        </w:rPr>
      </w:pPr>
      <w:r>
        <w:rPr>
          <w:rFonts w:eastAsia="Times New Roman"/>
          <w:color w:val="000000"/>
          <w:sz w:val="20"/>
          <w:szCs w:val="20"/>
        </w:rPr>
        <w:t>F-8</w:t>
      </w:r>
    </w:p>
    <w:p w:rsidR="00000000" w:rsidRDefault="00DF5BC2">
      <w:pPr>
        <w:rPr>
          <w:rFonts w:eastAsia="Times New Roman"/>
        </w:rPr>
      </w:pPr>
      <w:r>
        <w:rPr>
          <w:rFonts w:eastAsia="Times New Roman"/>
        </w:rPr>
        <w:pict>
          <v:rect id="_x0000_i1122" style="width:0;height:1.5pt" o:hralign="center" o:hrstd="t" o:hr="t" fillcolor="#a0a0a0" stroked="f"/>
        </w:pict>
      </w:r>
    </w:p>
    <w:p w:rsidR="00000000" w:rsidRDefault="00DF5BC2">
      <w:pPr>
        <w:divId w:val="323971222"/>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color w:val="000000"/>
          <w:sz w:val="20"/>
          <w:szCs w:val="20"/>
        </w:rPr>
        <w:t>UGI CORPORATION AND SUBSIDIARIES</w:t>
      </w:r>
    </w:p>
    <w:p w:rsidR="00000000" w:rsidRDefault="00DF5BC2">
      <w:pPr>
        <w:ind w:firstLine="45"/>
        <w:jc w:val="center"/>
        <w:rPr>
          <w:rFonts w:eastAsia="Times New Roman"/>
        </w:rPr>
      </w:pPr>
      <w:r>
        <w:rPr>
          <w:rFonts w:eastAsia="Times New Roman"/>
          <w:color w:val="000000"/>
          <w:sz w:val="20"/>
          <w:szCs w:val="20"/>
        </w:rPr>
        <w:t>CONSOLIDATED STATEMENTS OF CASH FLOWS</w:t>
      </w:r>
    </w:p>
    <w:p w:rsidR="00000000" w:rsidRDefault="00DF5BC2">
      <w:pPr>
        <w:jc w:val="center"/>
        <w:rPr>
          <w:rFonts w:eastAsia="Times New Roman"/>
        </w:rPr>
      </w:pPr>
      <w:r>
        <w:rPr>
          <w:rFonts w:eastAsia="Times New Roman"/>
          <w:color w:val="000000"/>
          <w:sz w:val="20"/>
          <w:szCs w:val="20"/>
        </w:rPr>
        <w:t>(Millions of dollars)</w:t>
      </w:r>
    </w:p>
    <w:tbl>
      <w:tblPr>
        <w:tblW w:w="4985" w:type="pct"/>
        <w:tblCellMar>
          <w:top w:w="15" w:type="dxa"/>
          <w:left w:w="15" w:type="dxa"/>
          <w:bottom w:w="15" w:type="dxa"/>
          <w:right w:w="15" w:type="dxa"/>
        </w:tblCellMar>
        <w:tblLook w:val="04A0" w:firstRow="1" w:lastRow="0" w:firstColumn="1" w:lastColumn="0" w:noHBand="0" w:noVBand="1"/>
      </w:tblPr>
      <w:tblGrid>
        <w:gridCol w:w="41"/>
        <w:gridCol w:w="5103"/>
        <w:gridCol w:w="40"/>
        <w:gridCol w:w="120"/>
        <w:gridCol w:w="831"/>
        <w:gridCol w:w="36"/>
        <w:gridCol w:w="36"/>
        <w:gridCol w:w="36"/>
        <w:gridCol w:w="36"/>
        <w:gridCol w:w="120"/>
        <w:gridCol w:w="790"/>
        <w:gridCol w:w="36"/>
        <w:gridCol w:w="36"/>
        <w:gridCol w:w="36"/>
        <w:gridCol w:w="36"/>
        <w:gridCol w:w="122"/>
        <w:gridCol w:w="790"/>
        <w:gridCol w:w="36"/>
      </w:tblGrid>
      <w:tr w:rsidR="00000000">
        <w:trPr>
          <w:divId w:val="25259162"/>
        </w:trPr>
        <w:tc>
          <w:tcPr>
            <w:tcW w:w="50" w:type="pct"/>
            <w:vAlign w:val="center"/>
            <w:hideMark/>
          </w:tcPr>
          <w:p w:rsidR="00000000" w:rsidRDefault="00DF5BC2">
            <w:pPr>
              <w:jc w:val="center"/>
              <w:rPr>
                <w:rFonts w:eastAsia="Times New Roman"/>
              </w:rPr>
            </w:pPr>
          </w:p>
        </w:tc>
        <w:tc>
          <w:tcPr>
            <w:tcW w:w="311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25259162"/>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Year Ended September 30,</w:t>
            </w:r>
          </w:p>
        </w:tc>
      </w:tr>
      <w:tr w:rsidR="00000000">
        <w:trPr>
          <w:divId w:val="25259162"/>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2525916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income including noncontrolling interests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1,467 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Adjustments to reconcile net income including noncontrolling interests to net cash provided by operating activities: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5259162"/>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Deferred income tax expense (benefit), net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478 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Provision for uncollectible accounts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Changes in unrealized gains and losses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(1,398)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 on disposals of Conemaugh and HVAC</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Equity-based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5259162"/>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 (income) from equity investees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change in:</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5259162"/>
        </w:trPr>
        <w:tc>
          <w:tcPr>
            <w:tcW w:w="0" w:type="auto"/>
            <w:gridSpan w:val="3"/>
            <w:shd w:val="clear" w:color="auto" w:fill="CCEEFF"/>
            <w:tcMar>
              <w:top w:w="30" w:type="dxa"/>
              <w:left w:w="87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Accounts receivable and accrued utility revenues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87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87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87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Utility deferred fuel costs, net of changes in unsettled derivatives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87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87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Derivative instruments collateral received (paid)</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472 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87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87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Expenditures for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(690)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Acquisitions of businesses and assets, net of cash and restricted cash acquired</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(1,362)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Investments in equity method investees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cash used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Dividends on UGI Common Stock</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Distributions on AmeriGas Partners publicly held Common Units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Issuances of debt,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2,412 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Repayments of debt and finance leases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(738)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Receivables Facility net (repayments) borrowings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(Decrease) increase in short-term borrowings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Issuances of preferred stock,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Issuances of UGI Common Stock</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Repurchases of UGI Common Stock</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paid for AmeriGas Merger</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cash provided (used)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cash equivalents and restricted cash increase (decrease)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CASH, CASH EQUIVALENTS AND RESTRICTED CASH</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cash equivalents and restricted cash at end of year</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cash equivalents and restricted cash at beginning of year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462 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cash equivalents and restricted cash increase (decrease)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SUPPLEMENTAL CASH FLOW INFORMATION</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5259162"/>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paid for:</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5259162"/>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259162"/>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Income taxes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rPr>
          <w:rFonts w:eastAsia="Times New Roman"/>
        </w:rPr>
      </w:pPr>
      <w:r>
        <w:rPr>
          <w:rFonts w:eastAsia="Times New Roman"/>
          <w:color w:val="000000"/>
          <w:sz w:val="20"/>
          <w:szCs w:val="20"/>
        </w:rPr>
        <w:t>See accompanying Notes to Consolidated Financial Statements.</w:t>
      </w:r>
    </w:p>
    <w:p w:rsidR="00000000" w:rsidRDefault="00DF5BC2">
      <w:pPr>
        <w:jc w:val="center"/>
        <w:divId w:val="139739305"/>
        <w:rPr>
          <w:rFonts w:eastAsia="Times New Roman"/>
        </w:rPr>
      </w:pPr>
      <w:r>
        <w:rPr>
          <w:rFonts w:eastAsia="Times New Roman"/>
          <w:color w:val="000000"/>
          <w:sz w:val="20"/>
          <w:szCs w:val="20"/>
        </w:rPr>
        <w:t>F-9</w:t>
      </w:r>
    </w:p>
    <w:p w:rsidR="00000000" w:rsidRDefault="00DF5BC2">
      <w:pPr>
        <w:rPr>
          <w:rFonts w:eastAsia="Times New Roman"/>
        </w:rPr>
      </w:pPr>
      <w:r>
        <w:rPr>
          <w:rFonts w:eastAsia="Times New Roman"/>
        </w:rPr>
        <w:pict>
          <v:rect id="_x0000_i1123" style="width:0;height:1.5pt" o:hralign="center" o:hrstd="t" o:hr="t" fillcolor="#a0a0a0" stroked="f"/>
        </w:pict>
      </w:r>
    </w:p>
    <w:p w:rsidR="00000000" w:rsidRDefault="00DF5BC2">
      <w:pPr>
        <w:divId w:val="1449465755"/>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color w:val="000000"/>
          <w:sz w:val="20"/>
          <w:szCs w:val="20"/>
        </w:rPr>
        <w:t>UGI CORPORATION AND SUBSIDIARIES</w:t>
      </w:r>
    </w:p>
    <w:p w:rsidR="00000000" w:rsidRDefault="00DF5BC2">
      <w:pPr>
        <w:jc w:val="center"/>
        <w:rPr>
          <w:rFonts w:eastAsia="Times New Roman"/>
        </w:rPr>
      </w:pPr>
      <w:r>
        <w:rPr>
          <w:rFonts w:eastAsia="Times New Roman"/>
          <w:color w:val="000000"/>
          <w:sz w:val="20"/>
          <w:szCs w:val="20"/>
        </w:rPr>
        <w:t>CONSOLIDATED STATEMENTS OF CHANGES IN EQUITY</w:t>
      </w:r>
    </w:p>
    <w:p w:rsidR="00000000" w:rsidRDefault="00DF5BC2">
      <w:pPr>
        <w:jc w:val="center"/>
        <w:rPr>
          <w:rFonts w:eastAsia="Times New Roman"/>
        </w:rPr>
      </w:pPr>
      <w:r>
        <w:rPr>
          <w:rFonts w:eastAsia="Times New Roman"/>
          <w:color w:val="000000"/>
          <w:sz w:val="20"/>
          <w:szCs w:val="20"/>
        </w:rPr>
        <w:t>(Millions of dollars, except per share amounts)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5187"/>
        <w:gridCol w:w="40"/>
        <w:gridCol w:w="120"/>
        <w:gridCol w:w="820"/>
        <w:gridCol w:w="36"/>
        <w:gridCol w:w="36"/>
        <w:gridCol w:w="36"/>
        <w:gridCol w:w="36"/>
        <w:gridCol w:w="120"/>
        <w:gridCol w:w="754"/>
        <w:gridCol w:w="36"/>
        <w:gridCol w:w="36"/>
        <w:gridCol w:w="36"/>
        <w:gridCol w:w="36"/>
        <w:gridCol w:w="120"/>
        <w:gridCol w:w="754"/>
        <w:gridCol w:w="36"/>
      </w:tblGrid>
      <w:tr w:rsidR="00000000">
        <w:trPr>
          <w:divId w:val="1100837655"/>
          <w:jc w:val="center"/>
        </w:trPr>
        <w:tc>
          <w:tcPr>
            <w:tcW w:w="50" w:type="pct"/>
            <w:vAlign w:val="center"/>
            <w:hideMark/>
          </w:tcPr>
          <w:p w:rsidR="00000000" w:rsidRDefault="00DF5BC2">
            <w:pPr>
              <w:jc w:val="center"/>
              <w:rPr>
                <w:rFonts w:eastAsia="Times New Roman"/>
              </w:rPr>
            </w:pPr>
          </w:p>
        </w:tc>
        <w:tc>
          <w:tcPr>
            <w:tcW w:w="316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Year Ended September 30,</w:t>
            </w:r>
          </w:p>
        </w:tc>
      </w:tr>
      <w:tr w:rsidR="00000000">
        <w:trPr>
          <w:divId w:val="1100837655"/>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1100837655"/>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Preferred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Balance, beginning of year </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Balance, end of year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Common stock, without par value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1,416 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1,201 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Equity-based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Merger-related adjustments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Issuance of Equity Units - 2024 Purchase Contracts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Retained earnings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2,653 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2,611 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income attributable to UGI Corporation</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1,467 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1396782555"/>
              <w:rPr>
                <w:rFonts w:eastAsia="Times New Roman"/>
              </w:rPr>
            </w:pPr>
            <w:r>
              <w:rPr>
                <w:rFonts w:eastAsia="Times New Roman"/>
                <w:color w:val="000000"/>
                <w:sz w:val="20"/>
                <w:szCs w:val="20"/>
              </w:rPr>
              <w:t xml:space="preserve">Cash dividends on common stock ($1.35, $1.31, and $1.145 </w:t>
            </w:r>
            <w:r>
              <w:rPr>
                <w:rFonts w:eastAsia="Times New Roman"/>
                <w:color w:val="000000"/>
                <w:sz w:val="20"/>
                <w:szCs w:val="20"/>
              </w:rPr>
              <w:t>per share, respectively)</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Cumulative effect of change in accounting principle - ASC 60</w:t>
            </w:r>
            <w:r>
              <w:rPr>
                <w:rFonts w:eastAsia="Times New Roman"/>
                <w:color w:val="000000"/>
                <w:sz w:val="20"/>
                <w:szCs w:val="20"/>
              </w:rPr>
              <w:t>6</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Reclassification of stranded income tax effects related to TCJA</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Losses on treasury stock transactions in connection with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Accumulated other comprehensive income (loss)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Reclassification of stranded income tax effects related to TCJA</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gains (losses) on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Reclassification of net losses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Benefit plans, principally actuarial gains (losses)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Reclassification of benefit plans actuarial losses and net prior service benefits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(losses) gains on long-term intra-company transactions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Treasury stock</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Reacquired common stock – </w:t>
            </w: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Total UGI Corporation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Noncontrolling interests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income attributable to noncontrolling interests, principally in AmeriGas Partners prior to the AmeriGas Merger</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Dividends and distributions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Merger-related adjustments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00837655"/>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Total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1962027084"/>
        <w:rPr>
          <w:rFonts w:eastAsia="Times New Roman"/>
        </w:rPr>
      </w:pPr>
      <w:r>
        <w:rPr>
          <w:rFonts w:eastAsia="Times New Roman"/>
          <w:color w:val="000000"/>
          <w:sz w:val="20"/>
          <w:szCs w:val="20"/>
        </w:rPr>
        <w:t>See accompanying Notes to Consolidated Financial Statements.</w:t>
      </w:r>
    </w:p>
    <w:p w:rsidR="00000000" w:rsidRDefault="00DF5BC2">
      <w:pPr>
        <w:jc w:val="center"/>
        <w:divId w:val="123237018"/>
        <w:rPr>
          <w:rFonts w:eastAsia="Times New Roman"/>
        </w:rPr>
      </w:pPr>
      <w:r>
        <w:rPr>
          <w:rFonts w:eastAsia="Times New Roman"/>
          <w:color w:val="000000"/>
          <w:sz w:val="20"/>
          <w:szCs w:val="20"/>
        </w:rPr>
        <w:t>F-10</w:t>
      </w:r>
    </w:p>
    <w:p w:rsidR="00000000" w:rsidRDefault="00DF5BC2">
      <w:pPr>
        <w:rPr>
          <w:rFonts w:eastAsia="Times New Roman"/>
        </w:rPr>
      </w:pPr>
      <w:r>
        <w:rPr>
          <w:rFonts w:eastAsia="Times New Roman"/>
        </w:rPr>
        <w:pict>
          <v:rect id="_x0000_i1124" style="width:0;height:1.5pt" o:hralign="center" o:hrstd="t" o:hr="t" fillcolor="#a0a0a0" stroked="f"/>
        </w:pict>
      </w:r>
    </w:p>
    <w:p w:rsidR="00000000" w:rsidRDefault="00DF5BC2">
      <w:pPr>
        <w:divId w:val="891312023"/>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both"/>
        <w:rPr>
          <w:rFonts w:eastAsia="Times New Roman"/>
        </w:rPr>
      </w:pPr>
      <w:r>
        <w:rPr>
          <w:rFonts w:eastAsia="Times New Roman"/>
          <w:b/>
          <w:bCs/>
          <w:color w:val="000000"/>
          <w:sz w:val="20"/>
          <w:szCs w:val="20"/>
        </w:rPr>
        <w:t>UGI Corporation and Subsidiaries</w:t>
      </w:r>
    </w:p>
    <w:p w:rsidR="00000000" w:rsidRDefault="00DF5BC2">
      <w:pPr>
        <w:jc w:val="both"/>
        <w:rPr>
          <w:rFonts w:eastAsia="Times New Roman"/>
        </w:rPr>
      </w:pPr>
      <w:r>
        <w:rPr>
          <w:rFonts w:eastAsia="Times New Roman"/>
          <w:b/>
          <w:bCs/>
          <w:color w:val="000000"/>
          <w:sz w:val="20"/>
          <w:szCs w:val="20"/>
        </w:rPr>
        <w:t>Notes to Consolidated Financial Statements</w:t>
      </w:r>
    </w:p>
    <w:p w:rsidR="00000000" w:rsidRDefault="00DF5BC2">
      <w:pPr>
        <w:jc w:val="both"/>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Index to Notes</w:t>
      </w:r>
    </w:p>
    <w:p w:rsidR="00000000" w:rsidRDefault="00DF5BC2">
      <w:pPr>
        <w:jc w:val="both"/>
        <w:divId w:val="6836480"/>
        <w:rPr>
          <w:rFonts w:eastAsia="Times New Roman"/>
        </w:rPr>
      </w:pPr>
      <w:r>
        <w:rPr>
          <w:rFonts w:eastAsia="Times New Roman"/>
          <w:b/>
          <w:bCs/>
          <w:color w:val="000000"/>
          <w:sz w:val="20"/>
          <w:szCs w:val="20"/>
        </w:rPr>
        <w:t xml:space="preserve">Note 1 — Nature of Operations </w:t>
      </w:r>
    </w:p>
    <w:p w:rsidR="00000000" w:rsidRDefault="00DF5BC2">
      <w:pPr>
        <w:jc w:val="both"/>
        <w:rPr>
          <w:rFonts w:eastAsia="Times New Roman"/>
        </w:rPr>
      </w:pPr>
      <w:r>
        <w:rPr>
          <w:rFonts w:eastAsia="Times New Roman"/>
          <w:b/>
          <w:bCs/>
          <w:color w:val="000000"/>
          <w:sz w:val="20"/>
          <w:szCs w:val="20"/>
        </w:rPr>
        <w:t xml:space="preserve">Note 2 — Summary of Significant Accounting Policies </w:t>
      </w:r>
    </w:p>
    <w:p w:rsidR="00000000" w:rsidRDefault="00DF5BC2">
      <w:pPr>
        <w:jc w:val="both"/>
        <w:rPr>
          <w:rFonts w:eastAsia="Times New Roman"/>
        </w:rPr>
      </w:pPr>
      <w:r>
        <w:rPr>
          <w:rFonts w:eastAsia="Times New Roman"/>
          <w:b/>
          <w:bCs/>
          <w:color w:val="000000"/>
          <w:sz w:val="20"/>
          <w:szCs w:val="20"/>
        </w:rPr>
        <w:t xml:space="preserve">Note 3 — Accounting Changes </w:t>
      </w:r>
    </w:p>
    <w:p w:rsidR="00000000" w:rsidRDefault="00DF5BC2">
      <w:pPr>
        <w:jc w:val="both"/>
        <w:rPr>
          <w:rFonts w:eastAsia="Times New Roman"/>
        </w:rPr>
      </w:pPr>
      <w:r>
        <w:rPr>
          <w:rFonts w:eastAsia="Times New Roman"/>
          <w:b/>
          <w:bCs/>
          <w:color w:val="000000"/>
          <w:sz w:val="20"/>
          <w:szCs w:val="20"/>
        </w:rPr>
        <w:t xml:space="preserve">Note 4 — Revenue from Contracts with Customers </w:t>
      </w:r>
    </w:p>
    <w:p w:rsidR="00000000" w:rsidRDefault="00DF5BC2">
      <w:pPr>
        <w:jc w:val="both"/>
        <w:rPr>
          <w:rFonts w:eastAsia="Times New Roman"/>
        </w:rPr>
      </w:pPr>
      <w:r>
        <w:rPr>
          <w:rFonts w:eastAsia="Times New Roman"/>
          <w:b/>
          <w:bCs/>
          <w:color w:val="000000"/>
          <w:sz w:val="20"/>
          <w:szCs w:val="20"/>
        </w:rPr>
        <w:t xml:space="preserve">Note 5 — AmeriGas Merger, Acquisitions and Dispositions </w:t>
      </w:r>
    </w:p>
    <w:p w:rsidR="00000000" w:rsidRDefault="00DF5BC2">
      <w:pPr>
        <w:jc w:val="both"/>
        <w:rPr>
          <w:rFonts w:eastAsia="Times New Roman"/>
        </w:rPr>
      </w:pPr>
      <w:r>
        <w:rPr>
          <w:rFonts w:eastAsia="Times New Roman"/>
          <w:b/>
          <w:bCs/>
          <w:color w:val="000000"/>
          <w:sz w:val="20"/>
          <w:szCs w:val="20"/>
        </w:rPr>
        <w:t xml:space="preserve">Note 6 — Debt </w:t>
      </w:r>
    </w:p>
    <w:p w:rsidR="00000000" w:rsidRDefault="00DF5BC2">
      <w:pPr>
        <w:jc w:val="both"/>
        <w:rPr>
          <w:rFonts w:eastAsia="Times New Roman"/>
        </w:rPr>
      </w:pPr>
      <w:r>
        <w:rPr>
          <w:rFonts w:eastAsia="Times New Roman"/>
          <w:b/>
          <w:bCs/>
          <w:color w:val="000000"/>
          <w:sz w:val="20"/>
          <w:szCs w:val="20"/>
        </w:rPr>
        <w:t>Note 7 — Income Taxes</w:t>
      </w:r>
    </w:p>
    <w:p w:rsidR="00000000" w:rsidRDefault="00DF5BC2">
      <w:pPr>
        <w:jc w:val="both"/>
        <w:rPr>
          <w:rFonts w:eastAsia="Times New Roman"/>
        </w:rPr>
      </w:pPr>
      <w:r>
        <w:rPr>
          <w:rFonts w:eastAsia="Times New Roman"/>
          <w:b/>
          <w:bCs/>
          <w:color w:val="000000"/>
          <w:sz w:val="20"/>
          <w:szCs w:val="20"/>
        </w:rPr>
        <w:t xml:space="preserve">Note 8 — Employee Retirement Plans </w:t>
      </w:r>
    </w:p>
    <w:p w:rsidR="00000000" w:rsidRDefault="00DF5BC2">
      <w:pPr>
        <w:jc w:val="both"/>
        <w:rPr>
          <w:rFonts w:eastAsia="Times New Roman"/>
        </w:rPr>
      </w:pPr>
      <w:r>
        <w:rPr>
          <w:rFonts w:eastAsia="Times New Roman"/>
          <w:b/>
          <w:bCs/>
          <w:color w:val="000000"/>
          <w:sz w:val="20"/>
          <w:szCs w:val="20"/>
        </w:rPr>
        <w:t>Note 9 — Utility Regulatory Assets and Liabilitie</w:t>
      </w:r>
      <w:r>
        <w:rPr>
          <w:rFonts w:eastAsia="Times New Roman"/>
          <w:b/>
          <w:bCs/>
          <w:color w:val="000000"/>
          <w:sz w:val="20"/>
          <w:szCs w:val="20"/>
        </w:rPr>
        <w:t xml:space="preserve">s and Regulatory Matters </w:t>
      </w:r>
    </w:p>
    <w:p w:rsidR="00000000" w:rsidRDefault="00DF5BC2">
      <w:pPr>
        <w:jc w:val="both"/>
        <w:rPr>
          <w:rFonts w:eastAsia="Times New Roman"/>
        </w:rPr>
      </w:pPr>
      <w:r>
        <w:rPr>
          <w:rFonts w:eastAsia="Times New Roman"/>
          <w:b/>
          <w:bCs/>
          <w:color w:val="000000"/>
          <w:sz w:val="20"/>
          <w:szCs w:val="20"/>
        </w:rPr>
        <w:t xml:space="preserve">Note 10 — Inventories </w:t>
      </w:r>
    </w:p>
    <w:p w:rsidR="00000000" w:rsidRDefault="00DF5BC2">
      <w:pPr>
        <w:jc w:val="both"/>
        <w:rPr>
          <w:rFonts w:eastAsia="Times New Roman"/>
        </w:rPr>
      </w:pPr>
      <w:r>
        <w:rPr>
          <w:rFonts w:eastAsia="Times New Roman"/>
          <w:b/>
          <w:bCs/>
          <w:color w:val="000000"/>
          <w:sz w:val="20"/>
          <w:szCs w:val="20"/>
        </w:rPr>
        <w:t xml:space="preserve">Note 11 — Property, Plant and Equipment </w:t>
      </w:r>
    </w:p>
    <w:p w:rsidR="00000000" w:rsidRDefault="00DF5BC2">
      <w:pPr>
        <w:jc w:val="both"/>
        <w:rPr>
          <w:rFonts w:eastAsia="Times New Roman"/>
        </w:rPr>
      </w:pPr>
      <w:r>
        <w:rPr>
          <w:rFonts w:eastAsia="Times New Roman"/>
          <w:b/>
          <w:bCs/>
          <w:color w:val="000000"/>
          <w:sz w:val="20"/>
          <w:szCs w:val="20"/>
        </w:rPr>
        <w:t xml:space="preserve">Note 12 — Goodwill and Intangible Assets </w:t>
      </w:r>
    </w:p>
    <w:p w:rsidR="00000000" w:rsidRDefault="00DF5BC2">
      <w:pPr>
        <w:jc w:val="both"/>
        <w:rPr>
          <w:rFonts w:eastAsia="Times New Roman"/>
        </w:rPr>
      </w:pPr>
      <w:r>
        <w:rPr>
          <w:rFonts w:eastAsia="Times New Roman"/>
          <w:b/>
          <w:bCs/>
          <w:color w:val="000000"/>
          <w:sz w:val="20"/>
          <w:szCs w:val="20"/>
        </w:rPr>
        <w:t xml:space="preserve">Note 13 — Equity </w:t>
      </w:r>
    </w:p>
    <w:p w:rsidR="00000000" w:rsidRDefault="00DF5BC2">
      <w:pPr>
        <w:jc w:val="both"/>
        <w:rPr>
          <w:rFonts w:eastAsia="Times New Roman"/>
        </w:rPr>
      </w:pPr>
      <w:r>
        <w:rPr>
          <w:rFonts w:eastAsia="Times New Roman"/>
          <w:b/>
          <w:bCs/>
          <w:color w:val="000000"/>
          <w:sz w:val="20"/>
          <w:szCs w:val="20"/>
        </w:rPr>
        <w:t xml:space="preserve">Note 14 — Equity-Based Compensation </w:t>
      </w:r>
    </w:p>
    <w:p w:rsidR="00000000" w:rsidRDefault="00DF5BC2">
      <w:pPr>
        <w:jc w:val="both"/>
        <w:rPr>
          <w:rFonts w:eastAsia="Times New Roman"/>
        </w:rPr>
      </w:pPr>
      <w:r>
        <w:rPr>
          <w:rFonts w:eastAsia="Times New Roman"/>
          <w:b/>
          <w:bCs/>
          <w:color w:val="000000"/>
          <w:sz w:val="20"/>
          <w:szCs w:val="20"/>
        </w:rPr>
        <w:t xml:space="preserve">Note 15 — Partnership Distributions </w:t>
      </w:r>
    </w:p>
    <w:p w:rsidR="00000000" w:rsidRDefault="00DF5BC2">
      <w:pPr>
        <w:jc w:val="both"/>
        <w:rPr>
          <w:rFonts w:eastAsia="Times New Roman"/>
        </w:rPr>
      </w:pPr>
      <w:r>
        <w:rPr>
          <w:rFonts w:eastAsia="Times New Roman"/>
          <w:b/>
          <w:bCs/>
          <w:color w:val="000000"/>
          <w:sz w:val="20"/>
          <w:szCs w:val="20"/>
        </w:rPr>
        <w:t>Note 16 — Leases</w:t>
      </w:r>
    </w:p>
    <w:p w:rsidR="00000000" w:rsidRDefault="00DF5BC2">
      <w:pPr>
        <w:jc w:val="both"/>
        <w:rPr>
          <w:rFonts w:eastAsia="Times New Roman"/>
        </w:rPr>
      </w:pPr>
      <w:r>
        <w:rPr>
          <w:rFonts w:eastAsia="Times New Roman"/>
          <w:b/>
          <w:bCs/>
          <w:color w:val="000000"/>
          <w:sz w:val="20"/>
          <w:szCs w:val="20"/>
        </w:rPr>
        <w:t>Note 17 — Commi</w:t>
      </w:r>
      <w:r>
        <w:rPr>
          <w:rFonts w:eastAsia="Times New Roman"/>
          <w:b/>
          <w:bCs/>
          <w:color w:val="000000"/>
          <w:sz w:val="20"/>
          <w:szCs w:val="20"/>
        </w:rPr>
        <w:t xml:space="preserve">tments and Contingencies </w:t>
      </w:r>
    </w:p>
    <w:p w:rsidR="00000000" w:rsidRDefault="00DF5BC2">
      <w:pPr>
        <w:jc w:val="both"/>
        <w:rPr>
          <w:rFonts w:eastAsia="Times New Roman"/>
        </w:rPr>
      </w:pPr>
      <w:r>
        <w:rPr>
          <w:rFonts w:eastAsia="Times New Roman"/>
          <w:b/>
          <w:bCs/>
          <w:color w:val="000000"/>
          <w:sz w:val="20"/>
          <w:szCs w:val="20"/>
        </w:rPr>
        <w:t xml:space="preserve">Note 18 — Fair Value Measurements </w:t>
      </w:r>
    </w:p>
    <w:p w:rsidR="00000000" w:rsidRDefault="00DF5BC2">
      <w:pPr>
        <w:jc w:val="both"/>
        <w:rPr>
          <w:rFonts w:eastAsia="Times New Roman"/>
        </w:rPr>
      </w:pPr>
      <w:r>
        <w:rPr>
          <w:rFonts w:eastAsia="Times New Roman"/>
          <w:b/>
          <w:bCs/>
          <w:color w:val="000000"/>
          <w:sz w:val="20"/>
          <w:szCs w:val="20"/>
        </w:rPr>
        <w:t>Note 19 — Derivative Instruments and Hedging Activities</w:t>
      </w:r>
    </w:p>
    <w:p w:rsidR="00000000" w:rsidRDefault="00DF5BC2">
      <w:pPr>
        <w:divId w:val="219245655"/>
        <w:rPr>
          <w:rFonts w:eastAsia="Times New Roman"/>
        </w:rPr>
      </w:pPr>
      <w:r>
        <w:rPr>
          <w:rFonts w:eastAsia="Times New Roman"/>
          <w:b/>
          <w:bCs/>
          <w:color w:val="000000"/>
          <w:sz w:val="20"/>
          <w:szCs w:val="20"/>
        </w:rPr>
        <w:t xml:space="preserve">Note 20 — Accumulated Other Comprehensive Income (Loss) </w:t>
      </w:r>
    </w:p>
    <w:p w:rsidR="00000000" w:rsidRDefault="00DF5BC2">
      <w:pPr>
        <w:jc w:val="both"/>
        <w:rPr>
          <w:rFonts w:eastAsia="Times New Roman"/>
        </w:rPr>
      </w:pPr>
      <w:r>
        <w:rPr>
          <w:rFonts w:eastAsia="Times New Roman"/>
          <w:b/>
          <w:bCs/>
          <w:color w:val="000000"/>
          <w:sz w:val="20"/>
          <w:szCs w:val="20"/>
        </w:rPr>
        <w:t xml:space="preserve">Note 21 — </w:t>
      </w:r>
      <w:r>
        <w:rPr>
          <w:rFonts w:eastAsia="Times New Roman"/>
          <w:b/>
          <w:bCs/>
          <w:color w:val="000000"/>
          <w:sz w:val="20"/>
          <w:szCs w:val="20"/>
        </w:rPr>
        <w:t xml:space="preserve">Other Operating Income, Net and Other Non-Operating Income (Expense), Net </w:t>
      </w:r>
    </w:p>
    <w:p w:rsidR="00000000" w:rsidRDefault="00DF5BC2">
      <w:pPr>
        <w:jc w:val="both"/>
        <w:rPr>
          <w:rFonts w:eastAsia="Times New Roman"/>
        </w:rPr>
      </w:pPr>
      <w:r>
        <w:rPr>
          <w:rFonts w:eastAsia="Times New Roman"/>
          <w:b/>
          <w:bCs/>
          <w:color w:val="000000"/>
          <w:sz w:val="20"/>
          <w:szCs w:val="20"/>
        </w:rPr>
        <w:t xml:space="preserve">Note 22 — Equity Method Investments </w:t>
      </w:r>
    </w:p>
    <w:p w:rsidR="00000000" w:rsidRDefault="00DF5BC2">
      <w:pPr>
        <w:jc w:val="both"/>
        <w:rPr>
          <w:rFonts w:eastAsia="Times New Roman"/>
        </w:rPr>
      </w:pPr>
      <w:r>
        <w:rPr>
          <w:rFonts w:eastAsia="Times New Roman"/>
          <w:b/>
          <w:bCs/>
          <w:color w:val="000000"/>
          <w:sz w:val="20"/>
          <w:szCs w:val="20"/>
        </w:rPr>
        <w:t xml:space="preserve">Note 23 — Segment Information </w:t>
      </w:r>
    </w:p>
    <w:p w:rsidR="00000000" w:rsidRDefault="00DF5BC2">
      <w:pPr>
        <w:jc w:val="both"/>
        <w:rPr>
          <w:rFonts w:eastAsia="Times New Roman"/>
        </w:rPr>
      </w:pPr>
      <w:r>
        <w:rPr>
          <w:rFonts w:eastAsia="Times New Roman"/>
          <w:b/>
          <w:bCs/>
          <w:color w:val="000000"/>
          <w:sz w:val="20"/>
          <w:szCs w:val="20"/>
        </w:rPr>
        <w:t>Note 24 — Business Transformation Initiatives</w:t>
      </w:r>
    </w:p>
    <w:p w:rsidR="00000000" w:rsidRDefault="00DF5BC2">
      <w:pPr>
        <w:jc w:val="both"/>
        <w:rPr>
          <w:rFonts w:eastAsia="Times New Roman"/>
        </w:rPr>
      </w:pPr>
      <w:r>
        <w:rPr>
          <w:rFonts w:eastAsia="Times New Roman"/>
          <w:b/>
          <w:bCs/>
          <w:color w:val="000000"/>
          <w:sz w:val="20"/>
          <w:szCs w:val="20"/>
        </w:rPr>
        <w:t>Note 25 — Impact of Global Pandemic</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Note 1 — Nature of Operations</w:t>
      </w:r>
      <w:r>
        <w:rPr>
          <w:rFonts w:eastAsia="Times New Roman"/>
          <w:b/>
          <w:bCs/>
          <w:color w:val="000000"/>
          <w:sz w:val="20"/>
          <w:szCs w:val="20"/>
          <w:u w:val="single"/>
        </w:rPr>
        <w:t xml:space="preserve"> </w:t>
      </w:r>
    </w:p>
    <w:p w:rsidR="00000000" w:rsidRDefault="00DF5BC2">
      <w:pPr>
        <w:divId w:val="1667322393"/>
        <w:rPr>
          <w:rFonts w:eastAsia="Times New Roman"/>
        </w:rPr>
      </w:pPr>
    </w:p>
    <w:p w:rsidR="00000000" w:rsidRDefault="00DF5BC2">
      <w:pPr>
        <w:jc w:val="both"/>
        <w:rPr>
          <w:rFonts w:eastAsia="Times New Roman"/>
        </w:rPr>
      </w:pPr>
      <w:r>
        <w:rPr>
          <w:rFonts w:eastAsia="Times New Roman"/>
          <w:color w:val="000000"/>
          <w:sz w:val="20"/>
          <w:szCs w:val="20"/>
        </w:rPr>
        <w:t>UGI is a holding company that, through subsidiaries and affiliates, distributes, stores, transports and markets energy products and related services. In the United States, we own and operate (1) a retail propane marketing and distribution business; (2)</w:t>
      </w:r>
      <w:r>
        <w:rPr>
          <w:rFonts w:eastAsia="Times New Roman"/>
          <w:color w:val="000000"/>
          <w:sz w:val="20"/>
          <w:szCs w:val="20"/>
        </w:rPr>
        <w:t xml:space="preserve"> natural gas and electric distribution utilities; and (3) an energy marketing, midstream infrastructure, storage, natural gas gathering and processing, natural gas production, electricity generation and energy services businesses. In Europe, we market and </w:t>
      </w:r>
      <w:r>
        <w:rPr>
          <w:rFonts w:eastAsia="Times New Roman"/>
          <w:color w:val="000000"/>
          <w:sz w:val="20"/>
          <w:szCs w:val="20"/>
        </w:rPr>
        <w:t xml:space="preserve">distribute propane and other LPG and market other energy products and services. </w:t>
      </w:r>
    </w:p>
    <w:p w:rsidR="00000000" w:rsidRDefault="00DF5BC2">
      <w:pPr>
        <w:divId w:val="608246127"/>
        <w:rPr>
          <w:rFonts w:eastAsia="Times New Roman"/>
        </w:rPr>
      </w:pPr>
    </w:p>
    <w:p w:rsidR="00000000" w:rsidRDefault="00DF5BC2">
      <w:pPr>
        <w:jc w:val="both"/>
        <w:rPr>
          <w:rFonts w:eastAsia="Times New Roman"/>
        </w:rPr>
      </w:pPr>
      <w:r>
        <w:rPr>
          <w:rFonts w:eastAsia="Times New Roman"/>
          <w:color w:val="000000"/>
          <w:sz w:val="20"/>
          <w:szCs w:val="20"/>
        </w:rPr>
        <w:t xml:space="preserve">We conduct a domestic propane marketing and distribution business through AmeriGas Partners. AmeriGas Partners conducts a national propane distribution business through its </w:t>
      </w:r>
      <w:r>
        <w:rPr>
          <w:rFonts w:eastAsia="Times New Roman"/>
          <w:color w:val="000000"/>
          <w:sz w:val="20"/>
          <w:szCs w:val="20"/>
        </w:rPr>
        <w:t>principal operating subsidiary AmeriGas OLP. AmeriGas Partners and AmeriGas OLP are Delaware limited partnerships. UGI’s wholly owned second-tier subsidiary, AmeriGas Propane, Inc., serves as the general partner of AmeriGas Partners. On August 21, 2019, we</w:t>
      </w:r>
      <w:r>
        <w:rPr>
          <w:rFonts w:eastAsia="Times New Roman"/>
          <w:color w:val="000000"/>
          <w:sz w:val="20"/>
          <w:szCs w:val="20"/>
        </w:rPr>
        <w:t xml:space="preserve"> completed the AmeriGas Merger pursuant to which we issued 34.6 million shares of UGI Common Stock and paid $529 in cash to acquire all of the outstanding Common Units in AmeriGas Partners not already held by UGI or its subsidiaries, with the Partnership s</w:t>
      </w:r>
      <w:r>
        <w:rPr>
          <w:rFonts w:eastAsia="Times New Roman"/>
          <w:color w:val="000000"/>
          <w:sz w:val="20"/>
          <w:szCs w:val="20"/>
        </w:rPr>
        <w:t>urviving as a wholly owned subsidiary of UGI. Prior to the AmeriGas Merger, UGI controlled the Partnership through its ownership of the General Partner, which held a 1% general partner interest (which included IDRs) and approximately 25.5% of the outstandi</w:t>
      </w:r>
      <w:r>
        <w:rPr>
          <w:rFonts w:eastAsia="Times New Roman"/>
          <w:color w:val="000000"/>
          <w:sz w:val="20"/>
          <w:szCs w:val="20"/>
        </w:rPr>
        <w:t>ng Common Units, and held an effective 27% ownership interest in AmeriGas OLP. The IDRs held by the General Partner prior to the AmeriGas Merger entitled it to receive distributions from AmeriGas Partners in excess of its general partner interest under cer</w:t>
      </w:r>
      <w:r>
        <w:rPr>
          <w:rFonts w:eastAsia="Times New Roman"/>
          <w:color w:val="000000"/>
          <w:sz w:val="20"/>
          <w:szCs w:val="20"/>
        </w:rPr>
        <w:t>tain circumstances (see Note 15). For additional information on the AmeriGas Merger, see Note 5.</w:t>
      </w:r>
    </w:p>
    <w:p w:rsidR="00000000" w:rsidRDefault="00DF5BC2">
      <w:pPr>
        <w:divId w:val="1200361375"/>
        <w:rPr>
          <w:rFonts w:eastAsia="Times New Roman"/>
        </w:rPr>
      </w:pPr>
    </w:p>
    <w:p w:rsidR="00000000" w:rsidRDefault="00DF5BC2">
      <w:pPr>
        <w:jc w:val="both"/>
        <w:rPr>
          <w:rFonts w:eastAsia="Times New Roman"/>
        </w:rPr>
      </w:pPr>
      <w:r>
        <w:rPr>
          <w:rFonts w:eastAsia="Times New Roman"/>
          <w:color w:val="000000"/>
          <w:sz w:val="20"/>
          <w:szCs w:val="20"/>
        </w:rPr>
        <w:t>UGI International, through subsidiaries and affiliates, conducts (1) an LPG distribution business throughout much of Europe and (2) an energy marketing busin</w:t>
      </w:r>
      <w:r>
        <w:rPr>
          <w:rFonts w:eastAsia="Times New Roman"/>
          <w:color w:val="000000"/>
          <w:sz w:val="20"/>
          <w:szCs w:val="20"/>
        </w:rPr>
        <w:t>ess in France, Belgium, the Netherlands and the United Kingdom. These businesses are conducted principally through our subsidiaries, UGI France, Flaga, AvantiGas, DVEP and UniverGas.</w:t>
      </w:r>
    </w:p>
    <w:p w:rsidR="00000000" w:rsidRDefault="00DF5BC2">
      <w:pPr>
        <w:jc w:val="both"/>
        <w:rPr>
          <w:rFonts w:eastAsia="Times New Roman"/>
        </w:rPr>
      </w:pPr>
    </w:p>
    <w:p w:rsidR="00000000" w:rsidRDefault="00DF5BC2">
      <w:pPr>
        <w:jc w:val="center"/>
        <w:divId w:val="1219703913"/>
        <w:rPr>
          <w:rFonts w:eastAsia="Times New Roman"/>
        </w:rPr>
      </w:pPr>
      <w:r>
        <w:rPr>
          <w:rFonts w:eastAsia="Times New Roman"/>
          <w:color w:val="000000"/>
          <w:sz w:val="20"/>
          <w:szCs w:val="20"/>
        </w:rPr>
        <w:t>F-11</w:t>
      </w:r>
    </w:p>
    <w:p w:rsidR="00000000" w:rsidRDefault="00DF5BC2">
      <w:pPr>
        <w:rPr>
          <w:rFonts w:eastAsia="Times New Roman"/>
        </w:rPr>
      </w:pPr>
      <w:r>
        <w:rPr>
          <w:rFonts w:eastAsia="Times New Roman"/>
        </w:rPr>
        <w:pict>
          <v:rect id="_x0000_i1125" style="width:0;height:1.5pt" o:hralign="center" o:hrstd="t" o:hr="t" fillcolor="#a0a0a0" stroked="f"/>
        </w:pict>
      </w:r>
    </w:p>
    <w:p w:rsidR="00000000" w:rsidRDefault="00DF5BC2">
      <w:pPr>
        <w:divId w:val="100341536"/>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205753993"/>
        <w:rPr>
          <w:rFonts w:eastAsia="Times New Roman"/>
        </w:rPr>
      </w:pPr>
      <w:r>
        <w:rPr>
          <w:rFonts w:eastAsia="Times New Roman"/>
          <w:b/>
          <w:bCs/>
          <w:color w:val="000000"/>
          <w:sz w:val="20"/>
          <w:szCs w:val="20"/>
        </w:rPr>
        <w:t>UGI Corporation and Subsidiaries</w:t>
      </w:r>
    </w:p>
    <w:p w:rsidR="00000000" w:rsidRDefault="00DF5BC2">
      <w:pPr>
        <w:divId w:val="432633987"/>
        <w:rPr>
          <w:rFonts w:eastAsia="Times New Roman"/>
        </w:rPr>
      </w:pPr>
      <w:r>
        <w:rPr>
          <w:rFonts w:eastAsia="Times New Roman"/>
          <w:b/>
          <w:bCs/>
          <w:color w:val="000000"/>
          <w:sz w:val="20"/>
          <w:szCs w:val="20"/>
        </w:rPr>
        <w:t>Notes to Consolidated Financial Statements</w:t>
      </w:r>
    </w:p>
    <w:p w:rsidR="00000000" w:rsidRDefault="00DF5BC2">
      <w:pPr>
        <w:divId w:val="1427774293"/>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color w:val="000000"/>
          <w:sz w:val="20"/>
          <w:szCs w:val="20"/>
        </w:rPr>
        <w:t>Energy Services conducts, directly and through subsidiaries and affiliates, energy marketing, including RNG, midstream transmission, LNG storage, natural gas gathering and proce</w:t>
      </w:r>
      <w:r>
        <w:rPr>
          <w:rFonts w:eastAsia="Times New Roman"/>
          <w:color w:val="000000"/>
          <w:sz w:val="20"/>
          <w:szCs w:val="20"/>
        </w:rPr>
        <w:t>ssing, natural gas and RNG production, electricity generation and energy services businesses primarily in the eastern region of the U.S., eastern Ohio, the panhandle of West Virginia and California. UGID owns electricity generation facilities principally l</w:t>
      </w:r>
      <w:r>
        <w:rPr>
          <w:rFonts w:eastAsia="Times New Roman"/>
          <w:color w:val="000000"/>
          <w:sz w:val="20"/>
          <w:szCs w:val="20"/>
        </w:rPr>
        <w:t>ocated in Pennsylvania. Energy Services and its subsidiaries’ storage, LNG and portions of its midstream transmission operations are subject to regulation by the FERC.</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Upon acquisition of Mountaineer on September 1, 2021 (described below), our UGI Utilit</w:t>
      </w:r>
      <w:r>
        <w:rPr>
          <w:rFonts w:eastAsia="Times New Roman"/>
          <w:color w:val="000000"/>
          <w:sz w:val="20"/>
          <w:szCs w:val="20"/>
        </w:rPr>
        <w:t>ies segment includes UGI Utilities, Inc. and Mountaintop Energy Holdings, LLC. UGI Utilities, Inc. directly owns and operates Gas Utility, a natural gas distribution utility business in eastern and central Pennsylvania and in a portion of one Maryland coun</w:t>
      </w:r>
      <w:r>
        <w:rPr>
          <w:rFonts w:eastAsia="Times New Roman"/>
          <w:color w:val="000000"/>
          <w:sz w:val="20"/>
          <w:szCs w:val="20"/>
        </w:rPr>
        <w:t>ty. Gas Utility is subject to regulation by the PAPUC, the FERC, and, with respect to a small service territory in one Maryland county, the MDPSC. UGI Utilities, Inc. also owns and operates Electric Utility, an electric distribution utility located in nort</w:t>
      </w:r>
      <w:r>
        <w:rPr>
          <w:rFonts w:eastAsia="Times New Roman"/>
          <w:color w:val="000000"/>
          <w:sz w:val="20"/>
          <w:szCs w:val="20"/>
        </w:rPr>
        <w:t>heastern Pennsylvania. Electric Utility is subject to regulation by the PAPUC and the FERC.</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September 1, 2021, UGI acquired Mountaineer, the largest natural gas distribution company in West Virginia for a purchase price of $540, which includes the ass</w:t>
      </w:r>
      <w:r>
        <w:rPr>
          <w:rFonts w:eastAsia="Times New Roman"/>
          <w:color w:val="000000"/>
          <w:sz w:val="20"/>
          <w:szCs w:val="20"/>
        </w:rPr>
        <w:t xml:space="preserve">umption of approximately $140 principal amounts of long-term debt. </w:t>
      </w:r>
      <w:r>
        <w:rPr>
          <w:rFonts w:eastAsia="Times New Roman"/>
          <w:color w:val="000000"/>
          <w:sz w:val="20"/>
          <w:szCs w:val="20"/>
          <w:shd w:val="clear" w:color="auto" w:fill="FFFFFF"/>
        </w:rPr>
        <w:t>Mountaineer serves nearly 214,000 customers across 50 of the state’s 55 counties. Mountaineer is subject to regulation by the WVPSC. For additional information on the Mountaineer Acquisitio</w:t>
      </w:r>
      <w:r>
        <w:rPr>
          <w:rFonts w:eastAsia="Times New Roman"/>
          <w:color w:val="000000"/>
          <w:sz w:val="20"/>
          <w:szCs w:val="20"/>
          <w:shd w:val="clear" w:color="auto" w:fill="FFFFFF"/>
        </w:rPr>
        <w:t>n, see Note 5.</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2 — Summary of Significant Accounting Policies </w:t>
      </w:r>
    </w:p>
    <w:p w:rsidR="00000000" w:rsidRDefault="00DF5BC2">
      <w:pPr>
        <w:jc w:val="both"/>
        <w:divId w:val="85197723"/>
        <w:rPr>
          <w:rFonts w:eastAsia="Times New Roman"/>
        </w:rPr>
      </w:pPr>
      <w:r>
        <w:rPr>
          <w:rFonts w:eastAsia="Times New Roman"/>
          <w:b/>
          <w:bCs/>
          <w:color w:val="000000"/>
          <w:sz w:val="20"/>
          <w:szCs w:val="20"/>
        </w:rPr>
        <w:t>Basis of Presentation</w:t>
      </w:r>
    </w:p>
    <w:p w:rsidR="00000000" w:rsidRDefault="00DF5BC2">
      <w:pPr>
        <w:jc w:val="both"/>
        <w:divId w:val="1425614391"/>
        <w:rPr>
          <w:rFonts w:eastAsia="Times New Roman"/>
        </w:rPr>
      </w:pPr>
      <w:r>
        <w:rPr>
          <w:rFonts w:eastAsia="Times New Roman"/>
          <w:color w:val="000000"/>
          <w:sz w:val="20"/>
          <w:szCs w:val="20"/>
        </w:rPr>
        <w:t>Our consolidated financial statements are prepared in accordance with GAAP. The preparation of financial statements in accordance with GAAP requires management to make estimates and assumptions that affect the reported amounts of assets, liabilities, reven</w:t>
      </w:r>
      <w:r>
        <w:rPr>
          <w:rFonts w:eastAsia="Times New Roman"/>
          <w:color w:val="000000"/>
          <w:sz w:val="20"/>
          <w:szCs w:val="20"/>
        </w:rPr>
        <w:t>ues, expenses and costs. These estimates are based on management’s knowledge of current events, historical experience and various other assumptions that are believed to be reasonable under the circumstances. Accordingly, actual results may be different fro</w:t>
      </w:r>
      <w:r>
        <w:rPr>
          <w:rFonts w:eastAsia="Times New Roman"/>
          <w:color w:val="000000"/>
          <w:sz w:val="20"/>
          <w:szCs w:val="20"/>
        </w:rPr>
        <w:t>m these estimates and assumptions.</w:t>
      </w:r>
    </w:p>
    <w:p w:rsidR="00000000" w:rsidRDefault="00DF5BC2">
      <w:pPr>
        <w:jc w:val="both"/>
        <w:divId w:val="211120408"/>
        <w:rPr>
          <w:rFonts w:eastAsia="Times New Roman"/>
        </w:rPr>
      </w:pPr>
      <w:r>
        <w:rPr>
          <w:rFonts w:eastAsia="Times New Roman"/>
          <w:color w:val="000000"/>
          <w:sz w:val="20"/>
          <w:szCs w:val="20"/>
        </w:rPr>
        <w:t xml:space="preserve">For purposes of comparability, certain prior-year amounts have been reclassified to conform to the current-year presentation. </w:t>
      </w:r>
    </w:p>
    <w:p w:rsidR="00000000" w:rsidRDefault="00DF5BC2">
      <w:pPr>
        <w:jc w:val="both"/>
        <w:divId w:val="1084297955"/>
        <w:rPr>
          <w:rFonts w:eastAsia="Times New Roman"/>
        </w:rPr>
      </w:pPr>
      <w:r>
        <w:rPr>
          <w:rFonts w:eastAsia="Times New Roman"/>
          <w:b/>
          <w:bCs/>
          <w:color w:val="000000"/>
          <w:sz w:val="20"/>
          <w:szCs w:val="20"/>
        </w:rPr>
        <w:t>Principles of Consolidation</w:t>
      </w:r>
    </w:p>
    <w:p w:rsidR="00000000" w:rsidRDefault="00DF5BC2">
      <w:pPr>
        <w:jc w:val="both"/>
        <w:divId w:val="583147568"/>
        <w:rPr>
          <w:rFonts w:eastAsia="Times New Roman"/>
        </w:rPr>
      </w:pPr>
      <w:r>
        <w:rPr>
          <w:rFonts w:eastAsia="Times New Roman"/>
          <w:color w:val="000000"/>
          <w:sz w:val="20"/>
          <w:szCs w:val="20"/>
        </w:rPr>
        <w:t xml:space="preserve">The consolidated financial statements include the accounts of UGI </w:t>
      </w:r>
      <w:r>
        <w:rPr>
          <w:rFonts w:eastAsia="Times New Roman"/>
          <w:color w:val="000000"/>
          <w:sz w:val="20"/>
          <w:szCs w:val="20"/>
        </w:rPr>
        <w:t>and its controlled subsidiary companies which are majority owned. We report outside ownership interests in other consolidated but less than 100%-owned subsidiaries, as noncontrolling interests. Prior to the AmeriGas Merger, we also reported the public’s in</w:t>
      </w:r>
      <w:r>
        <w:rPr>
          <w:rFonts w:eastAsia="Times New Roman"/>
          <w:color w:val="000000"/>
          <w:sz w:val="20"/>
          <w:szCs w:val="20"/>
        </w:rPr>
        <w:t>terest in the Partnership as a noncontrolling interest. We eliminate intercompany accounts and transactions when we consolidate.</w:t>
      </w:r>
    </w:p>
    <w:p w:rsidR="00000000" w:rsidRDefault="00DF5BC2">
      <w:pPr>
        <w:jc w:val="both"/>
        <w:divId w:val="1884630420"/>
        <w:rPr>
          <w:rFonts w:eastAsia="Times New Roman"/>
        </w:rPr>
      </w:pPr>
      <w:r>
        <w:rPr>
          <w:rFonts w:eastAsia="Times New Roman"/>
          <w:color w:val="000000"/>
          <w:sz w:val="20"/>
          <w:szCs w:val="20"/>
        </w:rPr>
        <w:t>We account for privately held equity securities of entities without readily determinable fair values in which we do not have co</w:t>
      </w:r>
      <w:r>
        <w:rPr>
          <w:rFonts w:eastAsia="Times New Roman"/>
          <w:color w:val="000000"/>
          <w:sz w:val="20"/>
          <w:szCs w:val="20"/>
        </w:rPr>
        <w:t>ntrol, but have significant influence over operating and financial policies, under the equity method. See Note 22 for more information on our equity method investments. Investments in equity securities related to entities in which we do not have significan</w:t>
      </w:r>
      <w:r>
        <w:rPr>
          <w:rFonts w:eastAsia="Times New Roman"/>
          <w:color w:val="000000"/>
          <w:sz w:val="20"/>
          <w:szCs w:val="20"/>
        </w:rPr>
        <w:t xml:space="preserve">t influence over operating and financial policies are valued at their cost less impairment (if any). </w:t>
      </w:r>
    </w:p>
    <w:p w:rsidR="00000000" w:rsidRDefault="00DF5BC2">
      <w:pPr>
        <w:jc w:val="both"/>
        <w:divId w:val="512383503"/>
        <w:rPr>
          <w:rFonts w:eastAsia="Times New Roman"/>
        </w:rPr>
      </w:pPr>
      <w:r>
        <w:rPr>
          <w:rFonts w:eastAsia="Times New Roman"/>
          <w:b/>
          <w:bCs/>
          <w:color w:val="000000"/>
          <w:sz w:val="20"/>
          <w:szCs w:val="20"/>
        </w:rPr>
        <w:t>Effects of Regulation</w:t>
      </w:r>
    </w:p>
    <w:p w:rsidR="00000000" w:rsidRDefault="00DF5BC2">
      <w:pPr>
        <w:jc w:val="both"/>
        <w:divId w:val="77168453"/>
        <w:rPr>
          <w:rFonts w:eastAsia="Times New Roman"/>
        </w:rPr>
      </w:pPr>
      <w:r>
        <w:rPr>
          <w:rFonts w:eastAsia="Times New Roman"/>
          <w:color w:val="000000"/>
          <w:sz w:val="20"/>
          <w:szCs w:val="20"/>
        </w:rPr>
        <w:t>Certain of our subsidiaries account for the financial effects of regulation in accordance with ASC 980. In accordance with this guid</w:t>
      </w:r>
      <w:r>
        <w:rPr>
          <w:rFonts w:eastAsia="Times New Roman"/>
          <w:color w:val="000000"/>
          <w:sz w:val="20"/>
          <w:szCs w:val="20"/>
        </w:rPr>
        <w:t>ance, incurred costs that would otherwise be charged to expense are capitalized and recorded as regulatory assets when it is probable that the incurred costs will be recovered through rates in the future. Similarly, we recognize regulatory liabilities when</w:t>
      </w:r>
      <w:r>
        <w:rPr>
          <w:rFonts w:eastAsia="Times New Roman"/>
          <w:color w:val="000000"/>
          <w:sz w:val="20"/>
          <w:szCs w:val="20"/>
        </w:rPr>
        <w:t xml:space="preserve"> it is probable that regulators will require customer refunds through future rates or when revenue is collected from customers for expenditures that have not yet been incurred. Regulatory assets and liabilities are classified as current if, upon initial re</w:t>
      </w:r>
      <w:r>
        <w:rPr>
          <w:rFonts w:eastAsia="Times New Roman"/>
          <w:color w:val="000000"/>
          <w:sz w:val="20"/>
          <w:szCs w:val="20"/>
        </w:rPr>
        <w:t>cognition, the entire amount related to that item will be recovered or refunded within a year of the balance sheet date. Generally, regulatory assets and regulatory liabilities are amortized into expense and income over the periods authorized by the respec</w:t>
      </w:r>
      <w:r>
        <w:rPr>
          <w:rFonts w:eastAsia="Times New Roman"/>
          <w:color w:val="000000"/>
          <w:sz w:val="20"/>
          <w:szCs w:val="20"/>
        </w:rPr>
        <w:t>tive regulatory body. For additional information regarding the effects of rate regulation on our utility operations, see Note 9.</w:t>
      </w:r>
    </w:p>
    <w:p w:rsidR="00000000" w:rsidRDefault="00DF5BC2">
      <w:pPr>
        <w:jc w:val="center"/>
        <w:divId w:val="954487028"/>
        <w:rPr>
          <w:rFonts w:eastAsia="Times New Roman"/>
        </w:rPr>
      </w:pPr>
      <w:r>
        <w:rPr>
          <w:rFonts w:eastAsia="Times New Roman"/>
          <w:color w:val="000000"/>
          <w:sz w:val="20"/>
          <w:szCs w:val="20"/>
        </w:rPr>
        <w:t>F-12</w:t>
      </w:r>
    </w:p>
    <w:p w:rsidR="00000000" w:rsidRDefault="00DF5BC2">
      <w:pPr>
        <w:rPr>
          <w:rFonts w:eastAsia="Times New Roman"/>
        </w:rPr>
      </w:pPr>
      <w:r>
        <w:rPr>
          <w:rFonts w:eastAsia="Times New Roman"/>
        </w:rPr>
        <w:pict>
          <v:rect id="_x0000_i1126" style="width:0;height:1.5pt" o:hralign="center" o:hrstd="t" o:hr="t" fillcolor="#a0a0a0" stroked="f"/>
        </w:pict>
      </w:r>
    </w:p>
    <w:p w:rsidR="00000000" w:rsidRDefault="00DF5BC2">
      <w:pPr>
        <w:divId w:val="1123811508"/>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2013143976"/>
        <w:rPr>
          <w:rFonts w:eastAsia="Times New Roman"/>
        </w:rPr>
      </w:pPr>
      <w:r>
        <w:rPr>
          <w:rFonts w:eastAsia="Times New Roman"/>
          <w:b/>
          <w:bCs/>
          <w:color w:val="000000"/>
          <w:sz w:val="20"/>
          <w:szCs w:val="20"/>
        </w:rPr>
        <w:t>UGI Corpor</w:t>
      </w:r>
      <w:r>
        <w:rPr>
          <w:rFonts w:eastAsia="Times New Roman"/>
          <w:b/>
          <w:bCs/>
          <w:color w:val="000000"/>
          <w:sz w:val="20"/>
          <w:szCs w:val="20"/>
        </w:rPr>
        <w:t>ation and Subsidiaries</w:t>
      </w:r>
    </w:p>
    <w:p w:rsidR="00000000" w:rsidRDefault="00DF5BC2">
      <w:pPr>
        <w:divId w:val="1747454794"/>
        <w:rPr>
          <w:rFonts w:eastAsia="Times New Roman"/>
        </w:rPr>
      </w:pPr>
      <w:r>
        <w:rPr>
          <w:rFonts w:eastAsia="Times New Roman"/>
          <w:b/>
          <w:bCs/>
          <w:color w:val="000000"/>
          <w:sz w:val="20"/>
          <w:szCs w:val="20"/>
        </w:rPr>
        <w:t>Notes to Consolidated Financial Statements</w:t>
      </w:r>
    </w:p>
    <w:p w:rsidR="00000000" w:rsidRDefault="00DF5BC2">
      <w:pPr>
        <w:divId w:val="243688888"/>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2060469837"/>
        <w:rPr>
          <w:rFonts w:eastAsia="Times New Roman"/>
        </w:rPr>
      </w:pPr>
      <w:r>
        <w:rPr>
          <w:rFonts w:eastAsia="Times New Roman"/>
          <w:b/>
          <w:bCs/>
          <w:color w:val="000000"/>
          <w:sz w:val="20"/>
          <w:szCs w:val="20"/>
        </w:rPr>
        <w:t>Fair Value Measurements</w:t>
      </w:r>
    </w:p>
    <w:p w:rsidR="00000000" w:rsidRDefault="00DF5BC2">
      <w:pPr>
        <w:jc w:val="both"/>
        <w:divId w:val="324433875"/>
        <w:rPr>
          <w:rFonts w:eastAsia="Times New Roman"/>
        </w:rPr>
      </w:pPr>
      <w:r>
        <w:rPr>
          <w:rFonts w:eastAsia="Times New Roman"/>
          <w:color w:val="000000"/>
          <w:sz w:val="20"/>
          <w:szCs w:val="20"/>
        </w:rPr>
        <w:t>The Company applies fair value measurements on a recurring and, as otherwise required u</w:t>
      </w:r>
      <w:r>
        <w:rPr>
          <w:rFonts w:eastAsia="Times New Roman"/>
          <w:color w:val="000000"/>
          <w:sz w:val="20"/>
          <w:szCs w:val="20"/>
        </w:rPr>
        <w:t>nder ASC 820, on a nonrecurring basis. Fair value is defined as the price that would be received to sell an asset or paid to transfer a liability (an exit price) in an orderly transaction between market participants at the measurement date. Fair value meas</w:t>
      </w:r>
      <w:r>
        <w:rPr>
          <w:rFonts w:eastAsia="Times New Roman"/>
          <w:color w:val="000000"/>
          <w:sz w:val="20"/>
          <w:szCs w:val="20"/>
        </w:rPr>
        <w:t>urements performed on a recurring basis principally relate to derivative instruments and investments held in supplemental executive retirement plan grantor trusts.</w:t>
      </w:r>
    </w:p>
    <w:p w:rsidR="00000000" w:rsidRDefault="00DF5BC2">
      <w:pPr>
        <w:jc w:val="both"/>
        <w:divId w:val="260575828"/>
        <w:rPr>
          <w:rFonts w:eastAsia="Times New Roman"/>
        </w:rPr>
      </w:pPr>
      <w:r>
        <w:rPr>
          <w:rFonts w:eastAsia="Times New Roman"/>
          <w:color w:val="000000"/>
          <w:sz w:val="20"/>
          <w:szCs w:val="20"/>
        </w:rPr>
        <w:t>ASC 820 establishes a fair value hierarchy that prioritizes the inputs to valuation techniqu</w:t>
      </w:r>
      <w:r>
        <w:rPr>
          <w:rFonts w:eastAsia="Times New Roman"/>
          <w:color w:val="000000"/>
          <w:sz w:val="20"/>
          <w:szCs w:val="20"/>
        </w:rPr>
        <w:t>es used to measure fair value into three levels. The hierarchy gives the highest priority to quoted prices in active markets for identical assets or liabilities (Level 1 measurements) and the lowest priority to unobservable inputs (Level 3 measurements). A</w:t>
      </w:r>
      <w:r>
        <w:rPr>
          <w:rFonts w:eastAsia="Times New Roman"/>
          <w:color w:val="000000"/>
          <w:sz w:val="20"/>
          <w:szCs w:val="20"/>
        </w:rPr>
        <w:t xml:space="preserve"> level within the fair value hierarchy is based on the lowest level of any input that is significant to the fair value measurement.</w:t>
      </w:r>
    </w:p>
    <w:p w:rsidR="00000000" w:rsidRDefault="00DF5BC2">
      <w:pPr>
        <w:jc w:val="both"/>
        <w:divId w:val="779565353"/>
        <w:rPr>
          <w:rFonts w:eastAsia="Times New Roman"/>
        </w:rPr>
      </w:pPr>
      <w:r>
        <w:rPr>
          <w:rFonts w:eastAsia="Times New Roman"/>
          <w:color w:val="000000"/>
          <w:sz w:val="20"/>
          <w:szCs w:val="20"/>
        </w:rPr>
        <w:t>We use the following fair value hierarchy, which prioritizes the inputs to valuation techniques used to measure fair value into three broad levels:</w:t>
      </w:r>
    </w:p>
    <w:p w:rsidR="00000000" w:rsidRDefault="00DF5BC2">
      <w:pPr>
        <w:ind w:hanging="360"/>
        <w:jc w:val="both"/>
        <w:divId w:val="1721785740"/>
        <w:rPr>
          <w:rFonts w:eastAsia="Times New Roman"/>
        </w:rPr>
      </w:pPr>
      <w:r>
        <w:rPr>
          <w:rFonts w:eastAsia="Times New Roman"/>
          <w:color w:val="000000"/>
          <w:sz w:val="20"/>
          <w:szCs w:val="20"/>
        </w:rPr>
        <w:t>•Level 1 — Quoted prices (unadjusted) in active markets for identical assets and liabilities that we have th</w:t>
      </w:r>
      <w:r>
        <w:rPr>
          <w:rFonts w:eastAsia="Times New Roman"/>
          <w:color w:val="000000"/>
          <w:sz w:val="20"/>
          <w:szCs w:val="20"/>
        </w:rPr>
        <w:t>e ability to access at the measurement date.</w:t>
      </w:r>
    </w:p>
    <w:p w:rsidR="00000000" w:rsidRDefault="00DF5BC2">
      <w:pPr>
        <w:ind w:hanging="360"/>
        <w:jc w:val="both"/>
        <w:divId w:val="1663392716"/>
        <w:rPr>
          <w:rFonts w:eastAsia="Times New Roman"/>
        </w:rPr>
      </w:pPr>
      <w:r>
        <w:rPr>
          <w:rFonts w:eastAsia="Times New Roman"/>
          <w:color w:val="000000"/>
          <w:sz w:val="20"/>
          <w:szCs w:val="20"/>
        </w:rPr>
        <w:t>•Level 2 — Inputs other than quoted prices included within Level 1 that are either directly or indirectly observable for the asset or liability, including quoted prices for similar assets or liabilities in activ</w:t>
      </w:r>
      <w:r>
        <w:rPr>
          <w:rFonts w:eastAsia="Times New Roman"/>
          <w:color w:val="000000"/>
          <w:sz w:val="20"/>
          <w:szCs w:val="20"/>
        </w:rPr>
        <w:t>e markets, quoted prices for identical or similar assets or liabilities in markets that are not active, inputs other than quoted prices that are observable for the asset or liability, and inputs that are derived from observable market data by correlation o</w:t>
      </w:r>
      <w:r>
        <w:rPr>
          <w:rFonts w:eastAsia="Times New Roman"/>
          <w:color w:val="000000"/>
          <w:sz w:val="20"/>
          <w:szCs w:val="20"/>
        </w:rPr>
        <w:t>r other means.</w:t>
      </w:r>
    </w:p>
    <w:p w:rsidR="00000000" w:rsidRDefault="00DF5BC2">
      <w:pPr>
        <w:ind w:hanging="360"/>
        <w:jc w:val="both"/>
        <w:divId w:val="1141730615"/>
        <w:rPr>
          <w:rFonts w:eastAsia="Times New Roman"/>
        </w:rPr>
      </w:pPr>
      <w:r>
        <w:rPr>
          <w:rFonts w:eastAsia="Times New Roman"/>
          <w:color w:val="000000"/>
          <w:sz w:val="20"/>
          <w:szCs w:val="20"/>
        </w:rPr>
        <w:t xml:space="preserve">•Level 3 — Unobservable inputs for the asset or liability including situations where there is little, if any, market activity for the asset or liability. </w:t>
      </w:r>
    </w:p>
    <w:p w:rsidR="00000000" w:rsidRDefault="00DF5BC2">
      <w:pPr>
        <w:jc w:val="both"/>
        <w:divId w:val="2088650273"/>
        <w:rPr>
          <w:rFonts w:eastAsia="Times New Roman"/>
        </w:rPr>
      </w:pPr>
      <w:r>
        <w:rPr>
          <w:rFonts w:eastAsia="Times New Roman"/>
          <w:color w:val="000000"/>
          <w:sz w:val="20"/>
          <w:szCs w:val="20"/>
        </w:rPr>
        <w:t>Fair value is based upon assumptions that market participants would use when pricing a</w:t>
      </w:r>
      <w:r>
        <w:rPr>
          <w:rFonts w:eastAsia="Times New Roman"/>
          <w:color w:val="000000"/>
          <w:sz w:val="20"/>
          <w:szCs w:val="20"/>
        </w:rPr>
        <w:t>n asset or liability, including assumptions about risk and risks inherent in valuation techniques and inputs to valuations. This includes not only the credit standing of counterparties and credit enhancements but also the impact of our own nonperformance r</w:t>
      </w:r>
      <w:r>
        <w:rPr>
          <w:rFonts w:eastAsia="Times New Roman"/>
          <w:color w:val="000000"/>
          <w:sz w:val="20"/>
          <w:szCs w:val="20"/>
        </w:rPr>
        <w:t>isk on our liabilities. We evaluate the need for credit adjustments to our derivative instrument fair values. These credit adjustments were not material to the fair values of our derivative instruments.</w:t>
      </w:r>
    </w:p>
    <w:p w:rsidR="00000000" w:rsidRDefault="00DF5BC2">
      <w:pPr>
        <w:jc w:val="both"/>
        <w:divId w:val="247664265"/>
        <w:rPr>
          <w:rFonts w:eastAsia="Times New Roman"/>
        </w:rPr>
      </w:pPr>
      <w:r>
        <w:rPr>
          <w:rFonts w:eastAsia="Times New Roman"/>
          <w:b/>
          <w:bCs/>
          <w:color w:val="000000"/>
          <w:sz w:val="20"/>
          <w:szCs w:val="20"/>
        </w:rPr>
        <w:t>Derivative Instruments</w:t>
      </w:r>
    </w:p>
    <w:p w:rsidR="00000000" w:rsidRDefault="00DF5BC2">
      <w:pPr>
        <w:jc w:val="both"/>
        <w:divId w:val="897790068"/>
        <w:rPr>
          <w:rFonts w:eastAsia="Times New Roman"/>
        </w:rPr>
      </w:pPr>
      <w:r>
        <w:rPr>
          <w:rFonts w:eastAsia="Times New Roman"/>
          <w:color w:val="000000"/>
          <w:sz w:val="20"/>
          <w:szCs w:val="20"/>
        </w:rPr>
        <w:t>Derivative instruments are rep</w:t>
      </w:r>
      <w:r>
        <w:rPr>
          <w:rFonts w:eastAsia="Times New Roman"/>
          <w:color w:val="000000"/>
          <w:sz w:val="20"/>
          <w:szCs w:val="20"/>
        </w:rPr>
        <w:t>orted on the Consolidated Balance Sheets at their fair values, unless the NPNS exception is elected. The accounting for changes in fair value depends upon the purpose of the derivative instrument, whether it is subject to regulatory ratemaking mechanisms o</w:t>
      </w:r>
      <w:r>
        <w:rPr>
          <w:rFonts w:eastAsia="Times New Roman"/>
          <w:color w:val="000000"/>
          <w:sz w:val="20"/>
          <w:szCs w:val="20"/>
        </w:rPr>
        <w:t>r if it qualifies and is designated as a hedge for accounting purposes.</w:t>
      </w:r>
    </w:p>
    <w:p w:rsidR="00000000" w:rsidRDefault="00DF5BC2">
      <w:pPr>
        <w:jc w:val="both"/>
        <w:divId w:val="1506751261"/>
        <w:rPr>
          <w:rFonts w:eastAsia="Times New Roman"/>
        </w:rPr>
      </w:pPr>
      <w:r>
        <w:rPr>
          <w:rFonts w:eastAsia="Times New Roman"/>
          <w:color w:val="000000"/>
          <w:sz w:val="20"/>
          <w:szCs w:val="20"/>
        </w:rPr>
        <w:t>Certain of our derivative instruments qualify and are designated as cash flow hedges. For cash flow hedges, changes in the fair values of the derivative instruments are recorded in AOC</w:t>
      </w:r>
      <w:r>
        <w:rPr>
          <w:rFonts w:eastAsia="Times New Roman"/>
          <w:color w:val="000000"/>
          <w:sz w:val="20"/>
          <w:szCs w:val="20"/>
        </w:rPr>
        <w:t>I, to the extent effective at offsetting changes in the hedged item, until earnings are affected by the hedged item. We discontinue cash flow hedge accounting if occurrence of the forecasted transaction is determined to be no longer probable. Hedge account</w:t>
      </w:r>
      <w:r>
        <w:rPr>
          <w:rFonts w:eastAsia="Times New Roman"/>
          <w:color w:val="000000"/>
          <w:sz w:val="20"/>
          <w:szCs w:val="20"/>
        </w:rPr>
        <w:t>ing is also discontinued for derivatives that cease to be highly effective. We do not designate our commodity and certain foreign currency derivative instruments as hedges under GAAP. Changes in the fair values of these derivative instruments are reflected</w:t>
      </w:r>
      <w:r>
        <w:rPr>
          <w:rFonts w:eastAsia="Times New Roman"/>
          <w:color w:val="000000"/>
          <w:sz w:val="20"/>
          <w:szCs w:val="20"/>
        </w:rPr>
        <w:t xml:space="preserve"> in net income. Gains and losses on substantially all of the commodity derivative instruments used by UGI Utilities are included in regulatory assets or liabilities because it is probable such gains or losses will be recoverable from, or refundable to, cus</w:t>
      </w:r>
      <w:r>
        <w:rPr>
          <w:rFonts w:eastAsia="Times New Roman"/>
          <w:color w:val="000000"/>
          <w:sz w:val="20"/>
          <w:szCs w:val="20"/>
        </w:rPr>
        <w:t>tomers. From time to time, we also enter into net investment hedges. Gains and losses on net investment hedges that relate to our foreign operations are included in the cumulative translation adjustment component in AOCI until such foreign net investment i</w:t>
      </w:r>
      <w:r>
        <w:rPr>
          <w:rFonts w:eastAsia="Times New Roman"/>
          <w:color w:val="000000"/>
          <w:sz w:val="20"/>
          <w:szCs w:val="20"/>
        </w:rPr>
        <w:t>s substantially sold or liquidated.</w:t>
      </w:r>
    </w:p>
    <w:p w:rsidR="00000000" w:rsidRDefault="00DF5BC2">
      <w:pPr>
        <w:jc w:val="both"/>
        <w:divId w:val="49691878"/>
        <w:rPr>
          <w:rFonts w:eastAsia="Times New Roman"/>
        </w:rPr>
      </w:pPr>
      <w:r>
        <w:rPr>
          <w:rFonts w:eastAsia="Times New Roman"/>
          <w:color w:val="000000"/>
          <w:sz w:val="20"/>
          <w:szCs w:val="20"/>
        </w:rPr>
        <w:t>Cash flows from derivative instruments, othe</w:t>
      </w:r>
      <w:r>
        <w:rPr>
          <w:rFonts w:eastAsia="Times New Roman"/>
          <w:color w:val="000000"/>
          <w:sz w:val="20"/>
          <w:szCs w:val="20"/>
        </w:rPr>
        <w:t>r than certain cross-currency swaps and net investment hedges, if any, are included in cash flows from operating activities on the Consolidated Statements of Cash Flows. Cash flows from the interest portion of our cross-currency hedges, if any, are include</w:t>
      </w:r>
      <w:r>
        <w:rPr>
          <w:rFonts w:eastAsia="Times New Roman"/>
          <w:color w:val="000000"/>
          <w:sz w:val="20"/>
          <w:szCs w:val="20"/>
        </w:rPr>
        <w:t>d in cash flows from operating activities while cash flows from the currency portion of such hedges, if any, are included in cash flows from financing activities. Cash flows from net investment hedges, if any, are included in cash flows from investing acti</w:t>
      </w:r>
      <w:r>
        <w:rPr>
          <w:rFonts w:eastAsia="Times New Roman"/>
          <w:color w:val="000000"/>
          <w:sz w:val="20"/>
          <w:szCs w:val="20"/>
        </w:rPr>
        <w:t>vities on the Consolidated Statements of Cash Flows.</w:t>
      </w:r>
    </w:p>
    <w:p w:rsidR="00000000" w:rsidRDefault="00DF5BC2">
      <w:pPr>
        <w:jc w:val="both"/>
        <w:divId w:val="1817143367"/>
        <w:rPr>
          <w:rFonts w:eastAsia="Times New Roman"/>
        </w:rPr>
      </w:pPr>
      <w:r>
        <w:rPr>
          <w:rFonts w:eastAsia="Times New Roman"/>
          <w:color w:val="000000"/>
          <w:sz w:val="20"/>
          <w:szCs w:val="20"/>
        </w:rPr>
        <w:t>For a more detailed description of the derivative instruments we use, our accounting for derivatives, our objectives for using them and other information, see Note 19.</w:t>
      </w:r>
    </w:p>
    <w:p w:rsidR="00000000" w:rsidRDefault="00DF5BC2">
      <w:pPr>
        <w:jc w:val="center"/>
        <w:divId w:val="615479610"/>
        <w:rPr>
          <w:rFonts w:eastAsia="Times New Roman"/>
        </w:rPr>
      </w:pPr>
      <w:r>
        <w:rPr>
          <w:rFonts w:eastAsia="Times New Roman"/>
          <w:color w:val="000000"/>
          <w:sz w:val="20"/>
          <w:szCs w:val="20"/>
        </w:rPr>
        <w:t>F-13</w:t>
      </w:r>
    </w:p>
    <w:p w:rsidR="00000000" w:rsidRDefault="00DF5BC2">
      <w:pPr>
        <w:rPr>
          <w:rFonts w:eastAsia="Times New Roman"/>
        </w:rPr>
      </w:pPr>
      <w:r>
        <w:rPr>
          <w:rFonts w:eastAsia="Times New Roman"/>
        </w:rPr>
        <w:pict>
          <v:rect id="_x0000_i1127" style="width:0;height:1.5pt" o:hralign="center" o:hrstd="t" o:hr="t" fillcolor="#a0a0a0" stroked="f"/>
        </w:pict>
      </w:r>
    </w:p>
    <w:p w:rsidR="00000000" w:rsidRDefault="00DF5BC2">
      <w:pPr>
        <w:divId w:val="261305229"/>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141965533"/>
        <w:rPr>
          <w:rFonts w:eastAsia="Times New Roman"/>
        </w:rPr>
      </w:pPr>
      <w:r>
        <w:rPr>
          <w:rFonts w:eastAsia="Times New Roman"/>
          <w:b/>
          <w:bCs/>
          <w:color w:val="000000"/>
          <w:sz w:val="20"/>
          <w:szCs w:val="20"/>
        </w:rPr>
        <w:t>UGI Corporation and Subsidiaries</w:t>
      </w:r>
    </w:p>
    <w:p w:rsidR="00000000" w:rsidRDefault="00DF5BC2">
      <w:pPr>
        <w:divId w:val="1502234711"/>
        <w:rPr>
          <w:rFonts w:eastAsia="Times New Roman"/>
        </w:rPr>
      </w:pPr>
      <w:r>
        <w:rPr>
          <w:rFonts w:eastAsia="Times New Roman"/>
          <w:b/>
          <w:bCs/>
          <w:color w:val="000000"/>
          <w:sz w:val="20"/>
          <w:szCs w:val="20"/>
        </w:rPr>
        <w:t>Notes to Consolidated Financial Statements</w:t>
      </w:r>
    </w:p>
    <w:p w:rsidR="00000000" w:rsidRDefault="00DF5BC2">
      <w:pPr>
        <w:divId w:val="1166552414"/>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432167414"/>
        <w:rPr>
          <w:rFonts w:eastAsia="Times New Roman"/>
        </w:rPr>
      </w:pPr>
      <w:r>
        <w:rPr>
          <w:rFonts w:eastAsia="Times New Roman"/>
          <w:b/>
          <w:bCs/>
          <w:color w:val="000000"/>
          <w:sz w:val="20"/>
          <w:szCs w:val="20"/>
        </w:rPr>
        <w:t>Business Combinatio</w:t>
      </w:r>
      <w:r>
        <w:rPr>
          <w:rFonts w:eastAsia="Times New Roman"/>
          <w:b/>
          <w:bCs/>
          <w:color w:val="000000"/>
          <w:sz w:val="20"/>
          <w:szCs w:val="20"/>
        </w:rPr>
        <w:t>n Purchase Price Allocations</w:t>
      </w:r>
    </w:p>
    <w:p w:rsidR="00000000" w:rsidRDefault="00DF5BC2">
      <w:pPr>
        <w:jc w:val="both"/>
        <w:divId w:val="1473670923"/>
        <w:rPr>
          <w:rFonts w:eastAsia="Times New Roman"/>
        </w:rPr>
      </w:pPr>
      <w:r>
        <w:rPr>
          <w:rFonts w:eastAsia="Times New Roman"/>
          <w:color w:val="000000"/>
          <w:sz w:val="20"/>
          <w:szCs w:val="20"/>
        </w:rPr>
        <w:t>From time to time, the Company enters into material business combinations. The purchase price is allocated to the various assets acquired and liabilities assumed at their estimated fair value as of the acquisition date with the</w:t>
      </w:r>
      <w:r>
        <w:rPr>
          <w:rFonts w:eastAsia="Times New Roman"/>
          <w:color w:val="000000"/>
          <w:sz w:val="20"/>
          <w:szCs w:val="20"/>
        </w:rPr>
        <w:t xml:space="preserve"> residual of the purchase price allocated to goodwill. Fair values of assets acquired and liabilities assumed are based upon available information. Estimating fair values is generally subject to significant judgment, estimates and assumptions especially wi</w:t>
      </w:r>
      <w:r>
        <w:rPr>
          <w:rFonts w:eastAsia="Times New Roman"/>
          <w:color w:val="000000"/>
          <w:sz w:val="20"/>
          <w:szCs w:val="20"/>
        </w:rPr>
        <w:t>th respect to intangible assets. The allocation of the purchase price may be modified up to one year after the acquisition date, under certain circumstances, as more information is obtained about the fair value of assets acquired and liabilities assumed.</w:t>
      </w:r>
    </w:p>
    <w:p w:rsidR="00000000" w:rsidRDefault="00DF5BC2">
      <w:pPr>
        <w:jc w:val="both"/>
        <w:divId w:val="251015563"/>
        <w:rPr>
          <w:rFonts w:eastAsia="Times New Roman"/>
        </w:rPr>
      </w:pPr>
      <w:r>
        <w:rPr>
          <w:rFonts w:eastAsia="Times New Roman"/>
          <w:b/>
          <w:bCs/>
          <w:color w:val="000000"/>
          <w:sz w:val="20"/>
          <w:szCs w:val="20"/>
        </w:rPr>
        <w:t>F</w:t>
      </w:r>
      <w:r>
        <w:rPr>
          <w:rFonts w:eastAsia="Times New Roman"/>
          <w:b/>
          <w:bCs/>
          <w:color w:val="000000"/>
          <w:sz w:val="20"/>
          <w:szCs w:val="20"/>
        </w:rPr>
        <w:t>oreign Currency Translation</w:t>
      </w:r>
    </w:p>
    <w:p w:rsidR="00000000" w:rsidRDefault="00DF5BC2">
      <w:pPr>
        <w:jc w:val="both"/>
        <w:divId w:val="1195121843"/>
        <w:rPr>
          <w:rFonts w:eastAsia="Times New Roman"/>
        </w:rPr>
      </w:pPr>
      <w:r>
        <w:rPr>
          <w:rFonts w:eastAsia="Times New Roman"/>
          <w:color w:val="000000"/>
          <w:sz w:val="20"/>
          <w:szCs w:val="20"/>
        </w:rPr>
        <w:t>Balance sheets of international subsidiaries are translated into U.S. dollars using the exchange rate at the balance sheet date. Income statements and equity investee results are translated into U.S. dollars using an average exc</w:t>
      </w:r>
      <w:r>
        <w:rPr>
          <w:rFonts w:eastAsia="Times New Roman"/>
          <w:color w:val="000000"/>
          <w:sz w:val="20"/>
          <w:szCs w:val="20"/>
        </w:rPr>
        <w:t>hange rate for each reporting period. Where the local currency is the functional currency, translation adjustments are recorded in other comprehensive income. Transactions denominated in currencies other than the functional currency are recorded based on e</w:t>
      </w:r>
      <w:r>
        <w:rPr>
          <w:rFonts w:eastAsia="Times New Roman"/>
          <w:color w:val="000000"/>
          <w:sz w:val="20"/>
          <w:szCs w:val="20"/>
        </w:rPr>
        <w:t>xchange rates at the time such transactions arise with the impact of subsequent changes in such rates reflected in the income statement. The functional currency of a significant portion of our international operations is the euro.</w:t>
      </w:r>
    </w:p>
    <w:p w:rsidR="00000000" w:rsidRDefault="00DF5BC2">
      <w:pPr>
        <w:jc w:val="both"/>
        <w:divId w:val="345407208"/>
        <w:rPr>
          <w:rFonts w:eastAsia="Times New Roman"/>
        </w:rPr>
      </w:pPr>
      <w:r>
        <w:rPr>
          <w:rFonts w:eastAsia="Times New Roman"/>
          <w:b/>
          <w:bCs/>
          <w:color w:val="000000"/>
          <w:sz w:val="20"/>
          <w:szCs w:val="20"/>
        </w:rPr>
        <w:t>Revenue Recognition</w:t>
      </w:r>
    </w:p>
    <w:p w:rsidR="00000000" w:rsidRDefault="00DF5BC2">
      <w:pPr>
        <w:jc w:val="both"/>
        <w:divId w:val="984309926"/>
        <w:rPr>
          <w:rFonts w:eastAsia="Times New Roman"/>
        </w:rPr>
      </w:pPr>
      <w:r>
        <w:rPr>
          <w:rFonts w:eastAsia="Times New Roman"/>
          <w:color w:val="000000"/>
          <w:sz w:val="20"/>
          <w:szCs w:val="20"/>
        </w:rPr>
        <w:t>In ac</w:t>
      </w:r>
      <w:r>
        <w:rPr>
          <w:rFonts w:eastAsia="Times New Roman"/>
          <w:color w:val="000000"/>
          <w:sz w:val="20"/>
          <w:szCs w:val="20"/>
        </w:rPr>
        <w:t>cordance with ASC 606, the Company recognizes revenue when control of promised goods or services is transferred to customers in an amount that reflects the consideration to which we expect to be entitled in exchange for those goods or services. Certain rev</w:t>
      </w:r>
      <w:r>
        <w:rPr>
          <w:rFonts w:eastAsia="Times New Roman"/>
          <w:color w:val="000000"/>
          <w:sz w:val="20"/>
          <w:szCs w:val="20"/>
        </w:rPr>
        <w:t>enues such as revenue from leases, financial instruments and other revenues are not within the scope of ASC 606 because they are not from contracts with customers. Such revenues are accounted for in accordance with other GAAP. Revenue-related taxes collect</w:t>
      </w:r>
      <w:r>
        <w:rPr>
          <w:rFonts w:eastAsia="Times New Roman"/>
          <w:color w:val="000000"/>
          <w:sz w:val="20"/>
          <w:szCs w:val="20"/>
        </w:rPr>
        <w:t>ed on behalf of customers and remitted to taxing authorities, principally sales and use taxes, are not included in revenues. Gross receipts taxes at Midstream &amp; Marketing, Mountaineer and Electric Utility are presented on a gross basis. The Company has ele</w:t>
      </w:r>
      <w:r>
        <w:rPr>
          <w:rFonts w:eastAsia="Times New Roman"/>
          <w:color w:val="000000"/>
          <w:sz w:val="20"/>
          <w:szCs w:val="20"/>
        </w:rPr>
        <w:t>cted to use the practical expedient to expense the costs to obtain contracts when incurred for contracts that have a term less than one year. The costs incurred to obtain contracts that have durations of longer than one year are not material. See Note 4 fo</w:t>
      </w:r>
      <w:r>
        <w:rPr>
          <w:rFonts w:eastAsia="Times New Roman"/>
          <w:color w:val="000000"/>
          <w:sz w:val="20"/>
          <w:szCs w:val="20"/>
        </w:rPr>
        <w:t>r additional disclosures regarding the Company’s revenue from contracts with customers.</w:t>
      </w:r>
    </w:p>
    <w:p w:rsidR="00000000" w:rsidRDefault="00DF5BC2">
      <w:pPr>
        <w:jc w:val="both"/>
        <w:divId w:val="1517039557"/>
        <w:rPr>
          <w:rFonts w:eastAsia="Times New Roman"/>
        </w:rPr>
      </w:pPr>
      <w:r>
        <w:rPr>
          <w:rFonts w:eastAsia="Times New Roman"/>
          <w:b/>
          <w:bCs/>
          <w:color w:val="000000"/>
          <w:sz w:val="20"/>
          <w:szCs w:val="20"/>
        </w:rPr>
        <w:t>Accounts Receivable</w:t>
      </w:r>
    </w:p>
    <w:p w:rsidR="00000000" w:rsidRDefault="00DF5BC2">
      <w:pPr>
        <w:jc w:val="both"/>
        <w:divId w:val="823745336"/>
        <w:rPr>
          <w:rFonts w:eastAsia="Times New Roman"/>
        </w:rPr>
      </w:pPr>
      <w:r>
        <w:rPr>
          <w:rFonts w:eastAsia="Times New Roman"/>
          <w:color w:val="000000"/>
          <w:sz w:val="20"/>
          <w:szCs w:val="20"/>
        </w:rPr>
        <w:t>Accounts receivable are reported on the Consolidated Balance Sheets at the gross outstanding amount adjusted for an allowance for doubtful accounts.</w:t>
      </w:r>
      <w:r>
        <w:rPr>
          <w:rFonts w:eastAsia="Times New Roman"/>
          <w:color w:val="000000"/>
          <w:sz w:val="20"/>
          <w:szCs w:val="20"/>
        </w:rPr>
        <w:t xml:space="preserve"> Accounts receivable that are acquired are initially recorded at fair value on the date of acquisition. Provisions for uncollectible accounts are established based upon our collection experience, the assessment of the collectability of specific amounts and</w:t>
      </w:r>
      <w:r>
        <w:rPr>
          <w:rFonts w:eastAsia="Times New Roman"/>
          <w:color w:val="000000"/>
          <w:sz w:val="20"/>
          <w:szCs w:val="20"/>
        </w:rPr>
        <w:t xml:space="preserve"> the Company’s best estimate of current expected credit losses. Accounts receivable are written off in the period in which the receivable is deemed uncollectible.</w:t>
      </w:r>
    </w:p>
    <w:p w:rsidR="00000000" w:rsidRDefault="00DF5BC2">
      <w:pPr>
        <w:jc w:val="both"/>
        <w:divId w:val="506286556"/>
        <w:rPr>
          <w:rFonts w:eastAsia="Times New Roman"/>
        </w:rPr>
      </w:pPr>
      <w:r>
        <w:rPr>
          <w:rFonts w:eastAsia="Times New Roman"/>
          <w:b/>
          <w:bCs/>
          <w:color w:val="000000"/>
          <w:sz w:val="20"/>
          <w:szCs w:val="20"/>
        </w:rPr>
        <w:t>LPG Delivery Expenses</w:t>
      </w:r>
    </w:p>
    <w:p w:rsidR="00000000" w:rsidRDefault="00DF5BC2">
      <w:pPr>
        <w:jc w:val="both"/>
        <w:divId w:val="248080568"/>
        <w:rPr>
          <w:rFonts w:eastAsia="Times New Roman"/>
        </w:rPr>
      </w:pPr>
      <w:r>
        <w:rPr>
          <w:rFonts w:eastAsia="Times New Roman"/>
          <w:color w:val="000000"/>
          <w:sz w:val="20"/>
          <w:szCs w:val="20"/>
        </w:rPr>
        <w:t>Expenses associated with the delivery of LPG to customers of the Partne</w:t>
      </w:r>
      <w:r>
        <w:rPr>
          <w:rFonts w:eastAsia="Times New Roman"/>
          <w:color w:val="000000"/>
          <w:sz w:val="20"/>
          <w:szCs w:val="20"/>
        </w:rPr>
        <w:t xml:space="preserve">rship and our UGI International operations (including vehicle expenses, expenses of delivery personnel, vehicle repair and maintenance and general liability expenses) are classified as “Operating and administrative expenses” on the Consolidated Statements </w:t>
      </w:r>
      <w:r>
        <w:rPr>
          <w:rFonts w:eastAsia="Times New Roman"/>
          <w:color w:val="000000"/>
          <w:sz w:val="20"/>
          <w:szCs w:val="20"/>
        </w:rPr>
        <w:t>of Income. Depreciation expense associated with the Partnership and UGI International delivery vehicles is classified in “Depreciation and amortization” on the Consolidated Statements of Income.</w:t>
      </w:r>
    </w:p>
    <w:p w:rsidR="00000000" w:rsidRDefault="00DF5BC2">
      <w:pPr>
        <w:jc w:val="both"/>
        <w:divId w:val="1916547759"/>
        <w:rPr>
          <w:rFonts w:eastAsia="Times New Roman"/>
        </w:rPr>
      </w:pPr>
      <w:r>
        <w:rPr>
          <w:rFonts w:eastAsia="Times New Roman"/>
          <w:b/>
          <w:bCs/>
          <w:color w:val="000000"/>
          <w:sz w:val="20"/>
          <w:szCs w:val="20"/>
        </w:rPr>
        <w:t>Income Taxes</w:t>
      </w:r>
    </w:p>
    <w:p w:rsidR="00000000" w:rsidRDefault="00DF5BC2">
      <w:pPr>
        <w:jc w:val="both"/>
        <w:divId w:val="2023510249"/>
        <w:rPr>
          <w:rFonts w:eastAsia="Times New Roman"/>
        </w:rPr>
      </w:pPr>
      <w:r>
        <w:rPr>
          <w:rFonts w:eastAsia="Times New Roman"/>
          <w:color w:val="000000"/>
          <w:sz w:val="20"/>
          <w:szCs w:val="20"/>
        </w:rPr>
        <w:t>AmeriGas Partners and AmeriGas OLP are not direc</w:t>
      </w:r>
      <w:r>
        <w:rPr>
          <w:rFonts w:eastAsia="Times New Roman"/>
          <w:color w:val="000000"/>
          <w:sz w:val="20"/>
          <w:szCs w:val="20"/>
        </w:rPr>
        <w:t>tly subject to federal income taxes. Instead, their taxable income or loss is allocated to the individual partners which, prior to the AmeriGas Merger, included public holders of AmeriGas Partners Common Units. We record income taxes on (1) our share of th</w:t>
      </w:r>
      <w:r>
        <w:rPr>
          <w:rFonts w:eastAsia="Times New Roman"/>
          <w:color w:val="000000"/>
          <w:sz w:val="20"/>
          <w:szCs w:val="20"/>
        </w:rPr>
        <w:t>e Partnership’s current taxable income or loss and (2) the differences between the book and tax basis of our investment in the Partnership. AmeriGas OLP has subsidiaries which operate in corporate form and are directly subject to federal and state income t</w:t>
      </w:r>
      <w:r>
        <w:rPr>
          <w:rFonts w:eastAsia="Times New Roman"/>
          <w:color w:val="000000"/>
          <w:sz w:val="20"/>
          <w:szCs w:val="20"/>
        </w:rPr>
        <w:t xml:space="preserve">axes. Legislation in certain states allows for taxation of partnership income and the accompanying financial statements reflect state income taxes resulting from such legislation. </w:t>
      </w:r>
    </w:p>
    <w:p w:rsidR="00000000" w:rsidRDefault="00DF5BC2">
      <w:pPr>
        <w:jc w:val="both"/>
        <w:divId w:val="134106590"/>
        <w:rPr>
          <w:rFonts w:eastAsia="Times New Roman"/>
        </w:rPr>
      </w:pPr>
      <w:r>
        <w:rPr>
          <w:rFonts w:eastAsia="Times New Roman"/>
          <w:color w:val="000000"/>
          <w:sz w:val="20"/>
          <w:szCs w:val="20"/>
        </w:rPr>
        <w:t xml:space="preserve">UGI Utilities records deferred income taxes in the Consolidated Statements </w:t>
      </w:r>
      <w:r>
        <w:rPr>
          <w:rFonts w:eastAsia="Times New Roman"/>
          <w:color w:val="000000"/>
          <w:sz w:val="20"/>
          <w:szCs w:val="20"/>
        </w:rPr>
        <w:t>of Income resulting from the use of accelerated tax depreciation methods based upon amounts recognized for ratemaking purposes. UGI Utilities also records a deferred income tax liability for tax benefits, principally the result of accelerated tax depreciat</w:t>
      </w:r>
      <w:r>
        <w:rPr>
          <w:rFonts w:eastAsia="Times New Roman"/>
          <w:color w:val="000000"/>
          <w:sz w:val="20"/>
          <w:szCs w:val="20"/>
        </w:rPr>
        <w:t xml:space="preserve">ion for state income tax purposes, that are flowed </w:t>
      </w:r>
    </w:p>
    <w:p w:rsidR="00000000" w:rsidRDefault="00DF5BC2">
      <w:pPr>
        <w:jc w:val="center"/>
        <w:divId w:val="1388457583"/>
        <w:rPr>
          <w:rFonts w:eastAsia="Times New Roman"/>
        </w:rPr>
      </w:pPr>
      <w:r>
        <w:rPr>
          <w:rFonts w:eastAsia="Times New Roman"/>
          <w:color w:val="000000"/>
          <w:sz w:val="20"/>
          <w:szCs w:val="20"/>
        </w:rPr>
        <w:t>F-14</w:t>
      </w:r>
    </w:p>
    <w:p w:rsidR="00000000" w:rsidRDefault="00DF5BC2">
      <w:pPr>
        <w:rPr>
          <w:rFonts w:eastAsia="Times New Roman"/>
        </w:rPr>
      </w:pPr>
      <w:r>
        <w:rPr>
          <w:rFonts w:eastAsia="Times New Roman"/>
        </w:rPr>
        <w:pict>
          <v:rect id="_x0000_i1128" style="width:0;height:1.5pt" o:hralign="center" o:hrstd="t" o:hr="t" fillcolor="#a0a0a0" stroked="f"/>
        </w:pict>
      </w:r>
    </w:p>
    <w:p w:rsidR="00000000" w:rsidRDefault="00DF5BC2">
      <w:pPr>
        <w:divId w:val="126268661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228226537"/>
        <w:rPr>
          <w:rFonts w:eastAsia="Times New Roman"/>
        </w:rPr>
      </w:pPr>
      <w:r>
        <w:rPr>
          <w:rFonts w:eastAsia="Times New Roman"/>
          <w:b/>
          <w:bCs/>
          <w:color w:val="000000"/>
          <w:sz w:val="20"/>
          <w:szCs w:val="20"/>
        </w:rPr>
        <w:t>UGI Corporation and Subsidiaries</w:t>
      </w:r>
    </w:p>
    <w:p w:rsidR="00000000" w:rsidRDefault="00DF5BC2">
      <w:pPr>
        <w:divId w:val="315643951"/>
        <w:rPr>
          <w:rFonts w:eastAsia="Times New Roman"/>
        </w:rPr>
      </w:pPr>
      <w:r>
        <w:rPr>
          <w:rFonts w:eastAsia="Times New Roman"/>
          <w:b/>
          <w:bCs/>
          <w:color w:val="000000"/>
          <w:sz w:val="20"/>
          <w:szCs w:val="20"/>
        </w:rPr>
        <w:t>Notes to Consolidated Financial Statements</w:t>
      </w:r>
    </w:p>
    <w:p w:rsidR="00000000" w:rsidRDefault="00DF5BC2">
      <w:pPr>
        <w:divId w:val="817571318"/>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698627907"/>
        <w:rPr>
          <w:rFonts w:eastAsia="Times New Roman"/>
        </w:rPr>
      </w:pPr>
      <w:r>
        <w:rPr>
          <w:rFonts w:eastAsia="Times New Roman"/>
          <w:color w:val="000000"/>
          <w:sz w:val="20"/>
          <w:szCs w:val="20"/>
        </w:rPr>
        <w:t>through to ratepayers when temporary differences originate and records a regulatory income tax asset for the probable increase in futu</w:t>
      </w:r>
      <w:r>
        <w:rPr>
          <w:rFonts w:eastAsia="Times New Roman"/>
          <w:color w:val="000000"/>
          <w:sz w:val="20"/>
          <w:szCs w:val="20"/>
        </w:rPr>
        <w:t>re revenues that will result when the temporary differences reverse.</w:t>
      </w:r>
    </w:p>
    <w:p w:rsidR="00000000" w:rsidRDefault="00DF5BC2">
      <w:pPr>
        <w:jc w:val="both"/>
        <w:divId w:val="328488836"/>
        <w:rPr>
          <w:rFonts w:eastAsia="Times New Roman"/>
        </w:rPr>
      </w:pPr>
      <w:r>
        <w:rPr>
          <w:rFonts w:eastAsia="Times New Roman"/>
          <w:color w:val="000000"/>
          <w:sz w:val="20"/>
          <w:szCs w:val="20"/>
        </w:rPr>
        <w:t>We record interest on underpayments and overpayments of income taxes, and income tax penalties, in “Income tax expense” on the Consolidated Statements of Income. Interest income or expense recognized in “Income tax expense” on the Consolidated Statements o</w:t>
      </w:r>
      <w:r>
        <w:rPr>
          <w:rFonts w:eastAsia="Times New Roman"/>
          <w:color w:val="000000"/>
          <w:sz w:val="20"/>
          <w:szCs w:val="20"/>
        </w:rPr>
        <w:t xml:space="preserve">f Income was not material for all periods presented. </w:t>
      </w:r>
    </w:p>
    <w:p w:rsidR="00000000" w:rsidRDefault="00DF5BC2">
      <w:pPr>
        <w:jc w:val="both"/>
        <w:divId w:val="347098973"/>
        <w:rPr>
          <w:rFonts w:eastAsia="Times New Roman"/>
        </w:rPr>
      </w:pPr>
      <w:r>
        <w:rPr>
          <w:rFonts w:eastAsia="Times New Roman"/>
          <w:b/>
          <w:bCs/>
          <w:color w:val="000000"/>
          <w:sz w:val="20"/>
          <w:szCs w:val="20"/>
        </w:rPr>
        <w:t>Earnings Per Common Share</w:t>
      </w:r>
    </w:p>
    <w:p w:rsidR="00000000" w:rsidRDefault="00DF5BC2">
      <w:pPr>
        <w:jc w:val="both"/>
        <w:divId w:val="1212032616"/>
        <w:rPr>
          <w:rFonts w:eastAsia="Times New Roman"/>
        </w:rPr>
      </w:pPr>
      <w:r>
        <w:rPr>
          <w:rFonts w:eastAsia="Times New Roman"/>
          <w:color w:val="000000"/>
          <w:sz w:val="20"/>
          <w:szCs w:val="20"/>
        </w:rPr>
        <w:t xml:space="preserve">Basic earnings per share attributable to UGI Corporation stockholders reflect the weighted-average number of common shares outstanding. Diluted earnings per share attributable </w:t>
      </w:r>
      <w:r>
        <w:rPr>
          <w:rFonts w:eastAsia="Times New Roman"/>
          <w:color w:val="000000"/>
          <w:sz w:val="20"/>
          <w:szCs w:val="20"/>
        </w:rPr>
        <w:t>to UGI Corporation include the effects of dilutive stock options, common stock awards and Equity Units. Shares used in computing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58"/>
        <w:gridCol w:w="5095"/>
        <w:gridCol w:w="37"/>
        <w:gridCol w:w="36"/>
        <w:gridCol w:w="36"/>
        <w:gridCol w:w="36"/>
        <w:gridCol w:w="63"/>
        <w:gridCol w:w="831"/>
        <w:gridCol w:w="36"/>
        <w:gridCol w:w="36"/>
        <w:gridCol w:w="36"/>
        <w:gridCol w:w="36"/>
        <w:gridCol w:w="63"/>
        <w:gridCol w:w="831"/>
        <w:gridCol w:w="36"/>
        <w:gridCol w:w="36"/>
        <w:gridCol w:w="36"/>
        <w:gridCol w:w="36"/>
        <w:gridCol w:w="63"/>
        <w:gridCol w:w="833"/>
        <w:gridCol w:w="36"/>
      </w:tblGrid>
      <w:tr w:rsidR="00000000">
        <w:trPr>
          <w:divId w:val="1165248524"/>
        </w:trPr>
        <w:tc>
          <w:tcPr>
            <w:tcW w:w="50" w:type="pct"/>
            <w:vAlign w:val="center"/>
            <w:hideMark/>
          </w:tcPr>
          <w:p w:rsidR="00000000" w:rsidRDefault="00DF5BC2">
            <w:pPr>
              <w:jc w:val="both"/>
              <w:rPr>
                <w:rFonts w:eastAsia="Times New Roman"/>
              </w:rPr>
            </w:pPr>
          </w:p>
        </w:tc>
        <w:tc>
          <w:tcPr>
            <w:tcW w:w="30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165248524"/>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(Thousands of shares)</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116524852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Weighted-average common shares outstanding for basic computation (a)</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208,928 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178,417 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5248524"/>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Incremental shares issuable for stock options, common stock awards and Equity Units (b) (c)</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3,063 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2,694 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5248524"/>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Weighted-average common shares outstanding for diluted computation</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212,126 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209,869 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181,111 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(a)Fiscal 2019 includes the partial-year impact from the August 2019 issuance of 34,613 shares of UGI Common Stock in connection with the AmeriGas Merger (see Note 5).</w:t>
      </w:r>
    </w:p>
    <w:p w:rsidR="00000000" w:rsidRDefault="00DF5BC2">
      <w:pPr>
        <w:ind w:hanging="360"/>
        <w:jc w:val="both"/>
        <w:rPr>
          <w:rFonts w:eastAsia="Times New Roman"/>
        </w:rPr>
      </w:pPr>
      <w:r>
        <w:rPr>
          <w:rFonts w:eastAsia="Times New Roman"/>
          <w:color w:val="000000"/>
          <w:sz w:val="20"/>
          <w:szCs w:val="20"/>
        </w:rPr>
        <w:t>(b)Fiscal 202</w:t>
      </w:r>
      <w:r>
        <w:rPr>
          <w:rFonts w:eastAsia="Times New Roman"/>
          <w:color w:val="000000"/>
          <w:sz w:val="20"/>
          <w:szCs w:val="20"/>
        </w:rPr>
        <w:t>1 includes the partial-year impact of common shares assumed to be outstanding under the if-converted method in connection with the May 2021 issuance of Equity Units (see Note 13).</w:t>
      </w:r>
    </w:p>
    <w:p w:rsidR="00000000" w:rsidRDefault="00DF5BC2">
      <w:pPr>
        <w:ind w:hanging="360"/>
        <w:jc w:val="both"/>
        <w:rPr>
          <w:rFonts w:eastAsia="Times New Roman"/>
        </w:rPr>
      </w:pPr>
      <w:r>
        <w:rPr>
          <w:rFonts w:eastAsia="Times New Roman"/>
          <w:color w:val="000000"/>
          <w:sz w:val="20"/>
          <w:szCs w:val="20"/>
        </w:rPr>
        <w:t>(c)</w:t>
      </w:r>
      <w:r>
        <w:rPr>
          <w:rFonts w:eastAsia="Times New Roman"/>
          <w:color w:val="000000"/>
          <w:sz w:val="20"/>
          <w:szCs w:val="20"/>
        </w:rPr>
        <w:t xml:space="preserve">For Fiscal 2021, Fiscal 2020 and Fiscal 2019 there were 5,267 shares, 7,056 shares and 1,162 shares, respectively, associated with outstanding stock option awards that were not included in the computation of diluted earnings per share because their effect </w:t>
      </w:r>
      <w:r>
        <w:rPr>
          <w:rFonts w:eastAsia="Times New Roman"/>
          <w:color w:val="000000"/>
          <w:sz w:val="20"/>
          <w:szCs w:val="20"/>
        </w:rPr>
        <w:t>was antidilutive.</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Cash, Cash Equivalents and Restricted Cash</w:t>
      </w:r>
    </w:p>
    <w:p w:rsidR="00000000" w:rsidRDefault="00DF5BC2">
      <w:pPr>
        <w:jc w:val="both"/>
        <w:divId w:val="517157138"/>
        <w:rPr>
          <w:rFonts w:eastAsia="Times New Roman"/>
        </w:rPr>
      </w:pPr>
      <w:r>
        <w:rPr>
          <w:rFonts w:eastAsia="Times New Roman"/>
          <w:color w:val="000000"/>
          <w:sz w:val="20"/>
          <w:szCs w:val="20"/>
        </w:rPr>
        <w:t xml:space="preserve">Cash and cash equivalents include cash on hand, cash in banks and highly liquid investments with maturities of three months or less when purchased. Restricted cash principally represents those </w:t>
      </w:r>
      <w:r>
        <w:rPr>
          <w:rFonts w:eastAsia="Times New Roman"/>
          <w:color w:val="000000"/>
          <w:sz w:val="20"/>
          <w:szCs w:val="20"/>
        </w:rPr>
        <w:t>cash balances in our commodity futures brokerage accounts that are restricted from withdrawal.</w:t>
      </w:r>
    </w:p>
    <w:p w:rsidR="00000000" w:rsidRDefault="00DF5BC2">
      <w:pPr>
        <w:jc w:val="both"/>
        <w:divId w:val="400374060"/>
        <w:rPr>
          <w:rFonts w:eastAsia="Times New Roman"/>
        </w:rPr>
      </w:pPr>
      <w:r>
        <w:rPr>
          <w:rFonts w:eastAsia="Times New Roman"/>
          <w:color w:val="000000"/>
          <w:sz w:val="20"/>
          <w:szCs w:val="20"/>
        </w:rPr>
        <w:t>The following table provides a reconciliation of the total cash, cash equivalents and restricted cash reported on the Consolidated Balance Sheets to the corresponding amounts reported on the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024"/>
        <w:gridCol w:w="36"/>
        <w:gridCol w:w="36"/>
        <w:gridCol w:w="36"/>
        <w:gridCol w:w="36"/>
        <w:gridCol w:w="120"/>
        <w:gridCol w:w="781"/>
        <w:gridCol w:w="36"/>
        <w:gridCol w:w="36"/>
        <w:gridCol w:w="36"/>
        <w:gridCol w:w="36"/>
        <w:gridCol w:w="120"/>
        <w:gridCol w:w="781"/>
        <w:gridCol w:w="36"/>
        <w:gridCol w:w="36"/>
        <w:gridCol w:w="36"/>
        <w:gridCol w:w="36"/>
        <w:gridCol w:w="120"/>
        <w:gridCol w:w="783"/>
        <w:gridCol w:w="36"/>
        <w:gridCol w:w="36"/>
        <w:gridCol w:w="36"/>
      </w:tblGrid>
      <w:tr w:rsidR="00000000">
        <w:trPr>
          <w:divId w:val="1475678449"/>
          <w:jc w:val="center"/>
        </w:trPr>
        <w:tc>
          <w:tcPr>
            <w:tcW w:w="50" w:type="pct"/>
            <w:vAlign w:val="center"/>
            <w:hideMark/>
          </w:tcPr>
          <w:p w:rsidR="00000000" w:rsidRDefault="00DF5BC2">
            <w:pPr>
              <w:jc w:val="both"/>
              <w:rPr>
                <w:rFonts w:eastAsia="Times New Roman"/>
              </w:rPr>
            </w:pPr>
          </w:p>
        </w:tc>
        <w:tc>
          <w:tcPr>
            <w:tcW w:w="30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475678449"/>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475678449"/>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475678449"/>
          <w:jc w:val="center"/>
        </w:trPr>
        <w:tc>
          <w:tcPr>
            <w:tcW w:w="0" w:type="auto"/>
            <w:gridSpan w:val="3"/>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Restricted cash</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475678449"/>
          <w:jc w:val="center"/>
        </w:trPr>
        <w:tc>
          <w:tcPr>
            <w:tcW w:w="0" w:type="auto"/>
            <w:gridSpan w:val="3"/>
            <w:shd w:val="clear" w:color="auto" w:fill="CCEEFF"/>
            <w:tcMar>
              <w:top w:w="30" w:type="dxa"/>
              <w:left w:w="20" w:type="dxa"/>
              <w:bottom w:w="30" w:type="dxa"/>
              <w:right w:w="20" w:type="dxa"/>
            </w:tcMar>
            <w:hideMark/>
          </w:tcPr>
          <w:p w:rsidR="00000000" w:rsidRDefault="00DF5BC2">
            <w:pPr>
              <w:spacing w:after="100"/>
              <w:rPr>
                <w:rFonts w:eastAsia="Times New Roman"/>
              </w:rPr>
            </w:pPr>
            <w:r>
              <w:rPr>
                <w:rFonts w:eastAsia="Times New Roman"/>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bl>
    <w:p w:rsidR="00000000" w:rsidRDefault="00DF5BC2">
      <w:pPr>
        <w:jc w:val="both"/>
        <w:divId w:val="95176371"/>
        <w:rPr>
          <w:rFonts w:eastAsia="Times New Roman"/>
        </w:rPr>
      </w:pPr>
      <w:r>
        <w:rPr>
          <w:rFonts w:eastAsia="Times New Roman"/>
          <w:b/>
          <w:bCs/>
          <w:color w:val="000000"/>
          <w:sz w:val="20"/>
          <w:szCs w:val="20"/>
        </w:rPr>
        <w:t>Inventories</w:t>
      </w:r>
    </w:p>
    <w:p w:rsidR="00000000" w:rsidRDefault="00DF5BC2">
      <w:pPr>
        <w:jc w:val="both"/>
        <w:divId w:val="1755281518"/>
        <w:rPr>
          <w:rFonts w:eastAsia="Times New Roman"/>
        </w:rPr>
      </w:pPr>
      <w:r>
        <w:rPr>
          <w:rFonts w:eastAsia="Times New Roman"/>
          <w:color w:val="000000"/>
          <w:sz w:val="20"/>
          <w:szCs w:val="20"/>
        </w:rPr>
        <w:t>Our inventories are stated at the lower of cost or net realizable value. We determine cost using an average cost method for non-utility LPG an</w:t>
      </w:r>
      <w:r>
        <w:rPr>
          <w:rFonts w:eastAsia="Times New Roman"/>
          <w:color w:val="000000"/>
          <w:sz w:val="20"/>
          <w:szCs w:val="20"/>
        </w:rPr>
        <w:t>d natural gas and utility inventories; specific identification for appliances; and the FIFO method for all other inventories.</w:t>
      </w:r>
    </w:p>
    <w:p w:rsidR="00000000" w:rsidRDefault="00DF5BC2">
      <w:pPr>
        <w:jc w:val="both"/>
        <w:divId w:val="1023434610"/>
        <w:rPr>
          <w:rFonts w:eastAsia="Times New Roman"/>
        </w:rPr>
      </w:pPr>
      <w:r>
        <w:rPr>
          <w:rFonts w:eastAsia="Times New Roman"/>
          <w:color w:val="000000"/>
          <w:sz w:val="20"/>
          <w:szCs w:val="20"/>
        </w:rPr>
        <w:t>The Company accounts for renewable energy certificates as inventory, which generally represents costs incurred to generate a certificate for sale. The Company recognizes revenue from the sale of renewable energy certificates when control of the certificate</w:t>
      </w:r>
      <w:r>
        <w:rPr>
          <w:rFonts w:eastAsia="Times New Roman"/>
          <w:color w:val="000000"/>
          <w:sz w:val="20"/>
          <w:szCs w:val="20"/>
        </w:rPr>
        <w:t xml:space="preserve"> is transferred to the buyer, and the cost of the certificate, if any, is then recorded within “Cost of sales” on the Consolidated Statements of Income.</w:t>
      </w:r>
    </w:p>
    <w:p w:rsidR="00000000" w:rsidRDefault="00DF5BC2">
      <w:pPr>
        <w:jc w:val="both"/>
        <w:divId w:val="1002858789"/>
        <w:rPr>
          <w:rFonts w:eastAsia="Times New Roman"/>
        </w:rPr>
      </w:pPr>
      <w:r>
        <w:rPr>
          <w:rFonts w:eastAsia="Times New Roman"/>
          <w:b/>
          <w:bCs/>
          <w:color w:val="000000"/>
          <w:sz w:val="20"/>
          <w:szCs w:val="20"/>
        </w:rPr>
        <w:t>Property, Plant and Equipment and Related Depreciation</w:t>
      </w:r>
    </w:p>
    <w:p w:rsidR="00000000" w:rsidRDefault="00DF5BC2">
      <w:pPr>
        <w:jc w:val="both"/>
        <w:divId w:val="1423454595"/>
        <w:rPr>
          <w:rFonts w:eastAsia="Times New Roman"/>
        </w:rPr>
      </w:pPr>
      <w:r>
        <w:rPr>
          <w:rFonts w:eastAsia="Times New Roman"/>
          <w:color w:val="000000"/>
          <w:sz w:val="20"/>
          <w:szCs w:val="20"/>
        </w:rPr>
        <w:t>We record property, plant and equipment at the l</w:t>
      </w:r>
      <w:r>
        <w:rPr>
          <w:rFonts w:eastAsia="Times New Roman"/>
          <w:color w:val="000000"/>
          <w:sz w:val="20"/>
          <w:szCs w:val="20"/>
        </w:rPr>
        <w:t>ower of original cost or fair value, if impaired. Capitalized costs include labor, materials and other direct and indirect costs, and for certain operations subject to cost-of-service rate regulation, AFUDC. We also include in property, plant and equipment</w:t>
      </w:r>
      <w:r>
        <w:rPr>
          <w:rFonts w:eastAsia="Times New Roman"/>
          <w:color w:val="000000"/>
          <w:sz w:val="20"/>
          <w:szCs w:val="20"/>
        </w:rPr>
        <w:t xml:space="preserve"> costs associated with computer software we develop or obtain for use in our business. The amounts assigned to property, plant and equipment of acquired businesses are based upon estimated fair value at </w:t>
      </w:r>
    </w:p>
    <w:p w:rsidR="00000000" w:rsidRDefault="00DF5BC2">
      <w:pPr>
        <w:jc w:val="center"/>
        <w:divId w:val="236326137"/>
        <w:rPr>
          <w:rFonts w:eastAsia="Times New Roman"/>
        </w:rPr>
      </w:pPr>
      <w:r>
        <w:rPr>
          <w:rFonts w:eastAsia="Times New Roman"/>
          <w:color w:val="000000"/>
          <w:sz w:val="20"/>
          <w:szCs w:val="20"/>
        </w:rPr>
        <w:t>F-15</w:t>
      </w:r>
    </w:p>
    <w:p w:rsidR="00000000" w:rsidRDefault="00DF5BC2">
      <w:pPr>
        <w:rPr>
          <w:rFonts w:eastAsia="Times New Roman"/>
        </w:rPr>
      </w:pPr>
      <w:r>
        <w:rPr>
          <w:rFonts w:eastAsia="Times New Roman"/>
        </w:rPr>
        <w:pict>
          <v:rect id="_x0000_i1129" style="width:0;height:1.5pt" o:hralign="center" o:hrstd="t" o:hr="t" fillcolor="#a0a0a0" stroked="f"/>
        </w:pict>
      </w:r>
    </w:p>
    <w:p w:rsidR="00000000" w:rsidRDefault="00DF5BC2">
      <w:pPr>
        <w:divId w:val="430246392"/>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6122649"/>
        <w:rPr>
          <w:rFonts w:eastAsia="Times New Roman"/>
        </w:rPr>
      </w:pPr>
      <w:r>
        <w:rPr>
          <w:rFonts w:eastAsia="Times New Roman"/>
          <w:b/>
          <w:bCs/>
          <w:color w:val="000000"/>
          <w:sz w:val="20"/>
          <w:szCs w:val="20"/>
        </w:rPr>
        <w:t>UGI Corporation and Subsidiaries</w:t>
      </w:r>
    </w:p>
    <w:p w:rsidR="00000000" w:rsidRDefault="00DF5BC2">
      <w:pPr>
        <w:divId w:val="1783720112"/>
        <w:rPr>
          <w:rFonts w:eastAsia="Times New Roman"/>
        </w:rPr>
      </w:pPr>
      <w:r>
        <w:rPr>
          <w:rFonts w:eastAsia="Times New Roman"/>
          <w:b/>
          <w:bCs/>
          <w:color w:val="000000"/>
          <w:sz w:val="20"/>
          <w:szCs w:val="20"/>
        </w:rPr>
        <w:t>Notes to Consolidated Financial Statements</w:t>
      </w:r>
    </w:p>
    <w:p w:rsidR="00000000" w:rsidRDefault="00DF5BC2">
      <w:pPr>
        <w:divId w:val="1339701003"/>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212547368"/>
        <w:rPr>
          <w:rFonts w:eastAsia="Times New Roman"/>
        </w:rPr>
      </w:pPr>
      <w:r>
        <w:rPr>
          <w:rFonts w:eastAsia="Times New Roman"/>
          <w:color w:val="000000"/>
          <w:sz w:val="20"/>
          <w:szCs w:val="20"/>
        </w:rPr>
        <w:t>date of acquisition. When we retire or otherwise dispose of non-utility plant and equipment, we eliminate the associated cost and accumulated depreciation and recognize any resu</w:t>
      </w:r>
      <w:r>
        <w:rPr>
          <w:rFonts w:eastAsia="Times New Roman"/>
          <w:color w:val="000000"/>
          <w:sz w:val="20"/>
          <w:szCs w:val="20"/>
        </w:rPr>
        <w:t>lting gain or loss in "Other operating income, net" on the Consolidated Statements of Income. For property subject to cost of service rate regulation, upon retirement we charge the original cost to accumulated depreciation for financial accounting purposes</w:t>
      </w:r>
      <w:r>
        <w:rPr>
          <w:rFonts w:eastAsia="Times New Roman"/>
          <w:color w:val="000000"/>
          <w:sz w:val="20"/>
          <w:szCs w:val="20"/>
        </w:rPr>
        <w:t>. Costs incurred to retire UGI Utilities, Inc. plant and equipment, net of salvage, are recorded in regulatory assets and amortized over five years, consistent with prior ratemaking treatment.</w:t>
      </w:r>
    </w:p>
    <w:p w:rsidR="00000000" w:rsidRDefault="00DF5BC2">
      <w:pPr>
        <w:jc w:val="both"/>
        <w:divId w:val="58210679"/>
        <w:rPr>
          <w:rFonts w:eastAsia="Times New Roman"/>
        </w:rPr>
      </w:pPr>
      <w:r>
        <w:rPr>
          <w:rFonts w:eastAsia="Times New Roman"/>
          <w:color w:val="000000"/>
          <w:sz w:val="20"/>
          <w:szCs w:val="20"/>
        </w:rPr>
        <w:t>We record depreciation expense on non-utility plant and equipme</w:t>
      </w:r>
      <w:r>
        <w:rPr>
          <w:rFonts w:eastAsia="Times New Roman"/>
          <w:color w:val="000000"/>
          <w:sz w:val="20"/>
          <w:szCs w:val="20"/>
        </w:rPr>
        <w:t>nt on a straight-line basis over estimated economic useful lives. We record depreciation expense for UGI Utilities’ plant and equipment on a straight-line basis based upon the projected service lives of the various classes of its depreciable property. We c</w:t>
      </w:r>
      <w:r>
        <w:rPr>
          <w:rFonts w:eastAsia="Times New Roman"/>
          <w:color w:val="000000"/>
          <w:sz w:val="20"/>
          <w:szCs w:val="20"/>
        </w:rPr>
        <w:t>lassify amortization of computer software and related IT system installation costs included in property, plant and equipment as depreciation expense. No depreciation expense is included in cost of sales on the Consolidated Statements of Income.</w:t>
      </w:r>
    </w:p>
    <w:p w:rsidR="00000000" w:rsidRDefault="00DF5BC2">
      <w:pPr>
        <w:jc w:val="both"/>
        <w:divId w:val="732655808"/>
        <w:rPr>
          <w:rFonts w:eastAsia="Times New Roman"/>
        </w:rPr>
      </w:pPr>
      <w:r>
        <w:rPr>
          <w:rFonts w:eastAsia="Times New Roman"/>
          <w:b/>
          <w:bCs/>
          <w:color w:val="000000"/>
          <w:sz w:val="20"/>
          <w:szCs w:val="20"/>
        </w:rPr>
        <w:t>Goodwill an</w:t>
      </w:r>
      <w:r>
        <w:rPr>
          <w:rFonts w:eastAsia="Times New Roman"/>
          <w:b/>
          <w:bCs/>
          <w:color w:val="000000"/>
          <w:sz w:val="20"/>
          <w:szCs w:val="20"/>
        </w:rPr>
        <w:t>d Intangible Assets</w:t>
      </w:r>
    </w:p>
    <w:p w:rsidR="00000000" w:rsidRDefault="00DF5BC2">
      <w:pPr>
        <w:jc w:val="both"/>
        <w:divId w:val="825436773"/>
        <w:rPr>
          <w:rFonts w:eastAsia="Times New Roman"/>
        </w:rPr>
      </w:pPr>
      <w:r>
        <w:rPr>
          <w:rFonts w:eastAsia="Times New Roman"/>
          <w:b/>
          <w:bCs/>
          <w:i/>
          <w:iCs/>
          <w:color w:val="000000"/>
          <w:sz w:val="20"/>
          <w:szCs w:val="20"/>
        </w:rPr>
        <w:t>Intangible Assets.</w:t>
      </w:r>
      <w:r>
        <w:rPr>
          <w:rFonts w:eastAsia="Times New Roman"/>
          <w:color w:val="000000"/>
          <w:sz w:val="20"/>
          <w:szCs w:val="20"/>
        </w:rPr>
        <w:t xml:space="preserve"> We amortize intangible assets over their estimated useful lives unless we determine their lives to be indefinite. Estimated useful lives of definite-lived intangible assets, primarily consisting of customer relationsh</w:t>
      </w:r>
      <w:r>
        <w:rPr>
          <w:rFonts w:eastAsia="Times New Roman"/>
          <w:color w:val="000000"/>
          <w:sz w:val="20"/>
          <w:szCs w:val="20"/>
        </w:rPr>
        <w:t>ips (other than customer relationships acquired in the CMG Acquisition), certain tradenames and noncompete agreements, generally do not exceed 15 years. The estimated useful lives of customer relationships acquired in the CMG Acquisition is 35 years (see N</w:t>
      </w:r>
      <w:r>
        <w:rPr>
          <w:rFonts w:eastAsia="Times New Roman"/>
          <w:color w:val="000000"/>
          <w:sz w:val="20"/>
          <w:szCs w:val="20"/>
        </w:rPr>
        <w:t>ote 5). We test definite-lived intangible assets for impairment whenever events or changes in circumstances indicate that the associated carrying amounts may be impaired. Determining whether an impairment loss occurred requires comparing the carrying amoun</w:t>
      </w:r>
      <w:r>
        <w:rPr>
          <w:rFonts w:eastAsia="Times New Roman"/>
          <w:color w:val="000000"/>
          <w:sz w:val="20"/>
          <w:szCs w:val="20"/>
        </w:rPr>
        <w:t>t to the estimated fair value of the asset in accordance with ASC 820. Intangible assets with indefinite lives are not amortized but are tested for impairment annually (and more frequently if events or changes in circumstances between annual tests indicate</w:t>
      </w:r>
      <w:r>
        <w:rPr>
          <w:rFonts w:eastAsia="Times New Roman"/>
          <w:color w:val="000000"/>
          <w:sz w:val="20"/>
          <w:szCs w:val="20"/>
        </w:rPr>
        <w:t xml:space="preserve"> that it is more likely than not that they are impaired) and written down to fair value, if impaired. </w:t>
      </w:r>
    </w:p>
    <w:p w:rsidR="00000000" w:rsidRDefault="00DF5BC2">
      <w:pPr>
        <w:jc w:val="both"/>
        <w:divId w:val="2057199694"/>
        <w:rPr>
          <w:rFonts w:eastAsia="Times New Roman"/>
        </w:rPr>
      </w:pPr>
      <w:r>
        <w:rPr>
          <w:rFonts w:eastAsia="Times New Roman"/>
          <w:b/>
          <w:bCs/>
          <w:i/>
          <w:iCs/>
          <w:color w:val="000000"/>
          <w:sz w:val="20"/>
          <w:szCs w:val="20"/>
        </w:rPr>
        <w:t>Goodwill.</w:t>
      </w:r>
      <w:r>
        <w:rPr>
          <w:rFonts w:eastAsia="Times New Roman"/>
          <w:color w:val="000000"/>
          <w:sz w:val="20"/>
          <w:szCs w:val="20"/>
        </w:rPr>
        <w:t xml:space="preserve"> We do not amortize goodwill, but test it at least annually for impairment at the reporting unit level. A reporting unit is an operating segment</w:t>
      </w:r>
      <w:r>
        <w:rPr>
          <w:rFonts w:eastAsia="Times New Roman"/>
          <w:color w:val="000000"/>
          <w:sz w:val="20"/>
          <w:szCs w:val="20"/>
        </w:rPr>
        <w:t>, or one level below an operating segment (a component) if it constitutes a business for which discrete financial information is available and regularly reviewed by segment management. Components are aggregated into a single reporting unit if they have sim</w:t>
      </w:r>
      <w:r>
        <w:rPr>
          <w:rFonts w:eastAsia="Times New Roman"/>
          <w:color w:val="000000"/>
          <w:sz w:val="20"/>
          <w:szCs w:val="20"/>
        </w:rPr>
        <w:t>ilar economic characteristics. Each of our reporting units with goodwill is required to perform impairment tests annually or whenever events or circumstances indicate that the value of goodwill may be impaired.</w:t>
      </w:r>
    </w:p>
    <w:p w:rsidR="00000000" w:rsidRDefault="00DF5BC2">
      <w:pPr>
        <w:jc w:val="both"/>
        <w:divId w:val="792790807"/>
        <w:rPr>
          <w:rFonts w:eastAsia="Times New Roman"/>
        </w:rPr>
      </w:pPr>
      <w:r>
        <w:rPr>
          <w:rFonts w:eastAsia="Times New Roman"/>
          <w:color w:val="000000"/>
          <w:sz w:val="20"/>
          <w:szCs w:val="20"/>
        </w:rPr>
        <w:t>For certain of our reporting units with goodw</w:t>
      </w:r>
      <w:r>
        <w:rPr>
          <w:rFonts w:eastAsia="Times New Roman"/>
          <w:color w:val="000000"/>
          <w:sz w:val="20"/>
          <w:szCs w:val="20"/>
        </w:rPr>
        <w:t>ill, we assess qualitative factors to determine whether it is more likely than not that the fair value of such reporting unit is less than its carrying amount. For our other reporting units with goodwill, we bypass the qualitative assessment and perform th</w:t>
      </w:r>
      <w:r>
        <w:rPr>
          <w:rFonts w:eastAsia="Times New Roman"/>
          <w:color w:val="000000"/>
          <w:sz w:val="20"/>
          <w:szCs w:val="20"/>
        </w:rPr>
        <w:t>e quantitative assessment by comparing the fair values of the reporting units with their carrying amounts, including goodwill. If the carrying amount of a reporting unit exceeds its fair value, an impairment loss is recognized in an amount equal to such ex</w:t>
      </w:r>
      <w:r>
        <w:rPr>
          <w:rFonts w:eastAsia="Times New Roman"/>
          <w:color w:val="000000"/>
          <w:sz w:val="20"/>
          <w:szCs w:val="20"/>
        </w:rPr>
        <w:t xml:space="preserve">cess but not to exceed the total amount of the goodwill of the reporting unit. </w:t>
      </w:r>
    </w:p>
    <w:p w:rsidR="00000000" w:rsidRDefault="00DF5BC2">
      <w:pPr>
        <w:jc w:val="both"/>
        <w:divId w:val="19211007"/>
        <w:rPr>
          <w:rFonts w:eastAsia="Times New Roman"/>
        </w:rPr>
      </w:pPr>
      <w:r>
        <w:rPr>
          <w:rFonts w:eastAsia="Times New Roman"/>
          <w:color w:val="000000"/>
          <w:sz w:val="20"/>
          <w:szCs w:val="20"/>
        </w:rPr>
        <w:t>There were no accumulated goodwill impairment losses at September 30, 2021 and 2020, and no provisions for goodwill impairments were recognized for all periods presented. For f</w:t>
      </w:r>
      <w:r>
        <w:rPr>
          <w:rFonts w:eastAsia="Times New Roman"/>
          <w:color w:val="000000"/>
          <w:sz w:val="20"/>
          <w:szCs w:val="20"/>
        </w:rPr>
        <w:t>urther information on our goodwill and intangible assets, see Note 12.</w:t>
      </w:r>
    </w:p>
    <w:p w:rsidR="00000000" w:rsidRDefault="00DF5BC2">
      <w:pPr>
        <w:jc w:val="both"/>
        <w:divId w:val="731387878"/>
        <w:rPr>
          <w:rFonts w:eastAsia="Times New Roman"/>
        </w:rPr>
      </w:pPr>
      <w:r>
        <w:rPr>
          <w:rFonts w:eastAsia="Times New Roman"/>
          <w:b/>
          <w:bCs/>
          <w:color w:val="000000"/>
          <w:sz w:val="20"/>
          <w:szCs w:val="20"/>
        </w:rPr>
        <w:t>Impairment of Long-Lived Assets</w:t>
      </w:r>
    </w:p>
    <w:p w:rsidR="00000000" w:rsidRDefault="00DF5BC2">
      <w:pPr>
        <w:jc w:val="both"/>
        <w:divId w:val="1397125407"/>
        <w:rPr>
          <w:rFonts w:eastAsia="Times New Roman"/>
        </w:rPr>
      </w:pPr>
      <w:r>
        <w:rPr>
          <w:rFonts w:eastAsia="Times New Roman"/>
          <w:color w:val="000000"/>
          <w:sz w:val="20"/>
          <w:szCs w:val="20"/>
        </w:rPr>
        <w:t>Impairment testing for long-lived assets (or an asset group) is required when circumstances indicate that such assets may be impaired. If it is determine</w:t>
      </w:r>
      <w:r>
        <w:rPr>
          <w:rFonts w:eastAsia="Times New Roman"/>
          <w:color w:val="000000"/>
          <w:sz w:val="20"/>
          <w:szCs w:val="20"/>
        </w:rPr>
        <w:t>d that a triggering event has occurred, we perform a recoverability test based upon estimated undiscounted cash flow projections expected to be realized over the remaining useful life of the long-lived asset. If the undiscounted cash flows used in the reco</w:t>
      </w:r>
      <w:r>
        <w:rPr>
          <w:rFonts w:eastAsia="Times New Roman"/>
          <w:color w:val="000000"/>
          <w:sz w:val="20"/>
          <w:szCs w:val="20"/>
        </w:rPr>
        <w:t>verability test are less than the long-lived asset's carrying amount, we determine its fair value. If the fair value is determined to be less than its carrying amount, the long-lived asset is reduced to its estimated fair value and an impairment loss is re</w:t>
      </w:r>
      <w:r>
        <w:rPr>
          <w:rFonts w:eastAsia="Times New Roman"/>
          <w:color w:val="000000"/>
          <w:sz w:val="20"/>
          <w:szCs w:val="20"/>
        </w:rPr>
        <w:t>cognized in an amount equal to such shortfall. When determining whether a long-lived asset has been impaired, management groups assets at the lowest level that has identifiable cash flows.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During the fourth quarter of Fiscal 2021, the Company identified </w:t>
      </w:r>
      <w:r>
        <w:rPr>
          <w:rFonts w:eastAsia="Times New Roman"/>
          <w:color w:val="000000"/>
          <w:sz w:val="20"/>
          <w:szCs w:val="20"/>
        </w:rPr>
        <w:t>impairment indicators associated with certain natural gas gathering system asset groups within the Midstream &amp; Marketing reportable segment having a carrying value of approximately $100 at September 30, 2021.</w:t>
      </w:r>
      <w:r>
        <w:rPr>
          <w:rFonts w:eastAsia="Times New Roman"/>
          <w:color w:val="000000"/>
        </w:rPr>
        <w:t xml:space="preserve"> </w:t>
      </w:r>
      <w:r>
        <w:rPr>
          <w:rFonts w:eastAsia="Times New Roman"/>
          <w:color w:val="000000"/>
          <w:sz w:val="20"/>
          <w:szCs w:val="20"/>
        </w:rPr>
        <w:t>The impairment indicators resulted from the ban</w:t>
      </w:r>
      <w:r>
        <w:rPr>
          <w:rFonts w:eastAsia="Times New Roman"/>
          <w:color w:val="000000"/>
          <w:sz w:val="20"/>
          <w:szCs w:val="20"/>
        </w:rPr>
        <w:t>kruptcy of a significant customer, as well as payment delinquencies resulting from the deterioration in the financial condition of an additional customer. These events resulted in a significant decline in the current forecasted operating cash flows associa</w:t>
      </w:r>
      <w:r>
        <w:rPr>
          <w:rFonts w:eastAsia="Times New Roman"/>
          <w:color w:val="000000"/>
          <w:sz w:val="20"/>
          <w:szCs w:val="20"/>
        </w:rPr>
        <w:t>ted with the related asset groups. The Company performed a recoverability test as a result of these triggering events utilizing an estimate of undiscounted cash flows related to the asset groups.</w:t>
      </w:r>
      <w:r>
        <w:rPr>
          <w:rFonts w:eastAsia="Times New Roman"/>
          <w:color w:val="000000"/>
        </w:rPr>
        <w:t xml:space="preserve"> </w:t>
      </w:r>
      <w:r>
        <w:rPr>
          <w:rFonts w:eastAsia="Times New Roman"/>
          <w:color w:val="000000"/>
          <w:sz w:val="20"/>
          <w:szCs w:val="20"/>
        </w:rPr>
        <w:t>While this analysis currently indicates that such carrying a</w:t>
      </w:r>
      <w:r>
        <w:rPr>
          <w:rFonts w:eastAsia="Times New Roman"/>
          <w:color w:val="000000"/>
          <w:sz w:val="20"/>
          <w:szCs w:val="20"/>
        </w:rPr>
        <w:t xml:space="preserve">mounts are expected to be recovered, </w:t>
      </w:r>
    </w:p>
    <w:p w:rsidR="00000000" w:rsidRDefault="00DF5BC2">
      <w:pPr>
        <w:jc w:val="center"/>
        <w:divId w:val="1539244326"/>
        <w:rPr>
          <w:rFonts w:eastAsia="Times New Roman"/>
        </w:rPr>
      </w:pPr>
      <w:r>
        <w:rPr>
          <w:rFonts w:eastAsia="Times New Roman"/>
          <w:color w:val="000000"/>
          <w:sz w:val="20"/>
          <w:szCs w:val="20"/>
        </w:rPr>
        <w:t>F-16</w:t>
      </w:r>
    </w:p>
    <w:p w:rsidR="00000000" w:rsidRDefault="00DF5BC2">
      <w:pPr>
        <w:rPr>
          <w:rFonts w:eastAsia="Times New Roman"/>
        </w:rPr>
      </w:pPr>
      <w:r>
        <w:rPr>
          <w:rFonts w:eastAsia="Times New Roman"/>
        </w:rPr>
        <w:pict>
          <v:rect id="_x0000_i1130" style="width:0;height:1.5pt" o:hralign="center" o:hrstd="t" o:hr="t" fillcolor="#a0a0a0" stroked="f"/>
        </w:pict>
      </w:r>
    </w:p>
    <w:p w:rsidR="00000000" w:rsidRDefault="00DF5BC2">
      <w:pPr>
        <w:divId w:val="193150171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998583894"/>
        <w:rPr>
          <w:rFonts w:eastAsia="Times New Roman"/>
        </w:rPr>
      </w:pPr>
      <w:r>
        <w:rPr>
          <w:rFonts w:eastAsia="Times New Roman"/>
          <w:b/>
          <w:bCs/>
          <w:color w:val="000000"/>
          <w:sz w:val="20"/>
          <w:szCs w:val="20"/>
        </w:rPr>
        <w:t>UGI Corporation and Subsidiaries</w:t>
      </w:r>
    </w:p>
    <w:p w:rsidR="00000000" w:rsidRDefault="00DF5BC2">
      <w:pPr>
        <w:divId w:val="1004894648"/>
        <w:rPr>
          <w:rFonts w:eastAsia="Times New Roman"/>
        </w:rPr>
      </w:pPr>
      <w:r>
        <w:rPr>
          <w:rFonts w:eastAsia="Times New Roman"/>
          <w:b/>
          <w:bCs/>
          <w:color w:val="000000"/>
          <w:sz w:val="20"/>
          <w:szCs w:val="20"/>
        </w:rPr>
        <w:t>Notes to Consolidated Financial Statements</w:t>
      </w:r>
    </w:p>
    <w:p w:rsidR="00000000" w:rsidRDefault="00DF5BC2">
      <w:pPr>
        <w:divId w:val="878055877"/>
        <w:rPr>
          <w:rFonts w:eastAsia="Times New Roman"/>
        </w:rPr>
      </w:pPr>
      <w:r>
        <w:rPr>
          <w:rFonts w:eastAsia="Times New Roman"/>
          <w:color w:val="000000"/>
          <w:sz w:val="20"/>
          <w:szCs w:val="20"/>
        </w:rPr>
        <w:t>(Currency in millions, e</w:t>
      </w:r>
      <w:r>
        <w:rPr>
          <w:rFonts w:eastAsia="Times New Roman"/>
          <w:color w:val="000000"/>
          <w:sz w:val="20"/>
          <w:szCs w:val="20"/>
        </w:rPr>
        <w:t>xcept per share amounts and where indicated otherwise)</w:t>
      </w:r>
    </w:p>
    <w:p w:rsidR="00000000" w:rsidRDefault="00DF5BC2">
      <w:pPr>
        <w:jc w:val="both"/>
        <w:rPr>
          <w:rFonts w:eastAsia="Times New Roman"/>
        </w:rPr>
      </w:pPr>
      <w:r>
        <w:rPr>
          <w:rFonts w:eastAsia="Times New Roman"/>
          <w:color w:val="000000"/>
          <w:sz w:val="20"/>
          <w:szCs w:val="20"/>
        </w:rPr>
        <w:t>events and/or changes in circumstances may occur in the near term resulting in a change in management’s estimates of undiscounted cash flows. Any such events or changes could ultimately impact recovera</w:t>
      </w:r>
      <w:r>
        <w:rPr>
          <w:rFonts w:eastAsia="Times New Roman"/>
          <w:color w:val="000000"/>
          <w:sz w:val="20"/>
          <w:szCs w:val="20"/>
        </w:rPr>
        <w:t>bility and result in an impairment loss equal to the difference between the calculated fair value of such asset groups and their estimated carrying value.</w:t>
      </w:r>
    </w:p>
    <w:p w:rsidR="00000000" w:rsidRDefault="00DF5BC2">
      <w:pPr>
        <w:jc w:val="both"/>
        <w:divId w:val="1438594968"/>
        <w:rPr>
          <w:rFonts w:eastAsia="Times New Roman"/>
        </w:rPr>
      </w:pPr>
      <w:r>
        <w:rPr>
          <w:rFonts w:eastAsia="Times New Roman"/>
          <w:color w:val="000000"/>
          <w:sz w:val="20"/>
          <w:szCs w:val="20"/>
        </w:rPr>
        <w:t>No material provisions for impairments of long-lived assets were recorded during Fiscal 2019. See Not</w:t>
      </w:r>
      <w:r>
        <w:rPr>
          <w:rFonts w:eastAsia="Times New Roman"/>
          <w:color w:val="000000"/>
          <w:sz w:val="20"/>
          <w:szCs w:val="20"/>
        </w:rPr>
        <w:t>e 5 for further information on the losses associated with the dispositions of Conemaugh and HVAC during Fiscal 2020.</w:t>
      </w:r>
    </w:p>
    <w:p w:rsidR="00000000" w:rsidRDefault="00DF5BC2">
      <w:pPr>
        <w:jc w:val="both"/>
        <w:divId w:val="1799302768"/>
        <w:rPr>
          <w:rFonts w:eastAsia="Times New Roman"/>
        </w:rPr>
      </w:pPr>
      <w:r>
        <w:rPr>
          <w:rFonts w:eastAsia="Times New Roman"/>
          <w:b/>
          <w:bCs/>
          <w:color w:val="000000"/>
          <w:sz w:val="20"/>
          <w:szCs w:val="20"/>
        </w:rPr>
        <w:t>Refundable Tank and Cylinder Deposits</w:t>
      </w:r>
    </w:p>
    <w:p w:rsidR="00000000" w:rsidRDefault="00DF5BC2">
      <w:pPr>
        <w:jc w:val="both"/>
        <w:divId w:val="650476337"/>
        <w:rPr>
          <w:rFonts w:eastAsia="Times New Roman"/>
        </w:rPr>
      </w:pPr>
      <w:r>
        <w:rPr>
          <w:rFonts w:eastAsia="Times New Roman"/>
          <w:color w:val="000000"/>
          <w:sz w:val="20"/>
          <w:szCs w:val="20"/>
        </w:rPr>
        <w:t xml:space="preserve">Included in “Other noncurrent liabilities” </w:t>
      </w:r>
      <w:r>
        <w:rPr>
          <w:rFonts w:eastAsia="Times New Roman"/>
          <w:color w:val="000000"/>
          <w:sz w:val="20"/>
          <w:szCs w:val="20"/>
        </w:rPr>
        <w:t>on our Consolidated Balance Sheets are customer paid deposits on tanks and cylinders primarily owned by subsidiaries of UGI France of $296 and $300 at September 30, 2021 and 2020, respectively. Deposits are refundable to customers when the tanks or cylinde</w:t>
      </w:r>
      <w:r>
        <w:rPr>
          <w:rFonts w:eastAsia="Times New Roman"/>
          <w:color w:val="000000"/>
          <w:sz w:val="20"/>
          <w:szCs w:val="20"/>
        </w:rPr>
        <w:t xml:space="preserve">rs are returned in accordance with contract terms.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Environmental Matters</w:t>
      </w:r>
    </w:p>
    <w:p w:rsidR="00000000" w:rsidRDefault="00DF5BC2">
      <w:pPr>
        <w:jc w:val="both"/>
        <w:divId w:val="649484050"/>
        <w:rPr>
          <w:rFonts w:eastAsia="Times New Roman"/>
        </w:rPr>
      </w:pPr>
      <w:r>
        <w:rPr>
          <w:rFonts w:eastAsia="Times New Roman"/>
          <w:color w:val="000000"/>
          <w:sz w:val="20"/>
          <w:szCs w:val="20"/>
        </w:rPr>
        <w:t>We are subject to environmental laws and regulations intended to mitigate or remove the effects of past operations and improve or maintain the quality of the environment. These laws and regulations require the removal or remedy of the effect on the environ</w:t>
      </w:r>
      <w:r>
        <w:rPr>
          <w:rFonts w:eastAsia="Times New Roman"/>
          <w:color w:val="000000"/>
          <w:sz w:val="20"/>
          <w:szCs w:val="20"/>
        </w:rPr>
        <w:t>ment of the disposal or release of certain specified hazardous substances at current or former operating sites.</w:t>
      </w:r>
    </w:p>
    <w:p w:rsidR="00000000" w:rsidRDefault="00DF5BC2">
      <w:pPr>
        <w:jc w:val="both"/>
        <w:divId w:val="2031250428"/>
        <w:rPr>
          <w:rFonts w:eastAsia="Times New Roman"/>
        </w:rPr>
      </w:pPr>
      <w:r>
        <w:rPr>
          <w:rFonts w:eastAsia="Times New Roman"/>
          <w:color w:val="000000"/>
          <w:sz w:val="20"/>
          <w:szCs w:val="20"/>
        </w:rPr>
        <w:t>Environmental reserves are accrued when assessments indicate that it is probable that a liability has been incurred and an amount can be reasona</w:t>
      </w:r>
      <w:r>
        <w:rPr>
          <w:rFonts w:eastAsia="Times New Roman"/>
          <w:color w:val="000000"/>
          <w:sz w:val="20"/>
          <w:szCs w:val="20"/>
        </w:rPr>
        <w:t>bly estimated. Amounts recorded as environmental liabilities on the Consolidated Balance Sheets represent our best estimate of costs expected to be incurred or, if no best estimate can be made, the minimum liability associated with a range of expected envi</w:t>
      </w:r>
      <w:r>
        <w:rPr>
          <w:rFonts w:eastAsia="Times New Roman"/>
          <w:color w:val="000000"/>
          <w:sz w:val="20"/>
          <w:szCs w:val="20"/>
        </w:rPr>
        <w:t xml:space="preserve">ronmental investigation and remediation costs. These estimates are based upon a number of factors including whether the Company will be responsible for such remediation, the scope and cost of the remediation work to be performed, the portion of costs that </w:t>
      </w:r>
      <w:r>
        <w:rPr>
          <w:rFonts w:eastAsia="Times New Roman"/>
          <w:color w:val="000000"/>
          <w:sz w:val="20"/>
          <w:szCs w:val="20"/>
        </w:rPr>
        <w:t>will be shared with other potentially responsible parties, the timing of the remediation and possible impact of changes in technology, and the regulations and requirements of local governmental authorities. Our estimated liability for environmental contami</w:t>
      </w:r>
      <w:r>
        <w:rPr>
          <w:rFonts w:eastAsia="Times New Roman"/>
          <w:color w:val="000000"/>
          <w:sz w:val="20"/>
          <w:szCs w:val="20"/>
        </w:rPr>
        <w:t>nation is reduced to reflect anticipated participation of other responsible parties but is not reduced for possible recovery from insurance carriers. Under GAAP, if the amount and timing of cash payments associated with environmental investigation and clea</w:t>
      </w:r>
      <w:r>
        <w:rPr>
          <w:rFonts w:eastAsia="Times New Roman"/>
          <w:color w:val="000000"/>
          <w:sz w:val="20"/>
          <w:szCs w:val="20"/>
        </w:rPr>
        <w:t>nup are reliably determinable, such liabilities are discounted to reflect the time value of money. We intend to pursue recovery of incurred costs through all appropriate means, including regulatory relief. Gas Utility receives ratemaking recognition of env</w:t>
      </w:r>
      <w:r>
        <w:rPr>
          <w:rFonts w:eastAsia="Times New Roman"/>
          <w:color w:val="000000"/>
          <w:sz w:val="20"/>
          <w:szCs w:val="20"/>
        </w:rPr>
        <w:t xml:space="preserve">ironmental investigation and remediation costs associated with in-state environmental sites.  This ratemaking recognition balances the accumulated difference between historical costs and rate recoveries with an estimate of future costs associated with the </w:t>
      </w:r>
      <w:r>
        <w:rPr>
          <w:rFonts w:eastAsia="Times New Roman"/>
          <w:color w:val="000000"/>
          <w:sz w:val="20"/>
          <w:szCs w:val="20"/>
        </w:rPr>
        <w:t>sites. For further information, see Note 17.</w:t>
      </w:r>
    </w:p>
    <w:p w:rsidR="00000000" w:rsidRDefault="00DF5BC2">
      <w:pPr>
        <w:jc w:val="both"/>
        <w:divId w:val="1452477262"/>
        <w:rPr>
          <w:rFonts w:eastAsia="Times New Roman"/>
        </w:rPr>
      </w:pPr>
      <w:r>
        <w:rPr>
          <w:rFonts w:eastAsia="Times New Roman"/>
          <w:b/>
          <w:bCs/>
          <w:color w:val="000000"/>
          <w:sz w:val="20"/>
          <w:szCs w:val="20"/>
        </w:rPr>
        <w:t>Loss Contingencies Subject to Insurance</w:t>
      </w:r>
    </w:p>
    <w:p w:rsidR="00000000" w:rsidRDefault="00DF5BC2">
      <w:pPr>
        <w:jc w:val="both"/>
        <w:divId w:val="714622418"/>
        <w:rPr>
          <w:rFonts w:eastAsia="Times New Roman"/>
        </w:rPr>
      </w:pPr>
      <w:r>
        <w:rPr>
          <w:rFonts w:eastAsia="Times New Roman"/>
          <w:color w:val="000000"/>
          <w:sz w:val="20"/>
          <w:szCs w:val="20"/>
        </w:rPr>
        <w:t>We are subject to risk of loss for general, automobile and product liability, and workers’ compensation claims for which we obtain insurance coverage under insurance polic</w:t>
      </w:r>
      <w:r>
        <w:rPr>
          <w:rFonts w:eastAsia="Times New Roman"/>
          <w:color w:val="000000"/>
          <w:sz w:val="20"/>
          <w:szCs w:val="20"/>
        </w:rPr>
        <w:t>ies that are subject to self-insured retentions or deductibles. In accordance with GAAP, we record accruals when it is probable that a liability exists and the amount or range of amounts can be reasonably estimated. When no amount within a range of possibl</w:t>
      </w:r>
      <w:r>
        <w:rPr>
          <w:rFonts w:eastAsia="Times New Roman"/>
          <w:color w:val="000000"/>
          <w:sz w:val="20"/>
          <w:szCs w:val="20"/>
        </w:rPr>
        <w:t>e loss is a better estimate than any other amount within the range, liabilities recorded are based upon the low end of the range. For litigation and pending claims including those covered by insurance policies, the analysis of probable loss is performed on</w:t>
      </w:r>
      <w:r>
        <w:rPr>
          <w:rFonts w:eastAsia="Times New Roman"/>
          <w:color w:val="000000"/>
          <w:sz w:val="20"/>
          <w:szCs w:val="20"/>
        </w:rPr>
        <w:t xml:space="preserve"> a case by case basis and includes an evaluation of the nature of the claim, the procedural status of the matter, the probability or likelihood of success in prosecuting or defending the claim, the information available with respect to the claim, the opini</w:t>
      </w:r>
      <w:r>
        <w:rPr>
          <w:rFonts w:eastAsia="Times New Roman"/>
          <w:color w:val="000000"/>
          <w:sz w:val="20"/>
          <w:szCs w:val="20"/>
        </w:rPr>
        <w:t>ons and views of outside counsel and other advisors, and past experience in similar matters. With respect to unasserted claims arising from unreported incidents, we may use the work of specialists to estimate the ultimate losses to be incurred using actuar</w:t>
      </w:r>
      <w:r>
        <w:rPr>
          <w:rFonts w:eastAsia="Times New Roman"/>
          <w:color w:val="000000"/>
          <w:sz w:val="20"/>
          <w:szCs w:val="20"/>
        </w:rPr>
        <w:t>ially determined loss development factors applied to actual claims data. Our estimated reserves for loss contingencies may differ materially from the ultimate liability and such reserves may change materially as more information becomes available and estim</w:t>
      </w:r>
      <w:r>
        <w:rPr>
          <w:rFonts w:eastAsia="Times New Roman"/>
          <w:color w:val="000000"/>
          <w:sz w:val="20"/>
          <w:szCs w:val="20"/>
        </w:rPr>
        <w:t>ated reserves are adjusted. We maintain insurance coverage such that our net exposure for claims covered by insurance would be limited to the self-insured retentions or deductibles, claims above which would be paid by the insurance carrier. For such claims</w:t>
      </w:r>
      <w:r>
        <w:rPr>
          <w:rFonts w:eastAsia="Times New Roman"/>
          <w:color w:val="000000"/>
          <w:sz w:val="20"/>
          <w:szCs w:val="20"/>
        </w:rPr>
        <w:t>, we record a receivable related to the amount of the liability expected to be paid by insurance.</w:t>
      </w:r>
    </w:p>
    <w:p w:rsidR="00000000" w:rsidRDefault="00DF5BC2">
      <w:pPr>
        <w:jc w:val="both"/>
        <w:divId w:val="355037965"/>
        <w:rPr>
          <w:rFonts w:eastAsia="Times New Roman"/>
        </w:rPr>
      </w:pPr>
      <w:r>
        <w:rPr>
          <w:rFonts w:eastAsia="Times New Roman"/>
          <w:b/>
          <w:bCs/>
          <w:color w:val="000000"/>
          <w:sz w:val="20"/>
          <w:szCs w:val="20"/>
        </w:rPr>
        <w:t>Employee Retirement Plans</w:t>
      </w:r>
    </w:p>
    <w:p w:rsidR="00000000" w:rsidRDefault="00DF5BC2">
      <w:pPr>
        <w:jc w:val="both"/>
        <w:divId w:val="1673875259"/>
        <w:rPr>
          <w:rFonts w:eastAsia="Times New Roman"/>
        </w:rPr>
      </w:pPr>
      <w:r>
        <w:rPr>
          <w:rFonts w:eastAsia="Times New Roman"/>
          <w:color w:val="000000"/>
          <w:sz w:val="20"/>
          <w:szCs w:val="20"/>
        </w:rPr>
        <w:t xml:space="preserve">We use a market-related value of plan assets and an expected long-term rate of return to determine the expected return on assets of </w:t>
      </w:r>
      <w:r>
        <w:rPr>
          <w:rFonts w:eastAsia="Times New Roman"/>
          <w:color w:val="000000"/>
          <w:sz w:val="20"/>
          <w:szCs w:val="20"/>
        </w:rPr>
        <w:t>our U.S. pension and other postretirement plans. The market-related value of plan assets, other than equity investments, is based upon fair values. The market-related value of equity investments is calculated by rolling forward the prior-year’s market-</w:t>
      </w:r>
    </w:p>
    <w:p w:rsidR="00000000" w:rsidRDefault="00DF5BC2">
      <w:pPr>
        <w:jc w:val="center"/>
        <w:divId w:val="719204377"/>
        <w:rPr>
          <w:rFonts w:eastAsia="Times New Roman"/>
        </w:rPr>
      </w:pPr>
      <w:r>
        <w:rPr>
          <w:rFonts w:eastAsia="Times New Roman"/>
          <w:color w:val="000000"/>
          <w:sz w:val="20"/>
          <w:szCs w:val="20"/>
        </w:rPr>
        <w:t>F-1</w:t>
      </w:r>
      <w:r>
        <w:rPr>
          <w:rFonts w:eastAsia="Times New Roman"/>
          <w:color w:val="000000"/>
          <w:sz w:val="20"/>
          <w:szCs w:val="20"/>
        </w:rPr>
        <w:t>7</w:t>
      </w:r>
    </w:p>
    <w:p w:rsidR="00000000" w:rsidRDefault="00DF5BC2">
      <w:pPr>
        <w:rPr>
          <w:rFonts w:eastAsia="Times New Roman"/>
        </w:rPr>
      </w:pPr>
      <w:r>
        <w:rPr>
          <w:rFonts w:eastAsia="Times New Roman"/>
        </w:rPr>
        <w:pict>
          <v:rect id="_x0000_i1131" style="width:0;height:1.5pt" o:hralign="center" o:hrstd="t" o:hr="t" fillcolor="#a0a0a0" stroked="f"/>
        </w:pict>
      </w:r>
    </w:p>
    <w:p w:rsidR="00000000" w:rsidRDefault="00DF5BC2">
      <w:pPr>
        <w:divId w:val="138115101"/>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662856968"/>
        <w:rPr>
          <w:rFonts w:eastAsia="Times New Roman"/>
        </w:rPr>
      </w:pPr>
      <w:r>
        <w:rPr>
          <w:rFonts w:eastAsia="Times New Roman"/>
          <w:b/>
          <w:bCs/>
          <w:color w:val="000000"/>
          <w:sz w:val="20"/>
          <w:szCs w:val="20"/>
        </w:rPr>
        <w:t>UGI Corporation and Subsidiaries</w:t>
      </w:r>
    </w:p>
    <w:p w:rsidR="00000000" w:rsidRDefault="00DF5BC2">
      <w:pPr>
        <w:divId w:val="281543032"/>
        <w:rPr>
          <w:rFonts w:eastAsia="Times New Roman"/>
        </w:rPr>
      </w:pPr>
      <w:r>
        <w:rPr>
          <w:rFonts w:eastAsia="Times New Roman"/>
          <w:b/>
          <w:bCs/>
          <w:color w:val="000000"/>
          <w:sz w:val="20"/>
          <w:szCs w:val="20"/>
        </w:rPr>
        <w:t>Notes to Consolidated Financial Statements</w:t>
      </w:r>
    </w:p>
    <w:p w:rsidR="00000000" w:rsidRDefault="00DF5BC2">
      <w:pPr>
        <w:divId w:val="1413894859"/>
        <w:rPr>
          <w:rFonts w:eastAsia="Times New Roman"/>
        </w:rPr>
      </w:pPr>
      <w:r>
        <w:rPr>
          <w:rFonts w:eastAsia="Times New Roman"/>
          <w:color w:val="000000"/>
          <w:sz w:val="20"/>
          <w:szCs w:val="20"/>
        </w:rPr>
        <w:t>(Currency in millions, except per share amounts and where indicate</w:t>
      </w:r>
      <w:r>
        <w:rPr>
          <w:rFonts w:eastAsia="Times New Roman"/>
          <w:color w:val="000000"/>
          <w:sz w:val="20"/>
          <w:szCs w:val="20"/>
        </w:rPr>
        <w:t>d otherwise)</w:t>
      </w:r>
    </w:p>
    <w:p w:rsidR="00000000" w:rsidRDefault="00DF5BC2">
      <w:pPr>
        <w:jc w:val="both"/>
        <w:divId w:val="1202547174"/>
        <w:rPr>
          <w:rFonts w:eastAsia="Times New Roman"/>
        </w:rPr>
      </w:pPr>
      <w:r>
        <w:rPr>
          <w:rFonts w:eastAsia="Times New Roman"/>
          <w:color w:val="000000"/>
          <w:sz w:val="20"/>
          <w:szCs w:val="20"/>
        </w:rPr>
        <w:t>related value with contributions, disbursements and the expected return on plan assets. One third of the difference between the expected and the actual value is then added to or subtracted from the expected value to determine the new market-re</w:t>
      </w:r>
      <w:r>
        <w:rPr>
          <w:rFonts w:eastAsia="Times New Roman"/>
          <w:color w:val="000000"/>
          <w:sz w:val="20"/>
          <w:szCs w:val="20"/>
        </w:rPr>
        <w:t>lated value (see Note 8).</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3 — Accounting Changes </w:t>
      </w:r>
    </w:p>
    <w:p w:rsidR="00000000" w:rsidRDefault="00DF5BC2">
      <w:pPr>
        <w:jc w:val="both"/>
        <w:divId w:val="835262690"/>
        <w:rPr>
          <w:rFonts w:eastAsia="Times New Roman"/>
        </w:rPr>
      </w:pPr>
      <w:r>
        <w:rPr>
          <w:rFonts w:eastAsia="Times New Roman"/>
          <w:b/>
          <w:bCs/>
          <w:color w:val="000000"/>
          <w:sz w:val="20"/>
          <w:szCs w:val="20"/>
        </w:rPr>
        <w:t>New Accounting Standards Adopted in Fiscal 2021</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Credit Losses. </w:t>
      </w:r>
      <w:r>
        <w:rPr>
          <w:rFonts w:eastAsia="Times New Roman"/>
          <w:color w:val="000000"/>
          <w:sz w:val="20"/>
          <w:szCs w:val="20"/>
        </w:rPr>
        <w:t>Effective October 1, 2020, the Company adopted ASU 2016-13, “Measurement of Credit Losses on Financial Instruments,” including subsequ</w:t>
      </w:r>
      <w:r>
        <w:rPr>
          <w:rFonts w:eastAsia="Times New Roman"/>
          <w:color w:val="000000"/>
          <w:sz w:val="20"/>
          <w:szCs w:val="20"/>
        </w:rPr>
        <w:t>ent amendments, using a modified retrospective transition approach. This ASU, as subsequently amended, requires entities to estimate lifetime expected credit losses for financial instruments not measured at fair value through net income, including trade an</w:t>
      </w:r>
      <w:r>
        <w:rPr>
          <w:rFonts w:eastAsia="Times New Roman"/>
          <w:color w:val="000000"/>
          <w:sz w:val="20"/>
          <w:szCs w:val="20"/>
        </w:rPr>
        <w:t>d other receivables, net investments in leases, financial receivables, debt securities, and other financial instruments, which may result in earlier recognition of credit losses. Further, the new current expected credit loss model may affect how entities e</w:t>
      </w:r>
      <w:r>
        <w:rPr>
          <w:rFonts w:eastAsia="Times New Roman"/>
          <w:color w:val="000000"/>
          <w:sz w:val="20"/>
          <w:szCs w:val="20"/>
        </w:rPr>
        <w:t xml:space="preserve">stimate their allowance for losses related to receivables that are current with respect to their payment terms. The adoption of the new guidance did not have a material impact on our consolidated financial statements. </w:t>
      </w:r>
    </w:p>
    <w:p w:rsidR="00000000" w:rsidRDefault="00DF5BC2">
      <w:pPr>
        <w:jc w:val="both"/>
        <w:divId w:val="451023983"/>
        <w:rPr>
          <w:rFonts w:eastAsia="Times New Roman"/>
        </w:rPr>
      </w:pPr>
      <w:r>
        <w:rPr>
          <w:rFonts w:eastAsia="Times New Roman"/>
          <w:b/>
          <w:bCs/>
          <w:color w:val="000000"/>
          <w:sz w:val="20"/>
          <w:szCs w:val="20"/>
        </w:rPr>
        <w:t>New Accounting Standard Adopted Effec</w:t>
      </w:r>
      <w:r>
        <w:rPr>
          <w:rFonts w:eastAsia="Times New Roman"/>
          <w:b/>
          <w:bCs/>
          <w:color w:val="000000"/>
          <w:sz w:val="20"/>
          <w:szCs w:val="20"/>
        </w:rPr>
        <w:t>tive October 1, 2021</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Income Taxes. </w:t>
      </w:r>
      <w:r>
        <w:rPr>
          <w:rFonts w:eastAsia="Times New Roman"/>
          <w:color w:val="000000"/>
          <w:sz w:val="20"/>
          <w:szCs w:val="20"/>
        </w:rPr>
        <w:t>In December 2019, the FASB issued ASU 2019-12, “Income Taxes (Topic 740): Simplifying the Accounting for Income Taxes.” This ASU simplifies the accounting for income taxes by eliminating certain exceptions within the ex</w:t>
      </w:r>
      <w:r>
        <w:rPr>
          <w:rFonts w:eastAsia="Times New Roman"/>
          <w:color w:val="000000"/>
          <w:sz w:val="20"/>
          <w:szCs w:val="20"/>
        </w:rPr>
        <w:t>isting guidance for recognizing deferred taxes for equity method investments, performing intraperiod allocations and calculating income taxes in interim periods. Further, this ASU clarifies existing guidance related to, among other things, recognizing defe</w:t>
      </w:r>
      <w:r>
        <w:rPr>
          <w:rFonts w:eastAsia="Times New Roman"/>
          <w:color w:val="000000"/>
          <w:sz w:val="20"/>
          <w:szCs w:val="20"/>
        </w:rPr>
        <w:t>rred taxes for goodwill and allocated taxes to members of a consolidated group. Effective October 1, 2021, the Company adopted this ASU, as updated, using a prospective approach. The adoption of the new guidance did not have a material impact on our consol</w:t>
      </w:r>
      <w:r>
        <w:rPr>
          <w:rFonts w:eastAsia="Times New Roman"/>
          <w:color w:val="000000"/>
          <w:sz w:val="20"/>
          <w:szCs w:val="20"/>
        </w:rPr>
        <w:t xml:space="preserve">idated financial statements. </w:t>
      </w:r>
    </w:p>
    <w:p w:rsidR="00000000" w:rsidRDefault="00DF5BC2">
      <w:pPr>
        <w:jc w:val="both"/>
        <w:divId w:val="1707098925"/>
        <w:rPr>
          <w:rFonts w:eastAsia="Times New Roman"/>
        </w:rPr>
      </w:pPr>
      <w:r>
        <w:rPr>
          <w:rFonts w:eastAsia="Times New Roman"/>
          <w:b/>
          <w:bCs/>
          <w:color w:val="000000"/>
          <w:sz w:val="20"/>
          <w:szCs w:val="20"/>
        </w:rPr>
        <w:t>Accounting Standard Not Yet Adopted</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Debt and Derivatives and Hedging. </w:t>
      </w:r>
      <w:r>
        <w:rPr>
          <w:rFonts w:eastAsia="Times New Roman"/>
          <w:color w:val="000000"/>
          <w:sz w:val="20"/>
          <w:szCs w:val="20"/>
        </w:rPr>
        <w:t>In August 2020, the FASB issued ASU 2020-06, “Debt - Debt with Conversion and Other Options (Subtopic 470-20) and Derivatives and Hedging – Contracts in E</w:t>
      </w:r>
      <w:r>
        <w:rPr>
          <w:rFonts w:eastAsia="Times New Roman"/>
          <w:color w:val="000000"/>
          <w:sz w:val="20"/>
          <w:szCs w:val="20"/>
        </w:rPr>
        <w:t>ntity’s Own Equity (Subtopic 815-40).” The amendments in this ASU affect entities that issue convertible instruments and/or contracts indexed to and potentially settled in an entity’s own equity. This ASU reduces the number of accounting models for convert</w:t>
      </w:r>
      <w:r>
        <w:rPr>
          <w:rFonts w:eastAsia="Times New Roman"/>
          <w:color w:val="000000"/>
          <w:sz w:val="20"/>
          <w:szCs w:val="20"/>
        </w:rPr>
        <w:t>ible debt instruments and convertible preferred stock, expands disclosure requirements for convertible instruments, and simplifies the related earnings per share guidance. This new guidance is effective for the Company for interim and annual periods beginn</w:t>
      </w:r>
      <w:r>
        <w:rPr>
          <w:rFonts w:eastAsia="Times New Roman"/>
          <w:color w:val="000000"/>
          <w:sz w:val="20"/>
          <w:szCs w:val="20"/>
        </w:rPr>
        <w:t>ing October 1, 2022 (Fiscal 2023). Early adoption is permitted. The amendments in this ASU may be adopted using the modified or full retrospective transition methods. The Company is in the process of assessing the impact on its financial statements from th</w:t>
      </w:r>
      <w:r>
        <w:rPr>
          <w:rFonts w:eastAsia="Times New Roman"/>
          <w:color w:val="000000"/>
          <w:sz w:val="20"/>
          <w:szCs w:val="20"/>
        </w:rPr>
        <w:t>e adoption of the new guidance and determining the transition method and the period in which the new guidance will be adopted.</w:t>
      </w:r>
    </w:p>
    <w:p w:rsidR="00000000" w:rsidRDefault="00DF5BC2">
      <w:pPr>
        <w:divId w:val="815411982"/>
        <w:rPr>
          <w:rFonts w:eastAsia="Times New Roman"/>
        </w:rPr>
      </w:pPr>
    </w:p>
    <w:p w:rsidR="00000000" w:rsidRDefault="00DF5BC2">
      <w:pPr>
        <w:divId w:val="1045982495"/>
        <w:rPr>
          <w:rFonts w:eastAsia="Times New Roman"/>
        </w:rPr>
      </w:pPr>
      <w:r>
        <w:rPr>
          <w:rFonts w:eastAsia="Times New Roman"/>
          <w:b/>
          <w:bCs/>
          <w:color w:val="000000"/>
          <w:sz w:val="20"/>
          <w:szCs w:val="20"/>
          <w:u w:val="single"/>
        </w:rPr>
        <w:t>Note 4 — Revenue from Contracts with Customers</w:t>
      </w:r>
    </w:p>
    <w:p w:rsidR="00000000" w:rsidRDefault="00DF5BC2">
      <w:pPr>
        <w:divId w:val="1615095013"/>
        <w:rPr>
          <w:rFonts w:eastAsia="Times New Roman"/>
        </w:rPr>
      </w:pPr>
    </w:p>
    <w:p w:rsidR="00000000" w:rsidRDefault="00DF5BC2">
      <w:pPr>
        <w:jc w:val="both"/>
        <w:rPr>
          <w:rFonts w:eastAsia="Times New Roman"/>
        </w:rPr>
      </w:pPr>
      <w:r>
        <w:rPr>
          <w:rFonts w:eastAsia="Times New Roman"/>
          <w:color w:val="000000"/>
          <w:sz w:val="20"/>
          <w:szCs w:val="20"/>
        </w:rPr>
        <w:t>The Company recognizes revenue when control of promised goods or services is transferred to customers in an amount that reflects the consideration to which we expect to be entitled in exchange for those goods or services. The Company generally has the righ</w:t>
      </w:r>
      <w:r>
        <w:rPr>
          <w:rFonts w:eastAsia="Times New Roman"/>
          <w:color w:val="000000"/>
          <w:sz w:val="20"/>
          <w:szCs w:val="20"/>
        </w:rPr>
        <w:t>t to consideration from a customer in an amount that corresponds directly with the value to the customer for performance completed to date. As such, we have elected to recognize revenue in the amount to which we have a right to invoice except in the case o</w:t>
      </w:r>
      <w:r>
        <w:rPr>
          <w:rFonts w:eastAsia="Times New Roman"/>
          <w:color w:val="000000"/>
          <w:sz w:val="20"/>
          <w:szCs w:val="20"/>
        </w:rPr>
        <w:t>f certain of UGI Utilities’ large delivery service customers and Midstream &amp; Marketing’s peaking contracts for which we recognize revenue on a straight-line basis over the term of the contract, consistent with when the performance obligations are satisfied</w:t>
      </w:r>
      <w:r>
        <w:rPr>
          <w:rFonts w:eastAsia="Times New Roman"/>
          <w:color w:val="000000"/>
          <w:sz w:val="20"/>
          <w:szCs w:val="20"/>
        </w:rPr>
        <w:t xml:space="preserve"> by the Company.</w:t>
      </w:r>
    </w:p>
    <w:p w:rsidR="00000000" w:rsidRDefault="00DF5BC2">
      <w:pPr>
        <w:divId w:val="1332568033"/>
        <w:rPr>
          <w:rFonts w:eastAsia="Times New Roman"/>
        </w:rPr>
      </w:pPr>
    </w:p>
    <w:p w:rsidR="00000000" w:rsidRDefault="00DF5BC2">
      <w:pPr>
        <w:jc w:val="both"/>
        <w:divId w:val="1493452472"/>
        <w:rPr>
          <w:rFonts w:eastAsia="Times New Roman"/>
        </w:rPr>
      </w:pPr>
      <w:r>
        <w:rPr>
          <w:rFonts w:eastAsia="Times New Roman"/>
          <w:color w:val="000000"/>
          <w:sz w:val="20"/>
          <w:szCs w:val="20"/>
        </w:rPr>
        <w:t>We do not have a significant financing component in our contracts because we receive payment shortly before, at, or shortly after the transfer of control of the good or service. Because the period between the time the performance obligat</w:t>
      </w:r>
      <w:r>
        <w:rPr>
          <w:rFonts w:eastAsia="Times New Roman"/>
          <w:color w:val="000000"/>
          <w:sz w:val="20"/>
          <w:szCs w:val="20"/>
        </w:rPr>
        <w:t>ion is satisfied and payment is received is generally one year or less, the Company has elected to apply the significant financing component practical expedient and no amount of consideration has been allocated as a financing component.</w:t>
      </w:r>
    </w:p>
    <w:p w:rsidR="00000000" w:rsidRDefault="00DF5BC2">
      <w:pPr>
        <w:jc w:val="both"/>
        <w:divId w:val="507671980"/>
        <w:rPr>
          <w:rFonts w:eastAsia="Times New Roman"/>
        </w:rPr>
      </w:pPr>
      <w:r>
        <w:rPr>
          <w:rFonts w:eastAsia="Times New Roman"/>
          <w:color w:val="000000"/>
          <w:sz w:val="20"/>
          <w:szCs w:val="20"/>
        </w:rPr>
        <w:t>The Company’s reven</w:t>
      </w:r>
      <w:r>
        <w:rPr>
          <w:rFonts w:eastAsia="Times New Roman"/>
          <w:color w:val="000000"/>
          <w:sz w:val="20"/>
          <w:szCs w:val="20"/>
        </w:rPr>
        <w:t>ues from contracts with customers are discussed below.</w:t>
      </w:r>
    </w:p>
    <w:p w:rsidR="00000000" w:rsidRDefault="00DF5BC2">
      <w:pPr>
        <w:jc w:val="center"/>
        <w:divId w:val="1821578723"/>
        <w:rPr>
          <w:rFonts w:eastAsia="Times New Roman"/>
        </w:rPr>
      </w:pPr>
      <w:r>
        <w:rPr>
          <w:rFonts w:eastAsia="Times New Roman"/>
          <w:color w:val="000000"/>
          <w:sz w:val="20"/>
          <w:szCs w:val="20"/>
        </w:rPr>
        <w:t>F-18</w:t>
      </w:r>
    </w:p>
    <w:p w:rsidR="00000000" w:rsidRDefault="00DF5BC2">
      <w:pPr>
        <w:rPr>
          <w:rFonts w:eastAsia="Times New Roman"/>
        </w:rPr>
      </w:pPr>
      <w:r>
        <w:rPr>
          <w:rFonts w:eastAsia="Times New Roman"/>
        </w:rPr>
        <w:pict>
          <v:rect id="_x0000_i1132" style="width:0;height:1.5pt" o:hralign="center" o:hrstd="t" o:hr="t" fillcolor="#a0a0a0" stroked="f"/>
        </w:pict>
      </w:r>
    </w:p>
    <w:p w:rsidR="00000000" w:rsidRDefault="00DF5BC2">
      <w:pPr>
        <w:divId w:val="201334171"/>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116480676"/>
        <w:rPr>
          <w:rFonts w:eastAsia="Times New Roman"/>
        </w:rPr>
      </w:pPr>
      <w:r>
        <w:rPr>
          <w:rFonts w:eastAsia="Times New Roman"/>
          <w:b/>
          <w:bCs/>
          <w:color w:val="000000"/>
          <w:sz w:val="20"/>
          <w:szCs w:val="20"/>
        </w:rPr>
        <w:t>UGI Corporation and Subsidiaries</w:t>
      </w:r>
    </w:p>
    <w:p w:rsidR="00000000" w:rsidRDefault="00DF5BC2">
      <w:pPr>
        <w:divId w:val="887306296"/>
        <w:rPr>
          <w:rFonts w:eastAsia="Times New Roman"/>
        </w:rPr>
      </w:pPr>
      <w:r>
        <w:rPr>
          <w:rFonts w:eastAsia="Times New Roman"/>
          <w:b/>
          <w:bCs/>
          <w:color w:val="000000"/>
          <w:sz w:val="20"/>
          <w:szCs w:val="20"/>
        </w:rPr>
        <w:t>Notes to Consolidated Financial Statements</w:t>
      </w:r>
    </w:p>
    <w:p w:rsidR="00000000" w:rsidRDefault="00DF5BC2">
      <w:pPr>
        <w:divId w:val="1413550444"/>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1958099489"/>
        <w:rPr>
          <w:rFonts w:eastAsia="Times New Roman"/>
        </w:rPr>
      </w:pPr>
      <w:r>
        <w:rPr>
          <w:rFonts w:eastAsia="Times New Roman"/>
          <w:b/>
          <w:bCs/>
          <w:color w:val="000000"/>
          <w:sz w:val="20"/>
          <w:szCs w:val="20"/>
          <w:u w:val="single"/>
        </w:rPr>
        <w:t>Utility Revenues</w:t>
      </w:r>
    </w:p>
    <w:p w:rsidR="00000000" w:rsidRDefault="00DF5BC2">
      <w:pPr>
        <w:jc w:val="both"/>
        <w:rPr>
          <w:rFonts w:eastAsia="Times New Roman"/>
        </w:rPr>
      </w:pPr>
      <w:r>
        <w:rPr>
          <w:rFonts w:eastAsia="Times New Roman"/>
          <w:color w:val="000000"/>
          <w:sz w:val="20"/>
          <w:szCs w:val="20"/>
        </w:rPr>
        <w:t xml:space="preserve">UGI Utilities supplies natural gas and electricity and provides distribution services of natural gas and electricity </w:t>
      </w:r>
      <w:r>
        <w:rPr>
          <w:rFonts w:eastAsia="Times New Roman"/>
          <w:color w:val="000000"/>
          <w:sz w:val="20"/>
          <w:szCs w:val="20"/>
        </w:rPr>
        <w:t>to residential, commercial, and industrial customers who are generally billed at standard regulated tariff rates approved by the regulatory bodies through the ratemaking process. Tariff rates include a component that provides for a reasonable opportunity t</w:t>
      </w:r>
      <w:r>
        <w:rPr>
          <w:rFonts w:eastAsia="Times New Roman"/>
          <w:color w:val="000000"/>
          <w:sz w:val="20"/>
          <w:szCs w:val="20"/>
        </w:rPr>
        <w:t xml:space="preserve">o recover operating costs and expenses and to earn a return on net investment, and a component that provides for the recovery, subject to reasonableness reviews, of PGC, PGA and DS costs.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Customers may choose to purchase their natural gas and electricit</w:t>
      </w:r>
      <w:r>
        <w:rPr>
          <w:rFonts w:eastAsia="Times New Roman"/>
          <w:color w:val="000000"/>
          <w:sz w:val="20"/>
          <w:szCs w:val="20"/>
        </w:rPr>
        <w:t xml:space="preserve">y from UGI Utilities, or, alternatively, may contract separately with alternate suppliers. Accordingly, our contracts with customers comprise two promised goods or services: (1) delivery service of natural gas and electricity through the Company’s utility </w:t>
      </w:r>
      <w:r>
        <w:rPr>
          <w:rFonts w:eastAsia="Times New Roman"/>
          <w:color w:val="000000"/>
          <w:sz w:val="20"/>
          <w:szCs w:val="20"/>
        </w:rPr>
        <w:t>distribution systems and (2) the natural gas or electricity commodity itself for those customers who choose to purchase the natural gas or electricity directly from the Company. Revenue is not recorded for the sale of natural gas or electricity to customer</w:t>
      </w:r>
      <w:r>
        <w:rPr>
          <w:rFonts w:eastAsia="Times New Roman"/>
          <w:color w:val="000000"/>
          <w:sz w:val="20"/>
          <w:szCs w:val="20"/>
        </w:rPr>
        <w:t xml:space="preserve">s who have contracted separately with alternate suppliers. For those customers who choose to purchase their natural gas or electricity from the Company, the performance obligation includes both the supply of the commodity and the delivery service.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t</w:t>
      </w:r>
      <w:r>
        <w:rPr>
          <w:rFonts w:eastAsia="Times New Roman"/>
          <w:color w:val="000000"/>
          <w:sz w:val="20"/>
          <w:szCs w:val="20"/>
        </w:rPr>
        <w:t>erms of our core market customer contracts are generally considered day-to-day as customers can discontinue service at any time without penalty. Performance obligations are generally satisfied over time as the natural gas or electricity is delivered to cus</w:t>
      </w:r>
      <w:r>
        <w:rPr>
          <w:rFonts w:eastAsia="Times New Roman"/>
          <w:color w:val="000000"/>
          <w:sz w:val="20"/>
          <w:szCs w:val="20"/>
        </w:rPr>
        <w:t>tomers, at which point the customers simultaneously receive and consume the benefits provided by the delivery service and, when applicable, the commodity. Amounts are billed to customers based upon the reading of a customer’s meter, which occurs on a cycle</w:t>
      </w:r>
      <w:r>
        <w:rPr>
          <w:rFonts w:eastAsia="Times New Roman"/>
          <w:color w:val="000000"/>
          <w:sz w:val="20"/>
          <w:szCs w:val="20"/>
        </w:rPr>
        <w:t xml:space="preserve"> basis throughout each reporting period. An unbilled amount is recorded at the end of each reporting period based upon estimated amounts of natural gas or electricity delivered to customers since the date of the last meter reading. These unbilled estimates</w:t>
      </w:r>
      <w:r>
        <w:rPr>
          <w:rFonts w:eastAsia="Times New Roman"/>
          <w:color w:val="000000"/>
          <w:sz w:val="20"/>
          <w:szCs w:val="20"/>
        </w:rPr>
        <w:t xml:space="preserve"> consider various factors such as historical customer usage patterns, customer rates and weather.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UGI Utilities has certain fixed-term contracts with large commercial and industrial customers to provide natural gas delivery services at contracted rates </w:t>
      </w:r>
      <w:r>
        <w:rPr>
          <w:rFonts w:eastAsia="Times New Roman"/>
          <w:color w:val="000000"/>
          <w:sz w:val="20"/>
          <w:szCs w:val="20"/>
        </w:rPr>
        <w:t xml:space="preserve">and at volumes generally based on the customer’s needs. The performance obligation to provide the contracted delivery service for these large commercial and industrial customers is satisfied over time and revenue is generally recognized on a straight-line </w:t>
      </w:r>
      <w:r>
        <w:rPr>
          <w:rFonts w:eastAsia="Times New Roman"/>
          <w:color w:val="000000"/>
          <w:sz w:val="20"/>
          <w:szCs w:val="20"/>
        </w:rPr>
        <w:t>basis.</w:t>
      </w:r>
    </w:p>
    <w:p w:rsidR="00000000" w:rsidRDefault="00DF5BC2">
      <w:pPr>
        <w:jc w:val="both"/>
        <w:rPr>
          <w:rFonts w:eastAsia="Times New Roman"/>
        </w:rPr>
      </w:pPr>
    </w:p>
    <w:p w:rsidR="00000000" w:rsidRDefault="00DF5BC2">
      <w:pPr>
        <w:jc w:val="both"/>
        <w:divId w:val="538663637"/>
        <w:rPr>
          <w:rFonts w:eastAsia="Times New Roman"/>
        </w:rPr>
      </w:pPr>
      <w:r>
        <w:rPr>
          <w:rFonts w:eastAsia="Times New Roman"/>
          <w:color w:val="000000"/>
          <w:sz w:val="20"/>
          <w:szCs w:val="20"/>
        </w:rPr>
        <w:t xml:space="preserve">UGI Utilities makes off-system sales whereby natural gas delivered to our system in excess of amounts needed to fulfill our distribution system needs is sold to other customers, primarily other distributors of natural gas, based on an agreed-upon </w:t>
      </w:r>
      <w:r>
        <w:rPr>
          <w:rFonts w:eastAsia="Times New Roman"/>
          <w:color w:val="000000"/>
          <w:sz w:val="20"/>
          <w:szCs w:val="20"/>
        </w:rPr>
        <w:t>price and volume between the Company and the counterparty. UGI Utilities also sells excess natural gas capacity whereby interstate pipeline capacity in excess of amounts needed to meet our customer obligations is sold to other distributors of natural gas b</w:t>
      </w:r>
      <w:r>
        <w:rPr>
          <w:rFonts w:eastAsia="Times New Roman"/>
          <w:color w:val="000000"/>
          <w:sz w:val="20"/>
          <w:szCs w:val="20"/>
        </w:rPr>
        <w:t>ased upon an agreed-upon rate. Off-system sales and capacity releases are generally entered into one month at a time and comprise the sale of a specific volume of gas or pipeline capacity at a specific delivery point or points over a specific time. As such</w:t>
      </w:r>
      <w:r>
        <w:rPr>
          <w:rFonts w:eastAsia="Times New Roman"/>
          <w:color w:val="000000"/>
          <w:sz w:val="20"/>
          <w:szCs w:val="20"/>
        </w:rPr>
        <w:t>, performance obligations associated with off-system sales and capacity release customers are satisfied, and associated revenue is recorded, when the agreed upon volume of natural gas is delivered or capacity is provided, and title is transferred, in accor</w:t>
      </w:r>
      <w:r>
        <w:rPr>
          <w:rFonts w:eastAsia="Times New Roman"/>
          <w:color w:val="000000"/>
          <w:sz w:val="20"/>
          <w:szCs w:val="20"/>
        </w:rPr>
        <w:t xml:space="preserve">dance with the contract terms. </w:t>
      </w:r>
    </w:p>
    <w:p w:rsidR="00000000" w:rsidRDefault="00DF5BC2">
      <w:pPr>
        <w:jc w:val="both"/>
        <w:divId w:val="958025754"/>
        <w:rPr>
          <w:rFonts w:eastAsia="Times New Roman"/>
        </w:rPr>
      </w:pPr>
      <w:r>
        <w:rPr>
          <w:rFonts w:eastAsia="Times New Roman"/>
          <w:color w:val="000000"/>
          <w:sz w:val="20"/>
          <w:szCs w:val="20"/>
        </w:rPr>
        <w:t>Electric Utility provides transmission services to PJM by allowing PJM to access Electric Utility’s electricity transmission facilities. In exchange for providing access, PJM pays Electric Utility consideration determined by</w:t>
      </w:r>
      <w:r>
        <w:rPr>
          <w:rFonts w:eastAsia="Times New Roman"/>
          <w:color w:val="000000"/>
          <w:sz w:val="20"/>
          <w:szCs w:val="20"/>
        </w:rPr>
        <w:t xml:space="preserve"> a formula-based rate approved by the FERC. The formula-based rate, which is updated annually, allows recovery of costs incurred to provide transmission services and return on transmission-related net investment. We recognize revenue over time as we provid</w:t>
      </w:r>
      <w:r>
        <w:rPr>
          <w:rFonts w:eastAsia="Times New Roman"/>
          <w:color w:val="000000"/>
          <w:sz w:val="20"/>
          <w:szCs w:val="20"/>
        </w:rPr>
        <w:t xml:space="preserve">e transmission service. </w:t>
      </w:r>
    </w:p>
    <w:p w:rsidR="00000000" w:rsidRDefault="00DF5BC2">
      <w:pPr>
        <w:jc w:val="both"/>
        <w:divId w:val="144661041"/>
        <w:rPr>
          <w:rFonts w:eastAsia="Times New Roman"/>
        </w:rPr>
      </w:pPr>
      <w:r>
        <w:rPr>
          <w:rFonts w:eastAsia="Times New Roman"/>
          <w:color w:val="000000"/>
          <w:sz w:val="20"/>
          <w:szCs w:val="20"/>
        </w:rPr>
        <w:t>Other Utility revenues represent revenues from other ancillary services provided to customers and are generally recorded as the service is provided to customers.</w:t>
      </w:r>
    </w:p>
    <w:p w:rsidR="00000000" w:rsidRDefault="00DF5BC2">
      <w:pPr>
        <w:jc w:val="both"/>
        <w:divId w:val="661591025"/>
        <w:rPr>
          <w:rFonts w:eastAsia="Times New Roman"/>
        </w:rPr>
      </w:pPr>
      <w:r>
        <w:rPr>
          <w:rFonts w:eastAsia="Times New Roman"/>
          <w:b/>
          <w:bCs/>
          <w:color w:val="000000"/>
          <w:sz w:val="20"/>
          <w:szCs w:val="20"/>
          <w:u w:val="single"/>
        </w:rPr>
        <w:t>Non-Utility Revenues</w:t>
      </w:r>
    </w:p>
    <w:p w:rsidR="00000000" w:rsidRDefault="00DF5BC2">
      <w:pPr>
        <w:jc w:val="both"/>
        <w:divId w:val="221216116"/>
        <w:rPr>
          <w:rFonts w:eastAsia="Times New Roman"/>
        </w:rPr>
      </w:pPr>
      <w:r>
        <w:rPr>
          <w:rFonts w:eastAsia="Times New Roman"/>
          <w:color w:val="000000"/>
          <w:sz w:val="20"/>
          <w:szCs w:val="20"/>
          <w:u w:val="single"/>
        </w:rPr>
        <w:t>LPG</w:t>
      </w:r>
      <w:r>
        <w:rPr>
          <w:rFonts w:eastAsia="Times New Roman"/>
          <w:color w:val="000000"/>
          <w:sz w:val="20"/>
          <w:szCs w:val="20"/>
        </w:rPr>
        <w:t>. AmeriGas Propane and UGI International reco</w:t>
      </w:r>
      <w:r>
        <w:rPr>
          <w:rFonts w:eastAsia="Times New Roman"/>
          <w:color w:val="000000"/>
          <w:sz w:val="20"/>
          <w:szCs w:val="20"/>
        </w:rPr>
        <w:t>rd revenue principally from the sale of LPG to retail and wholesale customers. The primary performance obligation associated with the sale of LPG is the delivery of propane to (1) the customer’s point of delivery for retail customers and (2) the customer’s</w:t>
      </w:r>
      <w:r>
        <w:rPr>
          <w:rFonts w:eastAsia="Times New Roman"/>
          <w:color w:val="000000"/>
          <w:sz w:val="20"/>
          <w:szCs w:val="20"/>
        </w:rPr>
        <w:t xml:space="preserve"> specified location where LPG is picked up by wholesale customers, at which point control of the propane is transferred to the customer, the performance obligation is satisfied, and the associated revenue is recognized. For contracts with retail customers </w:t>
      </w:r>
      <w:r>
        <w:rPr>
          <w:rFonts w:eastAsia="Times New Roman"/>
          <w:color w:val="000000"/>
          <w:sz w:val="20"/>
          <w:szCs w:val="20"/>
        </w:rPr>
        <w:t xml:space="preserve">that consume LPG from a metered tank, we recognize revenue as LPG is consumed, at which point we have the right to invoice, and generally invoice monthly based on consumption. </w:t>
      </w:r>
    </w:p>
    <w:p w:rsidR="00000000" w:rsidRDefault="00DF5BC2">
      <w:pPr>
        <w:jc w:val="center"/>
        <w:divId w:val="92288375"/>
        <w:rPr>
          <w:rFonts w:eastAsia="Times New Roman"/>
        </w:rPr>
      </w:pPr>
      <w:r>
        <w:rPr>
          <w:rFonts w:eastAsia="Times New Roman"/>
          <w:color w:val="000000"/>
          <w:sz w:val="20"/>
          <w:szCs w:val="20"/>
        </w:rPr>
        <w:t>F-19</w:t>
      </w:r>
    </w:p>
    <w:p w:rsidR="00000000" w:rsidRDefault="00DF5BC2">
      <w:pPr>
        <w:rPr>
          <w:rFonts w:eastAsia="Times New Roman"/>
        </w:rPr>
      </w:pPr>
      <w:r>
        <w:rPr>
          <w:rFonts w:eastAsia="Times New Roman"/>
        </w:rPr>
        <w:pict>
          <v:rect id="_x0000_i1133" style="width:0;height:1.5pt" o:hralign="center" o:hrstd="t" o:hr="t" fillcolor="#a0a0a0" stroked="f"/>
        </w:pict>
      </w:r>
    </w:p>
    <w:p w:rsidR="00000000" w:rsidRDefault="00DF5BC2">
      <w:pPr>
        <w:divId w:val="490218766"/>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479078009"/>
        <w:rPr>
          <w:rFonts w:eastAsia="Times New Roman"/>
        </w:rPr>
      </w:pPr>
      <w:r>
        <w:rPr>
          <w:rFonts w:eastAsia="Times New Roman"/>
          <w:b/>
          <w:bCs/>
          <w:color w:val="000000"/>
          <w:sz w:val="20"/>
          <w:szCs w:val="20"/>
        </w:rPr>
        <w:t>UGI Corporation and Subsidiaries</w:t>
      </w:r>
    </w:p>
    <w:p w:rsidR="00000000" w:rsidRDefault="00DF5BC2">
      <w:pPr>
        <w:divId w:val="1963461502"/>
        <w:rPr>
          <w:rFonts w:eastAsia="Times New Roman"/>
        </w:rPr>
      </w:pPr>
      <w:r>
        <w:rPr>
          <w:rFonts w:eastAsia="Times New Roman"/>
          <w:b/>
          <w:bCs/>
          <w:color w:val="000000"/>
          <w:sz w:val="20"/>
          <w:szCs w:val="20"/>
        </w:rPr>
        <w:t>Notes to Consolidated Financial Statements</w:t>
      </w:r>
    </w:p>
    <w:p w:rsidR="00000000" w:rsidRDefault="00DF5BC2">
      <w:pPr>
        <w:divId w:val="2054190599"/>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jc w:val="both"/>
        <w:divId w:val="1624769346"/>
        <w:rPr>
          <w:rFonts w:eastAsia="Times New Roman"/>
        </w:rPr>
      </w:pPr>
      <w:r>
        <w:rPr>
          <w:rFonts w:eastAsia="Times New Roman"/>
          <w:color w:val="000000"/>
          <w:sz w:val="20"/>
          <w:szCs w:val="20"/>
        </w:rPr>
        <w:t>Contracts with customers comprise different types of contracts with varying length terms, fixed or variable prices, and fixed or variable quantities. Contracts with our residential customers, which comprise a substantial number of our customer c</w:t>
      </w:r>
      <w:r>
        <w:rPr>
          <w:rFonts w:eastAsia="Times New Roman"/>
          <w:color w:val="000000"/>
          <w:sz w:val="20"/>
          <w:szCs w:val="20"/>
        </w:rPr>
        <w:t xml:space="preserve">ontracts, are generally one year or less. Customer contracts for the sale of LPG include fixed-price, fixed-quantity contracts under which LPG is provided to customers at a fixed price and a fixed volume, and contracts that provide for the sale of propane </w:t>
      </w:r>
      <w:r>
        <w:rPr>
          <w:rFonts w:eastAsia="Times New Roman"/>
          <w:color w:val="000000"/>
          <w:sz w:val="20"/>
          <w:szCs w:val="20"/>
        </w:rPr>
        <w:t>at market prices at date of delivery with no fixed volumes. AmeriGas Propane offers contracts that permit customers to lock in a fixed price for their volumes for a fee and also provide customers with the option to pre-buy a fixed amount of propane at a fi</w:t>
      </w:r>
      <w:r>
        <w:rPr>
          <w:rFonts w:eastAsia="Times New Roman"/>
          <w:color w:val="000000"/>
          <w:sz w:val="20"/>
          <w:szCs w:val="20"/>
        </w:rPr>
        <w:t>xed price. Amounts received under pre-buy arrangements are recorded as a contract liability when received and recorded as revenue when LPG is delivered and control is transferred to the customer. Fee revenue associated with fixed-price contracts are record</w:t>
      </w:r>
      <w:r>
        <w:rPr>
          <w:rFonts w:eastAsia="Times New Roman"/>
          <w:color w:val="000000"/>
          <w:sz w:val="20"/>
          <w:szCs w:val="20"/>
        </w:rPr>
        <w:t>ed as contract liabilities and recorded ratably over the contract period.</w:t>
      </w:r>
    </w:p>
    <w:p w:rsidR="00000000" w:rsidRDefault="00DF5BC2">
      <w:pPr>
        <w:jc w:val="both"/>
        <w:divId w:val="306977955"/>
        <w:rPr>
          <w:rFonts w:eastAsia="Times New Roman"/>
        </w:rPr>
      </w:pPr>
      <w:r>
        <w:rPr>
          <w:rFonts w:eastAsia="Times New Roman"/>
          <w:color w:val="000000"/>
          <w:sz w:val="20"/>
          <w:szCs w:val="20"/>
        </w:rPr>
        <w:t>AmeriGas Propane and UGI International also distribute LPG to customers in portable cylinders. Under certain contracts, filled cylinders are delivered, and control is transferred, to</w:t>
      </w:r>
      <w:r>
        <w:rPr>
          <w:rFonts w:eastAsia="Times New Roman"/>
          <w:color w:val="000000"/>
          <w:sz w:val="20"/>
          <w:szCs w:val="20"/>
        </w:rPr>
        <w:t xml:space="preserve"> a reseller. In such instances, the reseller is our customer and we record revenue upon delivery to the reseller. Under other contracts, filled cylinders are delivered to a reseller, but the Company retains control of the cylinders. In such instances, we r</w:t>
      </w:r>
      <w:r>
        <w:rPr>
          <w:rFonts w:eastAsia="Times New Roman"/>
          <w:color w:val="000000"/>
          <w:sz w:val="20"/>
          <w:szCs w:val="20"/>
        </w:rPr>
        <w:t xml:space="preserve">ecord revenue at the time the reseller transfers control of the cylinder to the end user. </w:t>
      </w:r>
    </w:p>
    <w:p w:rsidR="00000000" w:rsidRDefault="00DF5BC2">
      <w:pPr>
        <w:jc w:val="both"/>
        <w:divId w:val="661012646"/>
        <w:rPr>
          <w:rFonts w:eastAsia="Times New Roman"/>
        </w:rPr>
      </w:pPr>
      <w:r>
        <w:rPr>
          <w:rFonts w:eastAsia="Times New Roman"/>
          <w:color w:val="000000"/>
          <w:sz w:val="20"/>
          <w:szCs w:val="20"/>
        </w:rPr>
        <w:t>Certain retail LPG customers for AmeriGas Propane receive credits which we account for as variable consideration. We estimate these credits based upon past practices</w:t>
      </w:r>
      <w:r>
        <w:rPr>
          <w:rFonts w:eastAsia="Times New Roman"/>
          <w:color w:val="000000"/>
          <w:sz w:val="20"/>
          <w:szCs w:val="20"/>
        </w:rPr>
        <w:t xml:space="preserve"> and historical customer experience and we reduce our revenues recognized for these credits.</w:t>
      </w:r>
    </w:p>
    <w:p w:rsidR="00000000" w:rsidRDefault="00DF5BC2">
      <w:pPr>
        <w:jc w:val="both"/>
        <w:divId w:val="875118902"/>
        <w:rPr>
          <w:rFonts w:eastAsia="Times New Roman"/>
        </w:rPr>
      </w:pPr>
      <w:r>
        <w:rPr>
          <w:rFonts w:eastAsia="Times New Roman"/>
          <w:color w:val="000000"/>
          <w:sz w:val="20"/>
          <w:szCs w:val="20"/>
          <w:u w:val="single"/>
        </w:rPr>
        <w:t>Energy Marketing.</w:t>
      </w:r>
      <w:r>
        <w:rPr>
          <w:rFonts w:eastAsia="Times New Roman"/>
          <w:color w:val="000000"/>
          <w:sz w:val="20"/>
          <w:szCs w:val="20"/>
        </w:rPr>
        <w:t xml:space="preserve"> Midstream &amp; </w:t>
      </w:r>
      <w:r>
        <w:rPr>
          <w:rFonts w:eastAsia="Times New Roman"/>
          <w:color w:val="000000"/>
          <w:sz w:val="20"/>
          <w:szCs w:val="20"/>
        </w:rPr>
        <w:t xml:space="preserve">Marketing and UGI International operate energy marketing businesses that sell energy commodities, principally natural gas and electricity, to residential, commercial, industrial and wholesale customers. </w:t>
      </w:r>
    </w:p>
    <w:p w:rsidR="00000000" w:rsidRDefault="00DF5BC2">
      <w:pPr>
        <w:jc w:val="both"/>
        <w:divId w:val="1548642255"/>
        <w:rPr>
          <w:rFonts w:eastAsia="Times New Roman"/>
        </w:rPr>
      </w:pPr>
      <w:r>
        <w:rPr>
          <w:rFonts w:eastAsia="Times New Roman"/>
          <w:color w:val="000000"/>
          <w:sz w:val="20"/>
          <w:szCs w:val="20"/>
        </w:rPr>
        <w:t>Midstream &amp; Marketing and UGI International market n</w:t>
      </w:r>
      <w:r>
        <w:rPr>
          <w:rFonts w:eastAsia="Times New Roman"/>
          <w:color w:val="000000"/>
          <w:sz w:val="20"/>
          <w:szCs w:val="20"/>
        </w:rPr>
        <w:t>atural gas and electricity on full-requirements or agreed-upon volume bases under contracts with varying length terms and at fixed or floating prices that are based on market indices adjusted for differences in price between the market location and deliver</w:t>
      </w:r>
      <w:r>
        <w:rPr>
          <w:rFonts w:eastAsia="Times New Roman"/>
          <w:color w:val="000000"/>
          <w:sz w:val="20"/>
          <w:szCs w:val="20"/>
        </w:rPr>
        <w:t>y locations. Performance obligations associated with these contracts primarily comprise the delivery of the natural gas and electricity over a contractual period of time. Performance obligations also include other energy-related ancillary services provided</w:t>
      </w:r>
      <w:r>
        <w:rPr>
          <w:rFonts w:eastAsia="Times New Roman"/>
          <w:color w:val="000000"/>
          <w:sz w:val="20"/>
          <w:szCs w:val="20"/>
        </w:rPr>
        <w:t xml:space="preserve"> to customers such as capacity. For performance obligations that are satisfied at a point in time such as the delivery of natural gas, revenue is recorded when customers take control of the natural gas. Revenue is recorded for performance obligations that </w:t>
      </w:r>
      <w:r>
        <w:rPr>
          <w:rFonts w:eastAsia="Times New Roman"/>
          <w:color w:val="000000"/>
          <w:sz w:val="20"/>
          <w:szCs w:val="20"/>
        </w:rPr>
        <w:t>qualify as a series, when customers consume the natural gas or electricity is delivered, which corresponds to the amount invoiced to the customer. For transactions where the price or volume is not fixed, the transaction price is not determined until delive</w:t>
      </w:r>
      <w:r>
        <w:rPr>
          <w:rFonts w:eastAsia="Times New Roman"/>
          <w:color w:val="000000"/>
          <w:sz w:val="20"/>
          <w:szCs w:val="20"/>
        </w:rPr>
        <w:t xml:space="preserve">ry occurs. The billed amount, and the revenue recorded, is based upon consumption by the customer. </w:t>
      </w:r>
    </w:p>
    <w:p w:rsidR="00000000" w:rsidRDefault="00DF5BC2">
      <w:pPr>
        <w:jc w:val="both"/>
        <w:divId w:val="407192963"/>
        <w:rPr>
          <w:rFonts w:eastAsia="Times New Roman"/>
        </w:rPr>
      </w:pPr>
      <w:r>
        <w:rPr>
          <w:rFonts w:eastAsia="Times New Roman"/>
          <w:color w:val="000000"/>
          <w:sz w:val="20"/>
          <w:szCs w:val="20"/>
          <w:u w:val="single"/>
        </w:rPr>
        <w:t>Midstream.</w:t>
      </w:r>
      <w:r>
        <w:rPr>
          <w:rFonts w:eastAsia="Times New Roman"/>
          <w:color w:val="000000"/>
          <w:sz w:val="20"/>
          <w:szCs w:val="20"/>
        </w:rPr>
        <w:t xml:space="preserve"> Midstream &amp; Marketing provides natural gas pipeline transportation, natural gas gathering, natural gas processing and natural gas underground sto</w:t>
      </w:r>
      <w:r>
        <w:rPr>
          <w:rFonts w:eastAsia="Times New Roman"/>
          <w:color w:val="000000"/>
          <w:sz w:val="20"/>
          <w:szCs w:val="20"/>
        </w:rPr>
        <w:t>rage services, which generally contain a performance obligation for the Company to have availability to transport or store a product. Additionally, the Company provides stand-ready services to sell supplemental energy products and related services, primari</w:t>
      </w:r>
      <w:r>
        <w:rPr>
          <w:rFonts w:eastAsia="Times New Roman"/>
          <w:color w:val="000000"/>
          <w:sz w:val="20"/>
          <w:szCs w:val="20"/>
        </w:rPr>
        <w:t>ly LNG and propane-air mixtures during periods of high demand that typically result from cold weather. The Company also sells LNG to end-user customers for use by trucks, drilling rigs and other motored vehicles and equipment, and facilities that are locat</w:t>
      </w:r>
      <w:r>
        <w:rPr>
          <w:rFonts w:eastAsia="Times New Roman"/>
          <w:color w:val="000000"/>
          <w:sz w:val="20"/>
          <w:szCs w:val="20"/>
        </w:rPr>
        <w:t xml:space="preserve">ed off the natural gas grid. </w:t>
      </w:r>
    </w:p>
    <w:p w:rsidR="00000000" w:rsidRDefault="00DF5BC2">
      <w:pPr>
        <w:jc w:val="both"/>
        <w:divId w:val="1230461596"/>
        <w:rPr>
          <w:rFonts w:eastAsia="Times New Roman"/>
        </w:rPr>
      </w:pPr>
      <w:r>
        <w:rPr>
          <w:rFonts w:eastAsia="Times New Roman"/>
          <w:color w:val="000000"/>
          <w:sz w:val="20"/>
          <w:szCs w:val="20"/>
        </w:rPr>
        <w:t>Contracts for natural gas transportation and gathering services are typically long-term contracts with terms of up to 30 years, while contracts for storage are typically for one-year or multiple storage season periods. Contrac</w:t>
      </w:r>
      <w:r>
        <w:rPr>
          <w:rFonts w:eastAsia="Times New Roman"/>
          <w:color w:val="000000"/>
          <w:sz w:val="20"/>
          <w:szCs w:val="20"/>
        </w:rPr>
        <w:t>ts to provide natural gas during periods of high demand have terms of up to 15 years. Contracts to sell LNG for trucks, drilling rigs and other motor vehicles and facilities are typically short-term (less than one year). Depending on the type of services p</w:t>
      </w:r>
      <w:r>
        <w:rPr>
          <w:rFonts w:eastAsia="Times New Roman"/>
          <w:color w:val="000000"/>
          <w:sz w:val="20"/>
          <w:szCs w:val="20"/>
        </w:rPr>
        <w:t>rovided or goods sold, midstream revenues may consist of demand rates, commodity rates, and transportation rates and may include other fees for ancillary services. Pipeline transportation, natural gas gathering and storage services provided and services to</w:t>
      </w:r>
      <w:r>
        <w:rPr>
          <w:rFonts w:eastAsia="Times New Roman"/>
          <w:color w:val="000000"/>
          <w:sz w:val="20"/>
          <w:szCs w:val="20"/>
        </w:rPr>
        <w:t xml:space="preserve"> stand ready to sell supplemental energy products and services each are considered to have a single performance obligation satisfied through the passage of time ratably based upon providing a stand-ready service generally on a monthly basis. Contracts to s</w:t>
      </w:r>
      <w:r>
        <w:rPr>
          <w:rFonts w:eastAsia="Times New Roman"/>
          <w:color w:val="000000"/>
          <w:sz w:val="20"/>
          <w:szCs w:val="20"/>
        </w:rPr>
        <w:t>ell LNG to end-user customers contain performance obligations to deliver LNG over the term of the contract and revenue is recognized at a point in time when the control of the energy products is transferred to the customer. The price in the contract corres</w:t>
      </w:r>
      <w:r>
        <w:rPr>
          <w:rFonts w:eastAsia="Times New Roman"/>
          <w:color w:val="000000"/>
          <w:sz w:val="20"/>
          <w:szCs w:val="20"/>
        </w:rPr>
        <w:t>ponds to our efforts to satisfy the performance obligation and reflects the consideration we expect to receive for the satisfied performance obligation, and, therefore, the revenue is recognized based on the volume delivered and the price within the contra</w:t>
      </w:r>
      <w:r>
        <w:rPr>
          <w:rFonts w:eastAsia="Times New Roman"/>
          <w:color w:val="000000"/>
          <w:sz w:val="20"/>
          <w:szCs w:val="20"/>
        </w:rPr>
        <w:t>ct. In cases where shipping and handling occurs prior to the LNG being delivered to the customer’s storage vessel, we have elected to treat this as a cost of fulfillment and not a separate performance obligation. Revenues are typically billed and payment r</w:t>
      </w:r>
      <w:r>
        <w:rPr>
          <w:rFonts w:eastAsia="Times New Roman"/>
          <w:color w:val="000000"/>
          <w:sz w:val="20"/>
          <w:szCs w:val="20"/>
        </w:rPr>
        <w:t xml:space="preserve">eceived monthly. Advance fees received from customers for stand-ready services are deferred as contract liabilities and revenue is recognized ratably over time as the performance obligation is satisfied over a period less than one year. </w:t>
      </w:r>
    </w:p>
    <w:p w:rsidR="00000000" w:rsidRDefault="00DF5BC2">
      <w:pPr>
        <w:jc w:val="center"/>
        <w:divId w:val="594168019"/>
        <w:rPr>
          <w:rFonts w:eastAsia="Times New Roman"/>
        </w:rPr>
      </w:pPr>
      <w:r>
        <w:rPr>
          <w:rFonts w:eastAsia="Times New Roman"/>
          <w:color w:val="000000"/>
          <w:sz w:val="20"/>
          <w:szCs w:val="20"/>
        </w:rPr>
        <w:t>F-20</w:t>
      </w:r>
    </w:p>
    <w:p w:rsidR="00000000" w:rsidRDefault="00DF5BC2">
      <w:pPr>
        <w:rPr>
          <w:rFonts w:eastAsia="Times New Roman"/>
        </w:rPr>
      </w:pPr>
      <w:r>
        <w:rPr>
          <w:rFonts w:eastAsia="Times New Roman"/>
        </w:rPr>
        <w:pict>
          <v:rect id="_x0000_i1134" style="width:0;height:1.5pt" o:hralign="center" o:hrstd="t" o:hr="t" fillcolor="#a0a0a0" stroked="f"/>
        </w:pict>
      </w:r>
    </w:p>
    <w:p w:rsidR="00000000" w:rsidRDefault="00DF5BC2">
      <w:pPr>
        <w:divId w:val="113521908"/>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390928970"/>
        <w:rPr>
          <w:rFonts w:eastAsia="Times New Roman"/>
        </w:rPr>
      </w:pPr>
      <w:r>
        <w:rPr>
          <w:rFonts w:eastAsia="Times New Roman"/>
          <w:b/>
          <w:bCs/>
          <w:color w:val="000000"/>
          <w:sz w:val="20"/>
          <w:szCs w:val="20"/>
        </w:rPr>
        <w:t>UGI Corporation and Subsidiaries</w:t>
      </w:r>
    </w:p>
    <w:p w:rsidR="00000000" w:rsidRDefault="00DF5BC2">
      <w:pPr>
        <w:divId w:val="565722594"/>
        <w:rPr>
          <w:rFonts w:eastAsia="Times New Roman"/>
        </w:rPr>
      </w:pPr>
      <w:r>
        <w:rPr>
          <w:rFonts w:eastAsia="Times New Roman"/>
          <w:b/>
          <w:bCs/>
          <w:color w:val="000000"/>
          <w:sz w:val="20"/>
          <w:szCs w:val="20"/>
        </w:rPr>
        <w:t>Notes to Consolidated Financial Statements</w:t>
      </w:r>
    </w:p>
    <w:p w:rsidR="00000000" w:rsidRDefault="00DF5BC2">
      <w:pPr>
        <w:divId w:val="507256701"/>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1165785837"/>
        <w:rPr>
          <w:rFonts w:eastAsia="Times New Roman"/>
        </w:rPr>
      </w:pPr>
      <w:r>
        <w:rPr>
          <w:rFonts w:eastAsia="Times New Roman"/>
          <w:color w:val="000000"/>
          <w:sz w:val="20"/>
          <w:szCs w:val="20"/>
          <w:u w:val="single"/>
        </w:rPr>
        <w:t>E</w:t>
      </w:r>
      <w:r>
        <w:rPr>
          <w:rFonts w:eastAsia="Times New Roman"/>
          <w:color w:val="000000"/>
          <w:sz w:val="20"/>
          <w:szCs w:val="20"/>
          <w:u w:val="single"/>
        </w:rPr>
        <w:t>lectricity Generation.</w:t>
      </w:r>
      <w:r>
        <w:rPr>
          <w:rFonts w:eastAsia="Times New Roman"/>
          <w:color w:val="000000"/>
          <w:sz w:val="20"/>
          <w:szCs w:val="20"/>
        </w:rPr>
        <w:t xml:space="preserve"> Midstream &amp; Marketing sells power generated from electricity generation assets in the wholesale electricity markets administered by PJM regional transmission organization. Power contracts with PJM consist of the sale of power, capaci</w:t>
      </w:r>
      <w:r>
        <w:rPr>
          <w:rFonts w:eastAsia="Times New Roman"/>
          <w:color w:val="000000"/>
          <w:sz w:val="20"/>
          <w:szCs w:val="20"/>
        </w:rPr>
        <w:t>ty and ancillary services, all of which are considered a bundle of various services. Performance obligations are satisfied over time, generally on a daily basis, as electricity is delivered to and simultaneously consumed by the customer. As such, the Compa</w:t>
      </w:r>
      <w:r>
        <w:rPr>
          <w:rFonts w:eastAsia="Times New Roman"/>
          <w:color w:val="000000"/>
          <w:sz w:val="20"/>
          <w:szCs w:val="20"/>
        </w:rPr>
        <w:t>ny has elected to recognize revenue in the amount to which we have a right to invoice which is based on market prices at the time of the delivery of the electricity to the customers.</w:t>
      </w:r>
    </w:p>
    <w:p w:rsidR="00000000" w:rsidRDefault="00DF5BC2">
      <w:pPr>
        <w:jc w:val="both"/>
        <w:divId w:val="266237939"/>
        <w:rPr>
          <w:rFonts w:eastAsia="Times New Roman"/>
        </w:rPr>
      </w:pPr>
      <w:r>
        <w:rPr>
          <w:rFonts w:eastAsia="Times New Roman"/>
          <w:color w:val="000000"/>
          <w:sz w:val="20"/>
          <w:szCs w:val="20"/>
          <w:u w:val="single"/>
        </w:rPr>
        <w:t>Other.</w:t>
      </w:r>
      <w:r>
        <w:rPr>
          <w:rFonts w:eastAsia="Times New Roman"/>
          <w:color w:val="000000"/>
          <w:sz w:val="20"/>
          <w:szCs w:val="20"/>
        </w:rPr>
        <w:t xml:space="preserve"> Other revenues from contracts with customers are generated primari</w:t>
      </w:r>
      <w:r>
        <w:rPr>
          <w:rFonts w:eastAsia="Times New Roman"/>
          <w:color w:val="000000"/>
          <w:sz w:val="20"/>
          <w:szCs w:val="20"/>
        </w:rPr>
        <w:t>ly from services and products provided by Midstream &amp; Marketing’s HVAC business, prior to its sale in September 2020, and AmeriGas Propane’s parts and services business. The performance obligations of these businesses include installation, repair and warra</w:t>
      </w:r>
      <w:r>
        <w:rPr>
          <w:rFonts w:eastAsia="Times New Roman"/>
          <w:color w:val="000000"/>
          <w:sz w:val="20"/>
          <w:szCs w:val="20"/>
        </w:rPr>
        <w:t>nty agreements associated with HVAC equipment and installation services provided for combined heat and power and solar panel installations. For installation and repair goods and services, the performance obligations under these contracts are satisfied, and</w:t>
      </w:r>
      <w:r>
        <w:rPr>
          <w:rFonts w:eastAsia="Times New Roman"/>
          <w:color w:val="000000"/>
          <w:sz w:val="20"/>
          <w:szCs w:val="20"/>
        </w:rPr>
        <w:t xml:space="preserve"> revenue is recognized, as control of the product is transferred or the services are rendered. For warranty services, revenue is recorded ratably over the warranty period. Other LPG revenues from contracts with customers are generated primarily from certai</w:t>
      </w:r>
      <w:r>
        <w:rPr>
          <w:rFonts w:eastAsia="Times New Roman"/>
          <w:color w:val="000000"/>
          <w:sz w:val="20"/>
          <w:szCs w:val="20"/>
        </w:rPr>
        <w:t>n fees AmeriGas Propane and UGI International charge associated with the delivery of LPG, including hazmat safety compliance, inspection, metering, installation, fuel recovery and certain other services. Revenues from fees are typically recorded when the L</w:t>
      </w:r>
      <w:r>
        <w:rPr>
          <w:rFonts w:eastAsia="Times New Roman"/>
          <w:color w:val="000000"/>
          <w:sz w:val="20"/>
          <w:szCs w:val="20"/>
        </w:rPr>
        <w:t xml:space="preserve">PG is delivered to the customer or the associated service is completed. </w:t>
      </w:r>
    </w:p>
    <w:p w:rsidR="00000000" w:rsidRDefault="00DF5BC2">
      <w:pPr>
        <w:jc w:val="both"/>
        <w:divId w:val="1214390045"/>
        <w:rPr>
          <w:rFonts w:eastAsia="Times New Roman"/>
        </w:rPr>
      </w:pPr>
      <w:r>
        <w:rPr>
          <w:rFonts w:eastAsia="Times New Roman"/>
          <w:b/>
          <w:bCs/>
          <w:color w:val="000000"/>
          <w:sz w:val="20"/>
          <w:szCs w:val="20"/>
        </w:rPr>
        <w:t>Revenue Disaggregation</w:t>
      </w:r>
    </w:p>
    <w:p w:rsidR="00000000" w:rsidRDefault="00DF5BC2">
      <w:pPr>
        <w:jc w:val="both"/>
        <w:divId w:val="15471796"/>
        <w:rPr>
          <w:rFonts w:eastAsia="Times New Roman"/>
        </w:rPr>
      </w:pPr>
      <w:r>
        <w:rPr>
          <w:rFonts w:eastAsia="Times New Roman"/>
          <w:color w:val="000000"/>
          <w:sz w:val="20"/>
          <w:szCs w:val="20"/>
        </w:rPr>
        <w:t>The following table presents our disaggregated revenues by reportable segment during Fiscal 2021, Fiscal 2020 and Fiscal 2019:</w:t>
      </w:r>
    </w:p>
    <w:tbl>
      <w:tblPr>
        <w:tblW w:w="4985" w:type="pct"/>
        <w:tblCellMar>
          <w:top w:w="15" w:type="dxa"/>
          <w:left w:w="15" w:type="dxa"/>
          <w:bottom w:w="15" w:type="dxa"/>
          <w:right w:w="15" w:type="dxa"/>
        </w:tblCellMar>
        <w:tblLook w:val="04A0" w:firstRow="1" w:lastRow="0" w:firstColumn="1" w:lastColumn="0" w:noHBand="0" w:noVBand="1"/>
      </w:tblPr>
      <w:tblGrid>
        <w:gridCol w:w="40"/>
        <w:gridCol w:w="2082"/>
        <w:gridCol w:w="38"/>
        <w:gridCol w:w="36"/>
        <w:gridCol w:w="36"/>
        <w:gridCol w:w="36"/>
        <w:gridCol w:w="100"/>
        <w:gridCol w:w="406"/>
        <w:gridCol w:w="36"/>
        <w:gridCol w:w="36"/>
        <w:gridCol w:w="36"/>
        <w:gridCol w:w="36"/>
        <w:gridCol w:w="101"/>
        <w:gridCol w:w="801"/>
        <w:gridCol w:w="36"/>
        <w:gridCol w:w="36"/>
        <w:gridCol w:w="36"/>
        <w:gridCol w:w="36"/>
        <w:gridCol w:w="101"/>
        <w:gridCol w:w="647"/>
        <w:gridCol w:w="36"/>
        <w:gridCol w:w="36"/>
        <w:gridCol w:w="36"/>
        <w:gridCol w:w="36"/>
        <w:gridCol w:w="101"/>
        <w:gridCol w:w="758"/>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trPr>
          <w:divId w:val="15471796"/>
        </w:trPr>
        <w:tc>
          <w:tcPr>
            <w:tcW w:w="50" w:type="pct"/>
            <w:vAlign w:val="center"/>
            <w:hideMark/>
          </w:tcPr>
          <w:p w:rsidR="00000000" w:rsidRDefault="00DF5BC2">
            <w:pPr>
              <w:jc w:val="both"/>
              <w:rPr>
                <w:rFonts w:eastAsia="Times New Roman"/>
              </w:rPr>
            </w:pPr>
          </w:p>
        </w:tc>
        <w:tc>
          <w:tcPr>
            <w:tcW w:w="138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5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6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7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5471796"/>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(a)</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AmeriGas Propane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UGI International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Corporate &amp; Other</w:t>
            </w:r>
          </w:p>
        </w:tc>
      </w:tr>
      <w:tr w:rsidR="00000000">
        <w:trPr>
          <w:divId w:val="1547179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547179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5471796"/>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DF5BC2">
        <w:trPr>
          <w:divId w:val="15471796"/>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568 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568 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5471796"/>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5471796"/>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3,957 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2,203 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1,754 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328 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189 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1,564 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605 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5471796"/>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181 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181 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206 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547179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547179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7,447 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(291)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center"/>
        <w:divId w:val="1157458639"/>
        <w:rPr>
          <w:rFonts w:eastAsia="Times New Roman"/>
        </w:rPr>
      </w:pPr>
      <w:r>
        <w:rPr>
          <w:rFonts w:eastAsia="Times New Roman"/>
          <w:color w:val="000000"/>
          <w:sz w:val="20"/>
          <w:szCs w:val="20"/>
        </w:rPr>
        <w:t>F-21</w:t>
      </w:r>
    </w:p>
    <w:p w:rsidR="00000000" w:rsidRDefault="00DF5BC2">
      <w:pPr>
        <w:rPr>
          <w:rFonts w:eastAsia="Times New Roman"/>
        </w:rPr>
      </w:pPr>
      <w:r>
        <w:rPr>
          <w:rFonts w:eastAsia="Times New Roman"/>
        </w:rPr>
        <w:pict>
          <v:rect id="_x0000_i1135" style="width:0;height:1.5pt" o:hralign="center" o:hrstd="t" o:hr="t" fillcolor="#a0a0a0" stroked="f"/>
        </w:pict>
      </w:r>
    </w:p>
    <w:p w:rsidR="00000000" w:rsidRDefault="00DF5BC2">
      <w:pPr>
        <w:divId w:val="666321896"/>
        <w:rPr>
          <w:rFonts w:eastAsia="Times New Roman"/>
        </w:rPr>
      </w:pPr>
      <w:hyperlink w:anchor="ica38aa2cb9a04eba8f8cadac27ee7fb9_7" w:history="1">
        <w:r>
          <w:rPr>
            <w:rStyle w:val="a3"/>
            <w:rFonts w:eastAsia="Times New Roman"/>
            <w:sz w:val="20"/>
            <w:szCs w:val="20"/>
          </w:rPr>
          <w:t>Ta</w:t>
        </w:r>
        <w:r>
          <w:rPr>
            <w:rStyle w:val="a3"/>
            <w:rFonts w:eastAsia="Times New Roman"/>
            <w:sz w:val="20"/>
            <w:szCs w:val="20"/>
          </w:rPr>
          <w:t>ble of Contents</w:t>
        </w:r>
      </w:hyperlink>
    </w:p>
    <w:p w:rsidR="00000000" w:rsidRDefault="00DF5BC2">
      <w:pPr>
        <w:divId w:val="1148550635"/>
        <w:rPr>
          <w:rFonts w:eastAsia="Times New Roman"/>
        </w:rPr>
      </w:pPr>
      <w:r>
        <w:rPr>
          <w:rFonts w:eastAsia="Times New Roman"/>
          <w:b/>
          <w:bCs/>
          <w:color w:val="000000"/>
          <w:sz w:val="20"/>
          <w:szCs w:val="20"/>
        </w:rPr>
        <w:t>UGI Corporation and Subsidiaries</w:t>
      </w:r>
    </w:p>
    <w:p w:rsidR="00000000" w:rsidRDefault="00DF5BC2">
      <w:pPr>
        <w:divId w:val="1359113572"/>
        <w:rPr>
          <w:rFonts w:eastAsia="Times New Roman"/>
        </w:rPr>
      </w:pPr>
      <w:r>
        <w:rPr>
          <w:rFonts w:eastAsia="Times New Roman"/>
          <w:b/>
          <w:bCs/>
          <w:color w:val="000000"/>
          <w:sz w:val="20"/>
          <w:szCs w:val="20"/>
        </w:rPr>
        <w:t>Notes to Consolidated Financial Statements</w:t>
      </w:r>
    </w:p>
    <w:p w:rsidR="00000000" w:rsidRDefault="00DF5BC2">
      <w:pPr>
        <w:divId w:val="992415137"/>
        <w:rPr>
          <w:rFonts w:eastAsia="Times New Roman"/>
        </w:rPr>
      </w:pPr>
      <w:r>
        <w:rPr>
          <w:rFonts w:eastAsia="Times New Roman"/>
          <w:color w:val="000000"/>
          <w:sz w:val="20"/>
          <w:szCs w:val="20"/>
        </w:rPr>
        <w:t>(Currency in millions, except per share amounts and where indicated otherwise)</w:t>
      </w:r>
    </w:p>
    <w:tbl>
      <w:tblPr>
        <w:tblW w:w="4985" w:type="pct"/>
        <w:tblCellMar>
          <w:top w:w="15" w:type="dxa"/>
          <w:left w:w="15" w:type="dxa"/>
          <w:bottom w:w="15" w:type="dxa"/>
          <w:right w:w="15" w:type="dxa"/>
        </w:tblCellMar>
        <w:tblLook w:val="04A0" w:firstRow="1" w:lastRow="0" w:firstColumn="1" w:lastColumn="0" w:noHBand="0" w:noVBand="1"/>
      </w:tblPr>
      <w:tblGrid>
        <w:gridCol w:w="40"/>
        <w:gridCol w:w="2082"/>
        <w:gridCol w:w="38"/>
        <w:gridCol w:w="36"/>
        <w:gridCol w:w="36"/>
        <w:gridCol w:w="36"/>
        <w:gridCol w:w="100"/>
        <w:gridCol w:w="406"/>
        <w:gridCol w:w="36"/>
        <w:gridCol w:w="36"/>
        <w:gridCol w:w="36"/>
        <w:gridCol w:w="36"/>
        <w:gridCol w:w="101"/>
        <w:gridCol w:w="801"/>
        <w:gridCol w:w="36"/>
        <w:gridCol w:w="36"/>
        <w:gridCol w:w="36"/>
        <w:gridCol w:w="36"/>
        <w:gridCol w:w="101"/>
        <w:gridCol w:w="647"/>
        <w:gridCol w:w="36"/>
        <w:gridCol w:w="36"/>
        <w:gridCol w:w="36"/>
        <w:gridCol w:w="36"/>
        <w:gridCol w:w="101"/>
        <w:gridCol w:w="758"/>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trPr>
          <w:divId w:val="511185243"/>
        </w:trPr>
        <w:tc>
          <w:tcPr>
            <w:tcW w:w="50" w:type="pct"/>
            <w:vAlign w:val="center"/>
            <w:hideMark/>
          </w:tcPr>
          <w:p w:rsidR="00000000" w:rsidRDefault="00DF5BC2">
            <w:pPr>
              <w:rPr>
                <w:rFonts w:eastAsia="Times New Roman"/>
              </w:rPr>
            </w:pPr>
          </w:p>
        </w:tc>
        <w:tc>
          <w:tcPr>
            <w:tcW w:w="138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5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6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7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511185243"/>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w:t>
            </w:r>
            <w:r>
              <w:rPr>
                <w:rFonts w:eastAsia="Times New Roman"/>
                <w:color w:val="000000"/>
                <w:sz w:val="16"/>
                <w:szCs w:val="16"/>
              </w:rPr>
              <w:t>Eliminations</w:t>
            </w:r>
            <w:r>
              <w:rPr>
                <w:rFonts w:eastAsia="Times New Roman"/>
                <w:color w:val="000000"/>
                <w:sz w:val="16"/>
                <w:szCs w:val="16"/>
              </w:rPr>
              <w:br/>
              <w:t>(a)</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AmeriGas Propane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UGI International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Corporate &amp; Other</w:t>
            </w:r>
          </w:p>
        </w:tc>
      </w:tr>
      <w:tr w:rsidR="00000000">
        <w:trPr>
          <w:divId w:val="51118524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51118524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51118524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DF5BC2">
        <w:trPr>
          <w:divId w:val="511185243"/>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563 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563 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51118524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511185243"/>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3,499 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2,037 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1,462 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1,233 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434 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878 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511185243"/>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5,470 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1118524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51118524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6,559 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center"/>
        <w:divId w:val="1292205725"/>
        <w:rPr>
          <w:rFonts w:eastAsia="Times New Roman"/>
        </w:rPr>
      </w:pPr>
      <w:r>
        <w:rPr>
          <w:rFonts w:eastAsia="Times New Roman"/>
          <w:color w:val="000000"/>
          <w:sz w:val="20"/>
          <w:szCs w:val="20"/>
        </w:rPr>
        <w:t>F-22</w:t>
      </w:r>
    </w:p>
    <w:p w:rsidR="00000000" w:rsidRDefault="00DF5BC2">
      <w:pPr>
        <w:rPr>
          <w:rFonts w:eastAsia="Times New Roman"/>
        </w:rPr>
      </w:pPr>
      <w:r>
        <w:rPr>
          <w:rFonts w:eastAsia="Times New Roman"/>
        </w:rPr>
        <w:pict>
          <v:rect id="_x0000_i1136" style="width:0;height:1.5pt" o:hralign="center" o:hrstd="t" o:hr="t" fillcolor="#a0a0a0" stroked="f"/>
        </w:pict>
      </w:r>
    </w:p>
    <w:p w:rsidR="00000000" w:rsidRDefault="00DF5BC2">
      <w:pPr>
        <w:divId w:val="293411936"/>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227108123"/>
        <w:rPr>
          <w:rFonts w:eastAsia="Times New Roman"/>
        </w:rPr>
      </w:pPr>
      <w:r>
        <w:rPr>
          <w:rFonts w:eastAsia="Times New Roman"/>
          <w:b/>
          <w:bCs/>
          <w:color w:val="000000"/>
          <w:sz w:val="20"/>
          <w:szCs w:val="20"/>
        </w:rPr>
        <w:t>UGI Corporation and Subsidiaries</w:t>
      </w:r>
    </w:p>
    <w:p w:rsidR="00000000" w:rsidRDefault="00DF5BC2">
      <w:pPr>
        <w:divId w:val="1540972171"/>
        <w:rPr>
          <w:rFonts w:eastAsia="Times New Roman"/>
        </w:rPr>
      </w:pPr>
      <w:r>
        <w:rPr>
          <w:rFonts w:eastAsia="Times New Roman"/>
          <w:b/>
          <w:bCs/>
          <w:color w:val="000000"/>
          <w:sz w:val="20"/>
          <w:szCs w:val="20"/>
        </w:rPr>
        <w:t>Notes to Consolidated Financial Statements</w:t>
      </w:r>
    </w:p>
    <w:p w:rsidR="00000000" w:rsidRDefault="00DF5BC2">
      <w:pPr>
        <w:divId w:val="588269227"/>
        <w:rPr>
          <w:rFonts w:eastAsia="Times New Roman"/>
        </w:rPr>
      </w:pPr>
      <w:r>
        <w:rPr>
          <w:rFonts w:eastAsia="Times New Roman"/>
          <w:color w:val="000000"/>
          <w:sz w:val="20"/>
          <w:szCs w:val="20"/>
        </w:rPr>
        <w:t>(Currency in millions, except per share amounts and where indicated otherwise)</w:t>
      </w:r>
    </w:p>
    <w:tbl>
      <w:tblPr>
        <w:tblW w:w="4985" w:type="pct"/>
        <w:tblCellMar>
          <w:top w:w="15" w:type="dxa"/>
          <w:left w:w="15" w:type="dxa"/>
          <w:bottom w:w="15" w:type="dxa"/>
          <w:right w:w="15" w:type="dxa"/>
        </w:tblCellMar>
        <w:tblLook w:val="04A0" w:firstRow="1" w:lastRow="0" w:firstColumn="1" w:lastColumn="0" w:noHBand="0" w:noVBand="1"/>
      </w:tblPr>
      <w:tblGrid>
        <w:gridCol w:w="40"/>
        <w:gridCol w:w="2082"/>
        <w:gridCol w:w="38"/>
        <w:gridCol w:w="36"/>
        <w:gridCol w:w="36"/>
        <w:gridCol w:w="36"/>
        <w:gridCol w:w="100"/>
        <w:gridCol w:w="406"/>
        <w:gridCol w:w="36"/>
        <w:gridCol w:w="36"/>
        <w:gridCol w:w="36"/>
        <w:gridCol w:w="36"/>
        <w:gridCol w:w="101"/>
        <w:gridCol w:w="801"/>
        <w:gridCol w:w="36"/>
        <w:gridCol w:w="36"/>
        <w:gridCol w:w="36"/>
        <w:gridCol w:w="36"/>
        <w:gridCol w:w="101"/>
        <w:gridCol w:w="647"/>
        <w:gridCol w:w="36"/>
        <w:gridCol w:w="36"/>
        <w:gridCol w:w="36"/>
        <w:gridCol w:w="36"/>
        <w:gridCol w:w="101"/>
        <w:gridCol w:w="758"/>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trPr>
          <w:divId w:val="13768485"/>
        </w:trPr>
        <w:tc>
          <w:tcPr>
            <w:tcW w:w="50" w:type="pct"/>
            <w:vAlign w:val="center"/>
            <w:hideMark/>
          </w:tcPr>
          <w:p w:rsidR="00000000" w:rsidRDefault="00DF5BC2">
            <w:pPr>
              <w:rPr>
                <w:rFonts w:eastAsia="Times New Roman"/>
              </w:rPr>
            </w:pPr>
          </w:p>
        </w:tc>
        <w:tc>
          <w:tcPr>
            <w:tcW w:w="138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5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6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7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3768485"/>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w:t>
            </w:r>
            <w:r>
              <w:rPr>
                <w:rFonts w:eastAsia="Times New Roman"/>
                <w:color w:val="000000"/>
                <w:sz w:val="16"/>
                <w:szCs w:val="16"/>
              </w:rPr>
              <w:t>Eliminations</w:t>
            </w:r>
            <w:r>
              <w:rPr>
                <w:rFonts w:eastAsia="Times New Roman"/>
                <w:color w:val="000000"/>
                <w:sz w:val="16"/>
                <w:szCs w:val="16"/>
              </w:rPr>
              <w:br/>
              <w:t>(a)</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AmeriGas Propane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UGI International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 Corporate &amp; Other</w:t>
            </w:r>
          </w:p>
        </w:tc>
      </w:tr>
      <w:tr w:rsidR="00000000">
        <w:trPr>
          <w:divId w:val="13768485"/>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376848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376848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DF5BC2">
        <w:trPr>
          <w:divId w:val="13768485"/>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553 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553 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 (c)</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376848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3768485"/>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4,008 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1,667 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1,521 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448 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1,207 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3768485"/>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768485"/>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76848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7,320 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divId w:val="2070880699"/>
        <w:rPr>
          <w:rFonts w:eastAsia="Times New Roman"/>
        </w:rPr>
      </w:pPr>
      <w:r>
        <w:rPr>
          <w:rFonts w:eastAsia="Times New Roman"/>
          <w:color w:val="000000"/>
          <w:sz w:val="20"/>
          <w:szCs w:val="20"/>
        </w:rPr>
        <w:t>(a)Includes intersegment revenues principally among Midstream &amp; Marketing, UGI Utilities and AmeriGas</w:t>
      </w:r>
      <w:r>
        <w:rPr>
          <w:rFonts w:eastAsia="Times New Roman"/>
          <w:color w:val="000000"/>
          <w:sz w:val="20"/>
          <w:szCs w:val="20"/>
        </w:rPr>
        <w:t xml:space="preserve"> Propane.</w:t>
      </w:r>
    </w:p>
    <w:p w:rsidR="00000000" w:rsidRDefault="00DF5BC2">
      <w:pPr>
        <w:ind w:hanging="360"/>
        <w:jc w:val="both"/>
        <w:rPr>
          <w:rFonts w:eastAsia="Times New Roman"/>
        </w:rPr>
      </w:pPr>
      <w:r>
        <w:rPr>
          <w:rFonts w:eastAsia="Times New Roman"/>
          <w:color w:val="000000"/>
          <w:sz w:val="20"/>
          <w:szCs w:val="20"/>
        </w:rPr>
        <w:t>(b)Primarily represents revenues from tank rentals at AmeriGas Propane and UGI International, revenues from certain gathering assets at Midstream &amp; Marketing, revenues from alternative revenue programs at UGI Utilities, Inc., and gains and losses</w:t>
      </w:r>
      <w:r>
        <w:rPr>
          <w:rFonts w:eastAsia="Times New Roman"/>
          <w:color w:val="000000"/>
          <w:sz w:val="20"/>
          <w:szCs w:val="20"/>
        </w:rPr>
        <w:t xml:space="preserve"> on commodity derivative instruments not associated with current-period transactions reflected in Corporate &amp; Other, none of which are within the scope of ASC 606 and are accounted for in accordance with other GAAP.</w:t>
      </w:r>
    </w:p>
    <w:p w:rsidR="00000000" w:rsidRDefault="00DF5BC2">
      <w:pPr>
        <w:ind w:hanging="360"/>
        <w:jc w:val="both"/>
        <w:rPr>
          <w:rFonts w:eastAsia="Times New Roman"/>
        </w:rPr>
      </w:pPr>
      <w:r>
        <w:rPr>
          <w:rFonts w:eastAsia="Times New Roman"/>
          <w:color w:val="000000"/>
          <w:sz w:val="20"/>
          <w:szCs w:val="20"/>
        </w:rPr>
        <w:t>(c)UGI Utilities includes an unallocated</w:t>
      </w:r>
      <w:r>
        <w:rPr>
          <w:rFonts w:eastAsia="Times New Roman"/>
          <w:color w:val="000000"/>
          <w:sz w:val="20"/>
          <w:szCs w:val="20"/>
        </w:rPr>
        <w:t xml:space="preserve"> negative surcharge revenue reduction of $(6) during Fiscal 2019 as a result of a PAPUC Order issued May 17, 2018, related to the TCJA (see Note 9).</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Contract Balances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timing of revenue recognition may differ from the timing of invoicing to customer</w:t>
      </w:r>
      <w:r>
        <w:rPr>
          <w:rFonts w:eastAsia="Times New Roman"/>
          <w:color w:val="000000"/>
          <w:sz w:val="20"/>
          <w:szCs w:val="20"/>
        </w:rPr>
        <w:t>s or cash receipts. Contract assets represent our right to consideration after the performance obligations have been satisfied when such right is conditioned on something other than the passage of time. Contract assets were not material at September 30, 20</w:t>
      </w:r>
      <w:r>
        <w:rPr>
          <w:rFonts w:eastAsia="Times New Roman"/>
          <w:color w:val="000000"/>
          <w:sz w:val="20"/>
          <w:szCs w:val="20"/>
        </w:rPr>
        <w:t>21 and 2020. Substantially all of our receivables are unconditional rights to consideration and are included in “Accounts receivable” and, in the case of UGI Utilities, “Accrued utility revenues” on the Consolidated Balance Sheets. Amounts billed are gener</w:t>
      </w:r>
      <w:r>
        <w:rPr>
          <w:rFonts w:eastAsia="Times New Roman"/>
          <w:color w:val="000000"/>
          <w:sz w:val="20"/>
          <w:szCs w:val="20"/>
        </w:rPr>
        <w:t xml:space="preserve">ally due within the following month.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Contract liabilities arise when payment from a customer is received before the performance obligations have been satisfied and represent the Company’s obligations to transfer goods or services to a customer for which</w:t>
      </w:r>
      <w:r>
        <w:rPr>
          <w:rFonts w:eastAsia="Times New Roman"/>
          <w:color w:val="000000"/>
          <w:sz w:val="20"/>
          <w:szCs w:val="20"/>
        </w:rPr>
        <w:t xml:space="preserve"> we have received consideration. The balances of contract liabilities were $149 and $161 at September 30, 2021 and 2020, respectively, and are primarily included in “Deposits and Advances” on the Consolidated Balance Sheets. Revenue recognized during Fisca</w:t>
      </w:r>
      <w:r>
        <w:rPr>
          <w:rFonts w:eastAsia="Times New Roman"/>
          <w:color w:val="000000"/>
          <w:sz w:val="20"/>
          <w:szCs w:val="20"/>
        </w:rPr>
        <w:t xml:space="preserve">l 2021, Fiscal 2020 and Fiscal 2019 from the amount included in contract liabilities at September 30, 2020, September 30, 2019 and October 1, 2018 was $138, $122 and $122, respectively. </w:t>
      </w:r>
    </w:p>
    <w:p w:rsidR="00000000" w:rsidRDefault="00DF5BC2">
      <w:pPr>
        <w:jc w:val="center"/>
        <w:divId w:val="519782453"/>
        <w:rPr>
          <w:rFonts w:eastAsia="Times New Roman"/>
        </w:rPr>
      </w:pPr>
      <w:r>
        <w:rPr>
          <w:rFonts w:eastAsia="Times New Roman"/>
          <w:color w:val="000000"/>
          <w:sz w:val="20"/>
          <w:szCs w:val="20"/>
        </w:rPr>
        <w:t>F-23</w:t>
      </w:r>
    </w:p>
    <w:p w:rsidR="00000000" w:rsidRDefault="00DF5BC2">
      <w:pPr>
        <w:rPr>
          <w:rFonts w:eastAsia="Times New Roman"/>
        </w:rPr>
      </w:pPr>
      <w:r>
        <w:rPr>
          <w:rFonts w:eastAsia="Times New Roman"/>
        </w:rPr>
        <w:pict>
          <v:rect id="_x0000_i1137" style="width:0;height:1.5pt" o:hralign="center" o:hrstd="t" o:hr="t" fillcolor="#a0a0a0" stroked="f"/>
        </w:pict>
      </w:r>
    </w:p>
    <w:p w:rsidR="00000000" w:rsidRDefault="00DF5BC2">
      <w:pPr>
        <w:divId w:val="4503656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698123371"/>
        <w:rPr>
          <w:rFonts w:eastAsia="Times New Roman"/>
        </w:rPr>
      </w:pPr>
      <w:r>
        <w:rPr>
          <w:rFonts w:eastAsia="Times New Roman"/>
          <w:b/>
          <w:bCs/>
          <w:color w:val="000000"/>
          <w:sz w:val="20"/>
          <w:szCs w:val="20"/>
        </w:rPr>
        <w:t>UGI Corporation and Subsidiaries</w:t>
      </w:r>
    </w:p>
    <w:p w:rsidR="00000000" w:rsidRDefault="00DF5BC2">
      <w:pPr>
        <w:divId w:val="243220575"/>
        <w:rPr>
          <w:rFonts w:eastAsia="Times New Roman"/>
        </w:rPr>
      </w:pPr>
      <w:r>
        <w:rPr>
          <w:rFonts w:eastAsia="Times New Roman"/>
          <w:b/>
          <w:bCs/>
          <w:color w:val="000000"/>
          <w:sz w:val="20"/>
          <w:szCs w:val="20"/>
        </w:rPr>
        <w:t>Notes to Consolidated Financial Statements</w:t>
      </w:r>
    </w:p>
    <w:p w:rsidR="00000000" w:rsidRDefault="00DF5BC2">
      <w:pPr>
        <w:divId w:val="136188750"/>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136993480"/>
        <w:rPr>
          <w:rFonts w:eastAsia="Times New Roman"/>
        </w:rPr>
      </w:pPr>
      <w:r>
        <w:rPr>
          <w:rFonts w:eastAsia="Times New Roman"/>
          <w:b/>
          <w:bCs/>
          <w:color w:val="000000"/>
          <w:sz w:val="20"/>
          <w:szCs w:val="20"/>
        </w:rPr>
        <w:t>Remaining Performance Obligations</w:t>
      </w:r>
    </w:p>
    <w:p w:rsidR="00000000" w:rsidRDefault="00DF5BC2">
      <w:pPr>
        <w:jc w:val="both"/>
        <w:divId w:val="1094401522"/>
        <w:rPr>
          <w:rFonts w:eastAsia="Times New Roman"/>
        </w:rPr>
      </w:pPr>
      <w:r>
        <w:rPr>
          <w:rFonts w:eastAsia="Times New Roman"/>
          <w:color w:val="000000"/>
          <w:sz w:val="20"/>
          <w:szCs w:val="20"/>
        </w:rPr>
        <w:t>The Company excludes disclosures related to the aggregate amount of the transaction price allocated to certain performance obligations that are</w:t>
      </w:r>
      <w:r>
        <w:rPr>
          <w:rFonts w:eastAsia="Times New Roman"/>
          <w:color w:val="000000"/>
          <w:sz w:val="20"/>
          <w:szCs w:val="20"/>
        </w:rPr>
        <w:t xml:space="preserve"> unsatisfied as of the end of the reporting period because these contracts have an initial expected term of one year or less, or we have a right to bill the customer in an amount that corresponds directly with the value of services provided to the customer</w:t>
      </w:r>
      <w:r>
        <w:rPr>
          <w:rFonts w:eastAsia="Times New Roman"/>
          <w:color w:val="000000"/>
          <w:sz w:val="20"/>
          <w:szCs w:val="20"/>
        </w:rPr>
        <w:t xml:space="preserve"> to date. Certain contracts with customers at Midstream &amp; Marketing and UGI Utilities contain minimum future performance obligations through 2047 and 2053, respectively. At September 30, 2021, Midstream &amp; Marketing and UGI Utilities expect to record approx</w:t>
      </w:r>
      <w:r>
        <w:rPr>
          <w:rFonts w:eastAsia="Times New Roman"/>
          <w:color w:val="000000"/>
          <w:sz w:val="20"/>
          <w:szCs w:val="20"/>
        </w:rPr>
        <w:t>imately $2.0 billion and $0.2 billion of revenues, respectively, related to the minimum future performance obligations over the remaining terms of the related contracts.</w:t>
      </w:r>
    </w:p>
    <w:p w:rsidR="00000000" w:rsidRDefault="00DF5BC2">
      <w:pPr>
        <w:jc w:val="both"/>
        <w:rPr>
          <w:rFonts w:eastAsia="Times New Roman"/>
        </w:rPr>
      </w:pPr>
      <w:r>
        <w:rPr>
          <w:rFonts w:eastAsia="Times New Roman"/>
          <w:b/>
          <w:bCs/>
          <w:color w:val="000000"/>
          <w:sz w:val="20"/>
          <w:szCs w:val="20"/>
          <w:u w:val="single"/>
        </w:rPr>
        <w:t>Note 5 — AmeriGas Merger, Acquisitions and Dispositions</w:t>
      </w:r>
      <w:r>
        <w:rPr>
          <w:rFonts w:eastAsia="Times New Roman"/>
          <w:b/>
          <w:bCs/>
          <w:color w:val="000000"/>
          <w:sz w:val="20"/>
          <w:szCs w:val="20"/>
        </w:rPr>
        <w:t xml:space="preserve">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Mountaineer Acquisition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w:t>
      </w:r>
      <w:r>
        <w:rPr>
          <w:rFonts w:eastAsia="Times New Roman"/>
          <w:color w:val="000000"/>
          <w:sz w:val="20"/>
          <w:szCs w:val="20"/>
        </w:rPr>
        <w:t>n September 1, 2021, UGI completed the Mountaineer Acquisition in which UGI acquired all of the equity interests in Mountaineer, the largest natural gas distribution company in West Virginia, for a purchase price of $540, including the assumption of $140 p</w:t>
      </w:r>
      <w:r>
        <w:rPr>
          <w:rFonts w:eastAsia="Times New Roman"/>
          <w:color w:val="000000"/>
          <w:sz w:val="20"/>
          <w:szCs w:val="20"/>
        </w:rPr>
        <w:t xml:space="preserve">rincipal amounts of long-term debt. The Mountaineer Acquisition was consummated pursuant to a purchase and sale agreement between UGI and the iCON Sellers and is consistent with our growth strategies, including expanding our core utility operations in the </w:t>
      </w:r>
      <w:r>
        <w:rPr>
          <w:rFonts w:eastAsia="Times New Roman"/>
          <w:color w:val="000000"/>
          <w:sz w:val="20"/>
          <w:szCs w:val="20"/>
        </w:rPr>
        <w:t>mid-Atlantic region.</w:t>
      </w:r>
      <w:r>
        <w:rPr>
          <w:rFonts w:eastAsia="Times New Roman"/>
          <w:color w:val="000000"/>
        </w:rPr>
        <w:t xml:space="preserve"> </w:t>
      </w:r>
      <w:r>
        <w:rPr>
          <w:rFonts w:eastAsia="Times New Roman"/>
          <w:color w:val="000000"/>
          <w:sz w:val="20"/>
          <w:szCs w:val="20"/>
        </w:rPr>
        <w:t xml:space="preserve">The Mountaineer Acquisition was funded with cash proceeds from </w:t>
      </w:r>
      <w:r>
        <w:rPr>
          <w:rFonts w:eastAsia="Times New Roman"/>
          <w:color w:val="000000"/>
          <w:sz w:val="20"/>
          <w:szCs w:val="20"/>
          <w:shd w:val="clear" w:color="auto" w:fill="FFFFFF"/>
        </w:rPr>
        <w:t>the 2021 UGI Corporation Senior Credit Facility and cash on hand including proceeds from the issuance of Equity Units</w:t>
      </w:r>
      <w:r>
        <w:rPr>
          <w:rFonts w:eastAsia="Times New Roman"/>
          <w:color w:val="000000"/>
          <w:sz w:val="20"/>
          <w:szCs w:val="20"/>
        </w:rPr>
        <w:t>. Accounts associated with Mountaineer are included wit</w:t>
      </w:r>
      <w:r>
        <w:rPr>
          <w:rFonts w:eastAsia="Times New Roman"/>
          <w:color w:val="000000"/>
          <w:sz w:val="20"/>
          <w:szCs w:val="20"/>
        </w:rPr>
        <w:t>hin our UGI Utilities reportable segment.</w:t>
      </w:r>
    </w:p>
    <w:p w:rsidR="00000000" w:rsidRDefault="00DF5BC2">
      <w:pPr>
        <w:divId w:val="2048216111"/>
        <w:rPr>
          <w:rFonts w:eastAsia="Times New Roman"/>
        </w:rPr>
      </w:pPr>
    </w:p>
    <w:p w:rsidR="00000000" w:rsidRDefault="00DF5BC2">
      <w:pPr>
        <w:jc w:val="both"/>
        <w:rPr>
          <w:rFonts w:eastAsia="Times New Roman"/>
        </w:rPr>
      </w:pPr>
      <w:r>
        <w:rPr>
          <w:rFonts w:eastAsia="Times New Roman"/>
          <w:color w:val="000000"/>
          <w:sz w:val="20"/>
          <w:szCs w:val="20"/>
        </w:rPr>
        <w:t>The Company has accounted for the Mountaineer Acquisition using the acquisition method. At September 30, 2021, the allocation of the purchase price is substantially complete but remains preliminary pending the finalization of the valuation of the net asset</w:t>
      </w:r>
      <w:r>
        <w:rPr>
          <w:rFonts w:eastAsia="Times New Roman"/>
          <w:color w:val="000000"/>
          <w:sz w:val="20"/>
          <w:szCs w:val="20"/>
        </w:rPr>
        <w:t>s acquired, including the evaluation of certain acquired contracts, regulatory assets, and deferred income taxes, among others. The purchase price allocation will be finalized once these items have been resolved. Accordingly, the fair value estimates prese</w:t>
      </w:r>
      <w:r>
        <w:rPr>
          <w:rFonts w:eastAsia="Times New Roman"/>
          <w:color w:val="000000"/>
          <w:sz w:val="20"/>
          <w:szCs w:val="20"/>
        </w:rPr>
        <w:t>nted below relating to these items are subject to change within the measurement period not to exceed one year from the date of acquisition.</w:t>
      </w:r>
    </w:p>
    <w:p w:rsidR="00000000" w:rsidRDefault="00DF5BC2">
      <w:pPr>
        <w:jc w:val="center"/>
        <w:divId w:val="1166017572"/>
        <w:rPr>
          <w:rFonts w:eastAsia="Times New Roman"/>
        </w:rPr>
      </w:pPr>
      <w:r>
        <w:rPr>
          <w:rFonts w:eastAsia="Times New Roman"/>
          <w:color w:val="000000"/>
          <w:sz w:val="20"/>
          <w:szCs w:val="20"/>
        </w:rPr>
        <w:t>F-24</w:t>
      </w:r>
    </w:p>
    <w:p w:rsidR="00000000" w:rsidRDefault="00DF5BC2">
      <w:pPr>
        <w:rPr>
          <w:rFonts w:eastAsia="Times New Roman"/>
        </w:rPr>
      </w:pPr>
      <w:r>
        <w:rPr>
          <w:rFonts w:eastAsia="Times New Roman"/>
        </w:rPr>
        <w:pict>
          <v:rect id="_x0000_i1138" style="width:0;height:1.5pt" o:hralign="center" o:hrstd="t" o:hr="t" fillcolor="#a0a0a0" stroked="f"/>
        </w:pict>
      </w:r>
    </w:p>
    <w:p w:rsidR="00000000" w:rsidRDefault="00DF5BC2">
      <w:pPr>
        <w:divId w:val="1133788502"/>
        <w:rPr>
          <w:rFonts w:eastAsia="Times New Roman"/>
        </w:rPr>
      </w:pPr>
      <w:hyperlink w:anchor="ica38aa2cb9a04eba8f8cadac27ee7fb9_7" w:history="1">
        <w:r>
          <w:rPr>
            <w:rStyle w:val="a3"/>
            <w:rFonts w:eastAsia="Times New Roman"/>
            <w:sz w:val="20"/>
            <w:szCs w:val="20"/>
          </w:rPr>
          <w:t>Table of Content</w:t>
        </w:r>
        <w:r>
          <w:rPr>
            <w:rStyle w:val="a3"/>
            <w:rFonts w:eastAsia="Times New Roman"/>
            <w:sz w:val="20"/>
            <w:szCs w:val="20"/>
          </w:rPr>
          <w:t>s</w:t>
        </w:r>
      </w:hyperlink>
    </w:p>
    <w:p w:rsidR="00000000" w:rsidRDefault="00DF5BC2">
      <w:pPr>
        <w:divId w:val="400907685"/>
        <w:rPr>
          <w:rFonts w:eastAsia="Times New Roman"/>
        </w:rPr>
      </w:pPr>
      <w:r>
        <w:rPr>
          <w:rFonts w:eastAsia="Times New Roman"/>
          <w:b/>
          <w:bCs/>
          <w:color w:val="000000"/>
          <w:sz w:val="20"/>
          <w:szCs w:val="20"/>
        </w:rPr>
        <w:t>UGI Corporation and Subsidiaries</w:t>
      </w:r>
    </w:p>
    <w:p w:rsidR="00000000" w:rsidRDefault="00DF5BC2">
      <w:pPr>
        <w:divId w:val="650214380"/>
        <w:rPr>
          <w:rFonts w:eastAsia="Times New Roman"/>
        </w:rPr>
      </w:pPr>
      <w:r>
        <w:rPr>
          <w:rFonts w:eastAsia="Times New Roman"/>
          <w:b/>
          <w:bCs/>
          <w:color w:val="000000"/>
          <w:sz w:val="20"/>
          <w:szCs w:val="20"/>
        </w:rPr>
        <w:t>Notes to Consolidated Financial Statements</w:t>
      </w:r>
    </w:p>
    <w:p w:rsidR="00000000" w:rsidRDefault="00DF5BC2">
      <w:pPr>
        <w:divId w:val="1286304781"/>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The components of the preliminary Mountaineer purchase price allocations are as follows: </w:t>
      </w:r>
    </w:p>
    <w:p w:rsidR="00000000" w:rsidRDefault="00DF5BC2">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7006"/>
        <w:gridCol w:w="37"/>
        <w:gridCol w:w="120"/>
        <w:gridCol w:w="1055"/>
        <w:gridCol w:w="36"/>
      </w:tblGrid>
      <w:tr w:rsidR="00000000">
        <w:tc>
          <w:tcPr>
            <w:tcW w:w="50" w:type="pct"/>
            <w:vAlign w:val="center"/>
            <w:hideMark/>
          </w:tcPr>
          <w:p w:rsidR="00000000" w:rsidRDefault="00DF5BC2">
            <w:pPr>
              <w:jc w:val="both"/>
              <w:rPr>
                <w:rFonts w:eastAsia="Times New Roman"/>
              </w:rPr>
            </w:pPr>
          </w:p>
        </w:tc>
        <w:tc>
          <w:tcPr>
            <w:tcW w:w="423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5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Cash and cash equivalents </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Accounts receivable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Inventories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Property, plant and equipment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Other noncurrent assets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Liabilities assumed:</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 Short-term borrowings </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 Accounts payable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 Other current liabilities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 Long-term debt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Pension and other postretirement benefit obligation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 Other noncurrent liabilities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liabilities assumed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Goodwill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consideration transferred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Mountaineer is a regulated entity which accounts for the financial effects of regulation in accordance with ASC 980. The effects of regulation can impact the fair value of certain assets and liabilities acquired, and as such, the measurement of the fair va</w:t>
      </w:r>
      <w:r>
        <w:rPr>
          <w:rFonts w:eastAsia="Times New Roman"/>
          <w:color w:val="000000"/>
          <w:sz w:val="20"/>
          <w:szCs w:val="20"/>
        </w:rPr>
        <w:t>lue of regulated property assets using the predecessor’s carrying value is generally accepted since regulation attaches to the assets and regulation is so pervasive that the regulation extends to the individual assets. In certain other instances where asse</w:t>
      </w:r>
      <w:r>
        <w:rPr>
          <w:rFonts w:eastAsia="Times New Roman"/>
          <w:color w:val="000000"/>
          <w:sz w:val="20"/>
          <w:szCs w:val="20"/>
        </w:rPr>
        <w:t>ts or liabilities are subject to rate recovery, we recorded fair value adjustments to such assets and liabilities as regulatory assets and liabilities.</w:t>
      </w:r>
    </w:p>
    <w:p w:rsidR="00000000" w:rsidRDefault="00DF5BC2">
      <w:pPr>
        <w:jc w:val="both"/>
        <w:rPr>
          <w:rFonts w:eastAsia="Times New Roman"/>
        </w:rPr>
      </w:pPr>
      <w:r>
        <w:rPr>
          <w:rFonts w:eastAsia="Times New Roman"/>
          <w:color w:val="000000"/>
          <w:sz w:val="20"/>
          <w:szCs w:val="20"/>
        </w:rPr>
        <w:t>The excess of the purchase price for the Mountaineer Acquisition over the fair values of the assets acqu</w:t>
      </w:r>
      <w:r>
        <w:rPr>
          <w:rFonts w:eastAsia="Times New Roman"/>
          <w:color w:val="000000"/>
          <w:sz w:val="20"/>
          <w:szCs w:val="20"/>
        </w:rPr>
        <w:t>ired and liabilities assumed has been reflected as goodwill, assigned to the UGI Utilities reportable segment. Goodwill is attributable to the assembled workforce of Mountaineer, planned customer growth and planned growth in rate base through continued inv</w:t>
      </w:r>
      <w:r>
        <w:rPr>
          <w:rFonts w:eastAsia="Times New Roman"/>
          <w:color w:val="000000"/>
          <w:sz w:val="20"/>
          <w:szCs w:val="20"/>
        </w:rPr>
        <w:t>estment in utility infrastructure. The goodwill recognized from the Mountaineer Acquisition is not expected to be deductible for income tax purposes</w:t>
      </w:r>
      <w:r>
        <w:rPr>
          <w:rFonts w:eastAsia="Times New Roman"/>
          <w:color w:val="000000"/>
        </w:rPr>
        <w: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Company recognized $13 of direct transaction-related costs associated with the Mountaineer Acquisiti</w:t>
      </w:r>
      <w:r>
        <w:rPr>
          <w:rFonts w:eastAsia="Times New Roman"/>
          <w:color w:val="000000"/>
          <w:sz w:val="20"/>
          <w:szCs w:val="20"/>
        </w:rPr>
        <w:t>on during Fiscal 2021, which costs are reflected in “Operating and administrative expenses” on the 2021 Consolidated Statement of Income. The Mountaineer Acquisition did not have a material impact on the Company’s revenues or net income attributable to UGI</w:t>
      </w:r>
      <w:r>
        <w:rPr>
          <w:rFonts w:eastAsia="Times New Roman"/>
          <w:color w:val="000000"/>
          <w:sz w:val="20"/>
          <w:szCs w:val="20"/>
        </w:rPr>
        <w:t xml:space="preserve"> for Fiscal 2021.</w:t>
      </w:r>
      <w:r>
        <w:rPr>
          <w:rFonts w:eastAsia="Times New Roman"/>
          <w:color w:val="000000"/>
        </w:rPr>
        <w:t xml:space="preserve"> </w:t>
      </w:r>
      <w:r>
        <w:rPr>
          <w:rFonts w:eastAsia="Times New Roman"/>
          <w:color w:val="000000"/>
          <w:sz w:val="20"/>
          <w:szCs w:val="20"/>
        </w:rPr>
        <w:t>In addition, the impact of the Mountaineer Acquisition on a pro forma basis as if the Mountaineer Acquisition had occurred on October 1, 2019 was not material to the Company’s revenues or net income for Fiscal 2021 and Fiscal 2020</w:t>
      </w:r>
      <w:r>
        <w:rPr>
          <w:rFonts w:eastAsia="Times New Roman"/>
          <w:color w:val="000000"/>
        </w:rPr>
        <w:t>.</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Amer</w:t>
      </w:r>
      <w:r>
        <w:rPr>
          <w:rFonts w:eastAsia="Times New Roman"/>
          <w:b/>
          <w:bCs/>
          <w:color w:val="000000"/>
          <w:sz w:val="20"/>
          <w:szCs w:val="20"/>
        </w:rPr>
        <w:t>iGas Merger</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August 21, 2019, the AmeriGas Merger was completed in accordance with the terms of the Merger Agreement entered into on April 1, 2019. Under the terms of the Merger Agreement, the Partnership was merged with and into Merger Sub, with the Partnership sur</w:t>
      </w:r>
      <w:r>
        <w:rPr>
          <w:rFonts w:eastAsia="Times New Roman"/>
          <w:color w:val="000000"/>
          <w:sz w:val="20"/>
          <w:szCs w:val="20"/>
        </w:rPr>
        <w:t xml:space="preserve">viving as an indirect wholly owned subsidiary of UGI. Each outstanding Common Unit other than the Common Units owned by UGI was automatically converted at the effective time of the AmeriGas Merger into the right to receive, at the </w:t>
      </w:r>
    </w:p>
    <w:p w:rsidR="00000000" w:rsidRDefault="00DF5BC2">
      <w:pPr>
        <w:jc w:val="center"/>
        <w:divId w:val="1489439015"/>
        <w:rPr>
          <w:rFonts w:eastAsia="Times New Roman"/>
        </w:rPr>
      </w:pPr>
      <w:r>
        <w:rPr>
          <w:rFonts w:eastAsia="Times New Roman"/>
          <w:color w:val="000000"/>
          <w:sz w:val="20"/>
          <w:szCs w:val="20"/>
        </w:rPr>
        <w:t>F-25</w:t>
      </w:r>
    </w:p>
    <w:p w:rsidR="00000000" w:rsidRDefault="00DF5BC2">
      <w:pPr>
        <w:rPr>
          <w:rFonts w:eastAsia="Times New Roman"/>
        </w:rPr>
      </w:pPr>
      <w:r>
        <w:rPr>
          <w:rFonts w:eastAsia="Times New Roman"/>
        </w:rPr>
        <w:pict>
          <v:rect id="_x0000_i1139" style="width:0;height:1.5pt" o:hralign="center" o:hrstd="t" o:hr="t" fillcolor="#a0a0a0" stroked="f"/>
        </w:pict>
      </w:r>
    </w:p>
    <w:p w:rsidR="00000000" w:rsidRDefault="00DF5BC2">
      <w:pPr>
        <w:divId w:val="53087487"/>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413748054"/>
        <w:rPr>
          <w:rFonts w:eastAsia="Times New Roman"/>
        </w:rPr>
      </w:pPr>
      <w:r>
        <w:rPr>
          <w:rFonts w:eastAsia="Times New Roman"/>
          <w:b/>
          <w:bCs/>
          <w:color w:val="000000"/>
          <w:sz w:val="20"/>
          <w:szCs w:val="20"/>
        </w:rPr>
        <w:t>UGI Corporation and Subsidiaries</w:t>
      </w:r>
    </w:p>
    <w:p w:rsidR="00000000" w:rsidRDefault="00DF5BC2">
      <w:pPr>
        <w:divId w:val="835728393"/>
        <w:rPr>
          <w:rFonts w:eastAsia="Times New Roman"/>
        </w:rPr>
      </w:pPr>
      <w:r>
        <w:rPr>
          <w:rFonts w:eastAsia="Times New Roman"/>
          <w:b/>
          <w:bCs/>
          <w:color w:val="000000"/>
          <w:sz w:val="20"/>
          <w:szCs w:val="20"/>
        </w:rPr>
        <w:t>Notes to Consolidated Financial Statements</w:t>
      </w:r>
    </w:p>
    <w:p w:rsidR="00000000" w:rsidRDefault="00DF5BC2">
      <w:pPr>
        <w:divId w:val="1669479476"/>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color w:val="000000"/>
          <w:sz w:val="20"/>
          <w:szCs w:val="20"/>
        </w:rPr>
        <w:t>election of each holder of such Common Units, one of the following forms of merger consideration (subject to proration designed to ensure the number of shares of UGI Common Stoc</w:t>
      </w:r>
      <w:r>
        <w:rPr>
          <w:rFonts w:eastAsia="Times New Roman"/>
          <w:color w:val="000000"/>
          <w:sz w:val="20"/>
          <w:szCs w:val="20"/>
        </w:rPr>
        <w:t xml:space="preserve">k issued would equal approximately 34.6 million):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(i)0.6378 shares of UGI Common Stock (the “Share Multiplier”); </w:t>
      </w:r>
    </w:p>
    <w:p w:rsidR="00000000" w:rsidRDefault="00DF5BC2">
      <w:pPr>
        <w:jc w:val="both"/>
        <w:rPr>
          <w:rFonts w:eastAsia="Times New Roman"/>
        </w:rPr>
      </w:pPr>
      <w:r>
        <w:rPr>
          <w:rFonts w:eastAsia="Times New Roman"/>
          <w:color w:val="000000"/>
          <w:sz w:val="20"/>
          <w:szCs w:val="20"/>
        </w:rPr>
        <w:t xml:space="preserve">(ii)$7.63 in cash, without interest, and 0.500 shares of UGI Common Stock; or </w:t>
      </w:r>
    </w:p>
    <w:p w:rsidR="00000000" w:rsidRDefault="00DF5BC2">
      <w:pPr>
        <w:jc w:val="both"/>
        <w:rPr>
          <w:rFonts w:eastAsia="Times New Roman"/>
        </w:rPr>
      </w:pPr>
      <w:r>
        <w:rPr>
          <w:rFonts w:eastAsia="Times New Roman"/>
          <w:color w:val="000000"/>
          <w:sz w:val="20"/>
          <w:szCs w:val="20"/>
        </w:rPr>
        <w:t xml:space="preserve">(iii)$35.325 in cash, without interest.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Pursuant to the t</w:t>
      </w:r>
      <w:r>
        <w:rPr>
          <w:rFonts w:eastAsia="Times New Roman"/>
          <w:color w:val="000000"/>
          <w:sz w:val="20"/>
          <w:szCs w:val="20"/>
        </w:rPr>
        <w:t>erms of the Merger Agreement, effective on August 21, 2019, we issued 34,612,847 shares of UGI Common Stock and paid $529 in cash to the holders of Common Units other than UGI, for a total implied consideration of $2,228. In addition, the incentive distrib</w:t>
      </w:r>
      <w:r>
        <w:rPr>
          <w:rFonts w:eastAsia="Times New Roman"/>
          <w:color w:val="000000"/>
          <w:sz w:val="20"/>
          <w:szCs w:val="20"/>
        </w:rPr>
        <w:t>ution rights in the Partnership previously owned by the General Partner were canceled. After-tax transaction costs directly attributable to the transaction that were incurred by UGI totaling $8 were recorded as a reduction to UGI stockholders’ equity. Tran</w:t>
      </w:r>
      <w:r>
        <w:rPr>
          <w:rFonts w:eastAsia="Times New Roman"/>
          <w:color w:val="000000"/>
          <w:sz w:val="20"/>
          <w:szCs w:val="20"/>
        </w:rPr>
        <w:t>saction costs incurred by the Partnership totaling $6 are reflected in “Operating and administrative expenses” on the 2019 Consolidated Statement of Income. The tax effects of the AmeriGas Merger resulting from the step-up in tax bases of the underlying as</w:t>
      </w:r>
      <w:r>
        <w:rPr>
          <w:rFonts w:eastAsia="Times New Roman"/>
          <w:color w:val="000000"/>
          <w:sz w:val="20"/>
          <w:szCs w:val="20"/>
        </w:rPr>
        <w:t>sets resulted in the recording of a deferred tax asset in the amount of $512.</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Effective upon completion of the AmeriGas Merger, Common Units are no longer publicly traded. Also pursuant to the Merger Agreement, Partnership equity-based awards were cancel</w:t>
      </w:r>
      <w:r>
        <w:rPr>
          <w:rFonts w:eastAsia="Times New Roman"/>
          <w:color w:val="000000"/>
          <w:sz w:val="20"/>
          <w:szCs w:val="20"/>
        </w:rPr>
        <w:t xml:space="preserve">ed and replaced with cash-settled restricted stock units relating to UGI Common Stock using the Share Multiplier ratio.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The AmeriGas Merger was accounted for in accordance with ASC 810, </w:t>
      </w:r>
      <w:r>
        <w:rPr>
          <w:rFonts w:eastAsia="Times New Roman"/>
          <w:i/>
          <w:iCs/>
          <w:color w:val="000000"/>
          <w:sz w:val="20"/>
          <w:szCs w:val="20"/>
        </w:rPr>
        <w:t xml:space="preserve">Consolidation - Overall - Changes in a Parent’s Ownership Interest </w:t>
      </w:r>
      <w:r>
        <w:rPr>
          <w:rFonts w:eastAsia="Times New Roman"/>
          <w:i/>
          <w:iCs/>
          <w:color w:val="000000"/>
          <w:sz w:val="20"/>
          <w:szCs w:val="20"/>
        </w:rPr>
        <w:t xml:space="preserve">in a Subsidiary. </w:t>
      </w:r>
      <w:r>
        <w:rPr>
          <w:rFonts w:eastAsia="Times New Roman"/>
          <w:color w:val="000000"/>
          <w:sz w:val="20"/>
          <w:szCs w:val="20"/>
        </w:rPr>
        <w:t>Because UGI controlled AmeriGas Partners before and after the merger, the changes in UGI’s ownership interest in the Partnership resulting from the merger were accounted for as an equity transaction. Accordingly, no gain or loss was recogn</w:t>
      </w:r>
      <w:r>
        <w:rPr>
          <w:rFonts w:eastAsia="Times New Roman"/>
          <w:color w:val="000000"/>
          <w:sz w:val="20"/>
          <w:szCs w:val="20"/>
        </w:rPr>
        <w:t xml:space="preserve">ized in UGI’s consolidated income statement and the carrying amounts of the Partnership’s assets and liabilities were not adjusted. The tax effects of the AmeriGas Merger were reported as adjustments to deferred income taxes and UGI stockholders’ equity.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CMG Acquisition</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August 1, 2019, UGI through its wholly owned indirect subsidiary, Energy Services, completed the CMG Acquisition in which Energy Services acquired all of the equity interests in CMG and CMG’s approximately 47% interest in Pennant, fo</w:t>
      </w:r>
      <w:r>
        <w:rPr>
          <w:rFonts w:eastAsia="Times New Roman"/>
          <w:color w:val="000000"/>
          <w:sz w:val="20"/>
          <w:szCs w:val="20"/>
        </w:rPr>
        <w:t>r total cash consideration of $1,284. The CMG Acquisition was consummated pursuant to the CMG Acquisition Agreements. CMG and Pennant provide natural gas gathering and processing services through five discrete systems located in western Pennsylvania, easte</w:t>
      </w:r>
      <w:r>
        <w:rPr>
          <w:rFonts w:eastAsia="Times New Roman"/>
          <w:color w:val="000000"/>
          <w:sz w:val="20"/>
          <w:szCs w:val="20"/>
        </w:rPr>
        <w:t xml:space="preserve">rn Ohio and the panhandle of West Virginia. The CMG Acquisition was consistent with our growth strategies, including expanding our midstream natural gas gathering and processing assets within the Marcellus and Utica Shale production regions. </w:t>
      </w:r>
    </w:p>
    <w:p w:rsidR="00000000" w:rsidRDefault="00DF5BC2">
      <w:pPr>
        <w:jc w:val="both"/>
        <w:rPr>
          <w:rFonts w:eastAsia="Times New Roman"/>
        </w:rPr>
      </w:pPr>
    </w:p>
    <w:p w:rsidR="00000000" w:rsidRDefault="00DF5BC2">
      <w:pPr>
        <w:jc w:val="center"/>
        <w:divId w:val="1228147452"/>
        <w:rPr>
          <w:rFonts w:eastAsia="Times New Roman"/>
        </w:rPr>
      </w:pPr>
      <w:r>
        <w:rPr>
          <w:rFonts w:eastAsia="Times New Roman"/>
          <w:color w:val="000000"/>
          <w:sz w:val="20"/>
          <w:szCs w:val="20"/>
        </w:rPr>
        <w:t>F-26</w:t>
      </w:r>
    </w:p>
    <w:p w:rsidR="00000000" w:rsidRDefault="00DF5BC2">
      <w:pPr>
        <w:rPr>
          <w:rFonts w:eastAsia="Times New Roman"/>
        </w:rPr>
      </w:pPr>
      <w:r>
        <w:rPr>
          <w:rFonts w:eastAsia="Times New Roman"/>
        </w:rPr>
        <w:pict>
          <v:rect id="_x0000_i1140" style="width:0;height:1.5pt" o:hralign="center" o:hrstd="t" o:hr="t" fillcolor="#a0a0a0" stroked="f"/>
        </w:pict>
      </w:r>
    </w:p>
    <w:p w:rsidR="00000000" w:rsidRDefault="00DF5BC2">
      <w:pPr>
        <w:divId w:val="90029328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787821435"/>
        <w:rPr>
          <w:rFonts w:eastAsia="Times New Roman"/>
        </w:rPr>
      </w:pPr>
      <w:r>
        <w:rPr>
          <w:rFonts w:eastAsia="Times New Roman"/>
          <w:b/>
          <w:bCs/>
          <w:color w:val="000000"/>
          <w:sz w:val="20"/>
          <w:szCs w:val="20"/>
        </w:rPr>
        <w:t>UGI Corporation and Subsidiaries</w:t>
      </w:r>
    </w:p>
    <w:p w:rsidR="00000000" w:rsidRDefault="00DF5BC2">
      <w:pPr>
        <w:divId w:val="2067685115"/>
        <w:rPr>
          <w:rFonts w:eastAsia="Times New Roman"/>
        </w:rPr>
      </w:pPr>
      <w:r>
        <w:rPr>
          <w:rFonts w:eastAsia="Times New Roman"/>
          <w:b/>
          <w:bCs/>
          <w:color w:val="000000"/>
          <w:sz w:val="20"/>
          <w:szCs w:val="20"/>
        </w:rPr>
        <w:t>Notes to Consolidated Financial Statements</w:t>
      </w:r>
    </w:p>
    <w:p w:rsidR="00000000" w:rsidRDefault="00DF5BC2">
      <w:pPr>
        <w:divId w:val="1945461005"/>
        <w:rPr>
          <w:rFonts w:eastAsia="Times New Roman"/>
        </w:rPr>
      </w:pPr>
      <w:r>
        <w:rPr>
          <w:rFonts w:eastAsia="Times New Roman"/>
          <w:color w:val="000000"/>
          <w:sz w:val="20"/>
          <w:szCs w:val="20"/>
        </w:rPr>
        <w:t>(Currency in millions, except per share amounts and where indicated otherw</w:t>
      </w:r>
      <w:r>
        <w:rPr>
          <w:rFonts w:eastAsia="Times New Roman"/>
          <w:color w:val="000000"/>
          <w:sz w:val="20"/>
          <w:szCs w:val="20"/>
        </w:rPr>
        <w:t>ise)</w:t>
      </w:r>
    </w:p>
    <w:p w:rsidR="00000000" w:rsidRDefault="00DF5BC2">
      <w:pPr>
        <w:jc w:val="both"/>
        <w:rPr>
          <w:rFonts w:eastAsia="Times New Roman"/>
        </w:rPr>
      </w:pPr>
      <w:r>
        <w:rPr>
          <w:rFonts w:eastAsia="Times New Roman"/>
          <w:color w:val="000000"/>
          <w:sz w:val="20"/>
          <w:szCs w:val="20"/>
        </w:rPr>
        <w:t xml:space="preserve">The Company has accounted for the CMG Acquisition using the acquisition method. The components of the final CMG purchase price allocations are as follows: </w:t>
      </w:r>
    </w:p>
    <w:p w:rsidR="00000000" w:rsidRDefault="00DF5BC2">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7006"/>
        <w:gridCol w:w="38"/>
        <w:gridCol w:w="120"/>
        <w:gridCol w:w="1055"/>
        <w:gridCol w:w="36"/>
      </w:tblGrid>
      <w:tr w:rsidR="00000000">
        <w:trPr>
          <w:divId w:val="2035494241"/>
          <w:jc w:val="center"/>
        </w:trPr>
        <w:tc>
          <w:tcPr>
            <w:tcW w:w="50" w:type="pct"/>
            <w:vAlign w:val="center"/>
            <w:hideMark/>
          </w:tcPr>
          <w:p w:rsidR="00000000" w:rsidRDefault="00DF5BC2">
            <w:pPr>
              <w:jc w:val="both"/>
              <w:rPr>
                <w:rFonts w:eastAsia="Times New Roman"/>
              </w:rPr>
            </w:pPr>
          </w:p>
        </w:tc>
        <w:tc>
          <w:tcPr>
            <w:tcW w:w="423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5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20354942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r>
      <w:tr w:rsidR="00000000">
        <w:trPr>
          <w:divId w:val="2035494241"/>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35494241"/>
          <w:jc w:val="center"/>
        </w:trPr>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Accounts receivable</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35494241"/>
          <w:jc w:val="center"/>
        </w:trPr>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35494241"/>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35494241"/>
          <w:jc w:val="center"/>
        </w:trPr>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35494241"/>
          <w:jc w:val="center"/>
        </w:trPr>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Investment in Pennant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35494241"/>
          <w:jc w:val="center"/>
        </w:trPr>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Intangible assets (a)</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35494241"/>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354942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35494241"/>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20354942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Liabilities assumed:</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r>
      <w:tr w:rsidR="00000000">
        <w:trPr>
          <w:divId w:val="2035494241"/>
          <w:jc w:val="center"/>
        </w:trPr>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35494241"/>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35494241"/>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35494241"/>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354942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liabilities assumed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35494241"/>
          <w:jc w:val="center"/>
        </w:trPr>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Goodwill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35494241"/>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consideration transferred (including working capital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rPr>
          <w:rFonts w:eastAsia="Times New Roman"/>
        </w:rPr>
      </w:pPr>
    </w:p>
    <w:p w:rsidR="00000000" w:rsidRDefault="00DF5BC2">
      <w:pPr>
        <w:ind w:hanging="540"/>
        <w:jc w:val="both"/>
        <w:divId w:val="1798405782"/>
        <w:rPr>
          <w:rFonts w:eastAsia="Times New Roman"/>
        </w:rPr>
      </w:pPr>
      <w:r>
        <w:rPr>
          <w:rFonts w:eastAsia="Times New Roman"/>
          <w:color w:val="000000"/>
          <w:sz w:val="20"/>
          <w:szCs w:val="20"/>
        </w:rPr>
        <w:t>(a)</w:t>
      </w:r>
      <w:r>
        <w:rPr>
          <w:rFonts w:eastAsia="Times New Roman"/>
          <w:color w:val="000000"/>
          <w:sz w:val="20"/>
          <w:szCs w:val="20"/>
        </w:rPr>
        <w:t>Represents customer relationships having an average amortization period of 35 years.</w:t>
      </w:r>
    </w:p>
    <w:p w:rsidR="00000000" w:rsidRDefault="00DF5BC2">
      <w:pPr>
        <w:jc w:val="both"/>
        <w:divId w:val="1623683082"/>
        <w:rPr>
          <w:rFonts w:eastAsia="Times New Roman"/>
        </w:rPr>
      </w:pPr>
      <w:r>
        <w:rPr>
          <w:rFonts w:eastAsia="Times New Roman"/>
          <w:color w:val="000000"/>
          <w:sz w:val="20"/>
          <w:szCs w:val="20"/>
        </w:rPr>
        <w:t>We allocated the purchase price of the acquisition to identifiable intangible assets and property, plant and equipment based on estimated fair values as follows:</w:t>
      </w:r>
    </w:p>
    <w:p w:rsidR="00000000" w:rsidRDefault="00DF5BC2">
      <w:pPr>
        <w:ind w:hanging="360"/>
        <w:jc w:val="both"/>
        <w:divId w:val="1715304126"/>
        <w:rPr>
          <w:rFonts w:eastAsia="Times New Roman"/>
        </w:rPr>
      </w:pPr>
      <w:r>
        <w:rPr>
          <w:rFonts w:eastAsia="Times New Roman"/>
          <w:color w:val="000000"/>
          <w:sz w:val="20"/>
          <w:szCs w:val="20"/>
        </w:rPr>
        <w:t>•Customer</w:t>
      </w:r>
      <w:r>
        <w:rPr>
          <w:rFonts w:eastAsia="Times New Roman"/>
          <w:color w:val="000000"/>
          <w:sz w:val="20"/>
          <w:szCs w:val="20"/>
        </w:rPr>
        <w:t xml:space="preserve"> relationships were valued using a multi-period, excess earnings method. Key assumptions used in this method include discount rates, growth rates and cash flow projections. These assumptions are most sensitive and susceptible to change as they require sign</w:t>
      </w:r>
      <w:r>
        <w:rPr>
          <w:rFonts w:eastAsia="Times New Roman"/>
          <w:color w:val="000000"/>
          <w:sz w:val="20"/>
          <w:szCs w:val="20"/>
        </w:rPr>
        <w:t>ificant management judgment; and</w:t>
      </w:r>
    </w:p>
    <w:p w:rsidR="00000000" w:rsidRDefault="00DF5BC2">
      <w:pPr>
        <w:ind w:hanging="360"/>
        <w:jc w:val="both"/>
        <w:divId w:val="2041851729"/>
        <w:rPr>
          <w:rFonts w:eastAsia="Times New Roman"/>
        </w:rPr>
      </w:pPr>
      <w:r>
        <w:rPr>
          <w:rFonts w:eastAsia="Times New Roman"/>
          <w:color w:val="000000"/>
          <w:sz w:val="20"/>
          <w:szCs w:val="20"/>
        </w:rPr>
        <w:t xml:space="preserve">•Property, plant and equipment were valued based on estimated fair values primarily using depreciated replacement cost and market value methods. </w:t>
      </w:r>
    </w:p>
    <w:p w:rsidR="00000000" w:rsidRDefault="00DF5BC2">
      <w:pPr>
        <w:jc w:val="both"/>
        <w:divId w:val="1473478147"/>
        <w:rPr>
          <w:rFonts w:eastAsia="Times New Roman"/>
        </w:rPr>
      </w:pPr>
      <w:r>
        <w:rPr>
          <w:rFonts w:eastAsia="Times New Roman"/>
          <w:color w:val="000000"/>
          <w:sz w:val="20"/>
          <w:szCs w:val="20"/>
        </w:rPr>
        <w:t>The excess of the purchase price for the CMG Acquisition over the fair values</w:t>
      </w:r>
      <w:r>
        <w:rPr>
          <w:rFonts w:eastAsia="Times New Roman"/>
          <w:color w:val="000000"/>
          <w:sz w:val="20"/>
          <w:szCs w:val="20"/>
        </w:rPr>
        <w:t xml:space="preserve"> of the assets acquired and liabilities assumed has been reflected as goodwill, assigned to the Midstream &amp; Marketing reportable segment, and results principally from anticipated future capital investment opportunities and value creation resulting from new</w:t>
      </w:r>
      <w:r>
        <w:rPr>
          <w:rFonts w:eastAsia="Times New Roman"/>
          <w:color w:val="000000"/>
          <w:sz w:val="20"/>
          <w:szCs w:val="20"/>
        </w:rPr>
        <w:t xml:space="preserve"> natural gas processing assets in the Marcellus and Utica Shale production regions. The goodwill recognized from the CMG Acquisition is deductible for income tax purposes. </w:t>
      </w:r>
    </w:p>
    <w:p w:rsidR="00000000" w:rsidRDefault="00DF5BC2">
      <w:pPr>
        <w:jc w:val="both"/>
        <w:rPr>
          <w:rFonts w:eastAsia="Times New Roman"/>
        </w:rPr>
      </w:pPr>
      <w:r>
        <w:rPr>
          <w:rFonts w:eastAsia="Times New Roman"/>
          <w:color w:val="000000"/>
          <w:sz w:val="20"/>
          <w:szCs w:val="20"/>
        </w:rPr>
        <w:t xml:space="preserve">The Company recognized $15 of direct transaction-related costs associated with the </w:t>
      </w:r>
      <w:r>
        <w:rPr>
          <w:rFonts w:eastAsia="Times New Roman"/>
          <w:color w:val="000000"/>
          <w:sz w:val="20"/>
          <w:szCs w:val="20"/>
        </w:rPr>
        <w:t>CMG Acquisition during Fiscal 2019, which costs are reflected in “Operating and administrative expenses” on the 2019 Consolidated Statement of Income. The CMG Acquisition did not have a material impact on the Company’s revenues or net income attributable t</w:t>
      </w:r>
      <w:r>
        <w:rPr>
          <w:rFonts w:eastAsia="Times New Roman"/>
          <w:color w:val="000000"/>
          <w:sz w:val="20"/>
          <w:szCs w:val="20"/>
        </w:rPr>
        <w:t>o UGI for Fiscal 2019. In addition, the impact of the CMG Acquisition on a pro forma basis as if the CMG Acquisition had occurred on October 1, 2018 was not material to the Company’s revenues or net income for Fiscal 2019.</w:t>
      </w:r>
    </w:p>
    <w:p w:rsidR="00000000" w:rsidRDefault="00DF5BC2">
      <w:pPr>
        <w:jc w:val="both"/>
        <w:divId w:val="1741056449"/>
        <w:rPr>
          <w:rFonts w:eastAsia="Times New Roman"/>
        </w:rPr>
      </w:pPr>
      <w:r>
        <w:rPr>
          <w:rFonts w:eastAsia="Times New Roman"/>
          <w:b/>
          <w:bCs/>
          <w:color w:val="000000"/>
          <w:sz w:val="20"/>
          <w:szCs w:val="20"/>
        </w:rPr>
        <w:t>Other Acquisitions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During Fiscal 2021, UGI International acquired several LPG retail businesses and an energy marketing business in Europe. During Fiscal 2020, Energy Services acquired GHI, a Houston, Texas-based renewable natural gas company currently doing business in Cali</w:t>
      </w:r>
      <w:r>
        <w:rPr>
          <w:rFonts w:eastAsia="Times New Roman"/>
          <w:color w:val="000000"/>
          <w:sz w:val="20"/>
          <w:szCs w:val="20"/>
        </w:rPr>
        <w:t xml:space="preserve">fornia. During Fiscal 2019, UGI International acquired several retail LPG distribution businesses, and Midstream &amp; Marketing acquired a natural gas marketing business. </w:t>
      </w:r>
    </w:p>
    <w:p w:rsidR="00000000" w:rsidRDefault="00DF5BC2">
      <w:pPr>
        <w:jc w:val="center"/>
        <w:divId w:val="1063599359"/>
        <w:rPr>
          <w:rFonts w:eastAsia="Times New Roman"/>
        </w:rPr>
      </w:pPr>
      <w:r>
        <w:rPr>
          <w:rFonts w:eastAsia="Times New Roman"/>
          <w:color w:val="000000"/>
          <w:sz w:val="20"/>
          <w:szCs w:val="20"/>
        </w:rPr>
        <w:t>F-27</w:t>
      </w:r>
    </w:p>
    <w:p w:rsidR="00000000" w:rsidRDefault="00DF5BC2">
      <w:pPr>
        <w:rPr>
          <w:rFonts w:eastAsia="Times New Roman"/>
        </w:rPr>
      </w:pPr>
      <w:r>
        <w:rPr>
          <w:rFonts w:eastAsia="Times New Roman"/>
        </w:rPr>
        <w:pict>
          <v:rect id="_x0000_i1141" style="width:0;height:1.5pt" o:hralign="center" o:hrstd="t" o:hr="t" fillcolor="#a0a0a0" stroked="f"/>
        </w:pict>
      </w:r>
    </w:p>
    <w:p w:rsidR="00000000" w:rsidRDefault="00DF5BC2">
      <w:pPr>
        <w:divId w:val="1298485169"/>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730179519"/>
        <w:rPr>
          <w:rFonts w:eastAsia="Times New Roman"/>
        </w:rPr>
      </w:pPr>
      <w:r>
        <w:rPr>
          <w:rFonts w:eastAsia="Times New Roman"/>
          <w:b/>
          <w:bCs/>
          <w:color w:val="000000"/>
          <w:sz w:val="20"/>
          <w:szCs w:val="20"/>
        </w:rPr>
        <w:t>UGI Corporation and Subsidiaries</w:t>
      </w:r>
    </w:p>
    <w:p w:rsidR="00000000" w:rsidRDefault="00DF5BC2">
      <w:pPr>
        <w:divId w:val="1624186607"/>
        <w:rPr>
          <w:rFonts w:eastAsia="Times New Roman"/>
        </w:rPr>
      </w:pPr>
      <w:r>
        <w:rPr>
          <w:rFonts w:eastAsia="Times New Roman"/>
          <w:b/>
          <w:bCs/>
          <w:color w:val="000000"/>
          <w:sz w:val="20"/>
          <w:szCs w:val="20"/>
        </w:rPr>
        <w:t>Notes to Consolidated Financial Statements</w:t>
      </w:r>
    </w:p>
    <w:p w:rsidR="00000000" w:rsidRDefault="00DF5BC2">
      <w:pPr>
        <w:divId w:val="902445988"/>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jc w:val="both"/>
        <w:divId w:val="258831945"/>
        <w:rPr>
          <w:rFonts w:eastAsia="Times New Roman"/>
        </w:rPr>
      </w:pPr>
      <w:r>
        <w:rPr>
          <w:rFonts w:eastAsia="Times New Roman"/>
          <w:color w:val="000000"/>
          <w:sz w:val="20"/>
          <w:szCs w:val="20"/>
        </w:rPr>
        <w:t>Total cash paid and liabilities incurred in connection with these acquisitions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45"/>
        <w:gridCol w:w="37"/>
        <w:gridCol w:w="36"/>
        <w:gridCol w:w="36"/>
        <w:gridCol w:w="36"/>
        <w:gridCol w:w="36"/>
        <w:gridCol w:w="36"/>
        <w:gridCol w:w="122"/>
        <w:gridCol w:w="958"/>
        <w:gridCol w:w="36"/>
        <w:gridCol w:w="36"/>
        <w:gridCol w:w="36"/>
        <w:gridCol w:w="36"/>
        <w:gridCol w:w="122"/>
        <w:gridCol w:w="818"/>
        <w:gridCol w:w="36"/>
        <w:gridCol w:w="36"/>
        <w:gridCol w:w="36"/>
        <w:gridCol w:w="36"/>
        <w:gridCol w:w="121"/>
        <w:gridCol w:w="958"/>
        <w:gridCol w:w="36"/>
        <w:gridCol w:w="36"/>
        <w:gridCol w:w="36"/>
        <w:gridCol w:w="36"/>
        <w:gridCol w:w="121"/>
        <w:gridCol w:w="818"/>
        <w:gridCol w:w="36"/>
      </w:tblGrid>
      <w:tr w:rsidR="00000000">
        <w:trPr>
          <w:divId w:val="32655024"/>
          <w:jc w:val="center"/>
        </w:trPr>
        <w:tc>
          <w:tcPr>
            <w:tcW w:w="50" w:type="pct"/>
            <w:vAlign w:val="center"/>
            <w:hideMark/>
          </w:tcPr>
          <w:p w:rsidR="00000000" w:rsidRDefault="00DF5BC2">
            <w:pPr>
              <w:jc w:val="both"/>
              <w:rPr>
                <w:rFonts w:eastAsia="Times New Roman"/>
              </w:rPr>
            </w:pPr>
          </w:p>
        </w:tc>
        <w:tc>
          <w:tcPr>
            <w:tcW w:w="254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32655024"/>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32655024"/>
          <w:jc w:val="center"/>
        </w:trPr>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UGI International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Midstream &amp; Marketing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Midstream &amp; Marketing</w:t>
            </w:r>
          </w:p>
        </w:tc>
      </w:tr>
      <w:tr w:rsidR="00000000">
        <w:trPr>
          <w:divId w:val="32655024"/>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cash paid</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2655024"/>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Liabilities incurred</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2655024"/>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purchase price</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1784232237"/>
        <w:rPr>
          <w:rFonts w:eastAsia="Times New Roman"/>
        </w:rPr>
      </w:pPr>
    </w:p>
    <w:p w:rsidR="00000000" w:rsidRDefault="00DF5BC2">
      <w:pPr>
        <w:divId w:val="348603207"/>
        <w:rPr>
          <w:rFonts w:eastAsia="Times New Roman"/>
        </w:rPr>
      </w:pPr>
      <w:r>
        <w:rPr>
          <w:rFonts w:eastAsia="Times New Roman"/>
          <w:b/>
          <w:bCs/>
          <w:color w:val="000000"/>
          <w:sz w:val="20"/>
          <w:szCs w:val="20"/>
        </w:rPr>
        <w:t>Acquisitions of Assets</w:t>
      </w:r>
    </w:p>
    <w:p w:rsidR="00000000" w:rsidRDefault="00DF5BC2">
      <w:pPr>
        <w:divId w:val="611404456"/>
        <w:rPr>
          <w:rFonts w:eastAsia="Times New Roman"/>
        </w:rPr>
      </w:pPr>
    </w:p>
    <w:p w:rsidR="00000000" w:rsidRDefault="00DF5BC2">
      <w:pPr>
        <w:jc w:val="both"/>
        <w:rPr>
          <w:rFonts w:eastAsia="Times New Roman"/>
        </w:rPr>
      </w:pPr>
      <w:r>
        <w:rPr>
          <w:rFonts w:eastAsia="Times New Roman"/>
          <w:color w:val="000000"/>
          <w:sz w:val="20"/>
          <w:szCs w:val="20"/>
        </w:rPr>
        <w:t>During Fiscal 2019, Midstream &amp; Marketing acquired 21 miles of natural gas gathering lines and related dehydration and compression equipment located in northern Pennsylvania for cash consideration of $20.</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Disposals of Conemaugh and HVAC</w:t>
      </w:r>
    </w:p>
    <w:p w:rsidR="00000000" w:rsidRDefault="00DF5BC2">
      <w:pPr>
        <w:jc w:val="both"/>
        <w:divId w:val="988365806"/>
        <w:rPr>
          <w:rFonts w:eastAsia="Times New Roman"/>
        </w:rPr>
      </w:pPr>
      <w:r>
        <w:rPr>
          <w:rFonts w:eastAsia="Times New Roman"/>
          <w:b/>
          <w:bCs/>
          <w:i/>
          <w:iCs/>
          <w:color w:val="000000"/>
          <w:sz w:val="20"/>
          <w:szCs w:val="20"/>
        </w:rPr>
        <w:t>Conemaugh.</w:t>
      </w:r>
      <w:r>
        <w:rPr>
          <w:rFonts w:eastAsia="Times New Roman"/>
          <w:color w:val="000000"/>
          <w:sz w:val="20"/>
          <w:szCs w:val="20"/>
        </w:rPr>
        <w:t xml:space="preserve"> In Jul</w:t>
      </w:r>
      <w:r>
        <w:rPr>
          <w:rFonts w:eastAsia="Times New Roman"/>
          <w:color w:val="000000"/>
          <w:sz w:val="20"/>
          <w:szCs w:val="20"/>
        </w:rPr>
        <w:t xml:space="preserve">y 2020, Energy Services, through a wholly owned subsidiary, entered into an agreement to sell its approximate 5.97% ownership interest in Conemaugh. As a result, the Company reduced the carrying amount of these assets to their fair values during the third </w:t>
      </w:r>
      <w:r>
        <w:rPr>
          <w:rFonts w:eastAsia="Times New Roman"/>
          <w:color w:val="000000"/>
          <w:sz w:val="20"/>
          <w:szCs w:val="20"/>
        </w:rPr>
        <w:t xml:space="preserve">quarter of Fiscal 2020 and recognized a non-cash, pre-tax impairment charge of $52 which amount is reflected in “Loss on disposals of Conemaugh and HVAC” on the 2020 Consolidated Statement of Income. The fair value of such assets was based upon the agreed </w:t>
      </w:r>
      <w:r>
        <w:rPr>
          <w:rFonts w:eastAsia="Times New Roman"/>
          <w:color w:val="000000"/>
          <w:sz w:val="20"/>
          <w:szCs w:val="20"/>
        </w:rPr>
        <w:t>upon sales price, and was determined to be a Level 2 measurement within the fair value hierarchy. The sale was completed on September 30, 2020.</w:t>
      </w:r>
    </w:p>
    <w:p w:rsidR="00000000" w:rsidRDefault="00DF5BC2">
      <w:pPr>
        <w:jc w:val="both"/>
        <w:divId w:val="259457321"/>
        <w:rPr>
          <w:rFonts w:eastAsia="Times New Roman"/>
        </w:rPr>
      </w:pPr>
      <w:r>
        <w:rPr>
          <w:rFonts w:eastAsia="Times New Roman"/>
          <w:b/>
          <w:bCs/>
          <w:i/>
          <w:iCs/>
          <w:color w:val="000000"/>
          <w:sz w:val="20"/>
          <w:szCs w:val="20"/>
        </w:rPr>
        <w:t>HVAC.</w:t>
      </w:r>
      <w:r>
        <w:rPr>
          <w:rFonts w:eastAsia="Times New Roman"/>
          <w:color w:val="000000"/>
          <w:sz w:val="20"/>
          <w:szCs w:val="20"/>
        </w:rPr>
        <w:t xml:space="preserve"> In September 2020, Enterprises entered into an agreement to sell its HVAC business. As a result, the Compa</w:t>
      </w:r>
      <w:r>
        <w:rPr>
          <w:rFonts w:eastAsia="Times New Roman"/>
          <w:color w:val="000000"/>
          <w:sz w:val="20"/>
          <w:szCs w:val="20"/>
        </w:rPr>
        <w:t>ny reduced the carrying amount of these assets to their fair values during the fourth quarter of Fiscal 2020 and recognized a non-cash, pre-tax loss on disposal of $2 which amount is reflected in “Loss on disposals of Conemaugh and HVAC” on the 2020 Consol</w:t>
      </w:r>
      <w:r>
        <w:rPr>
          <w:rFonts w:eastAsia="Times New Roman"/>
          <w:color w:val="000000"/>
          <w:sz w:val="20"/>
          <w:szCs w:val="20"/>
        </w:rPr>
        <w:t>idated Statement of Income. The fair value of such assets was based upon the agreed upon sales price, and was determined to be a Level 2 measurement within the fair value hierarchy. The sale was completed on September 30, 2020.</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6 — Debt </w:t>
      </w:r>
    </w:p>
    <w:p w:rsidR="00000000" w:rsidRDefault="00DF5BC2">
      <w:pPr>
        <w:jc w:val="both"/>
        <w:divId w:val="143207699"/>
        <w:rPr>
          <w:rFonts w:eastAsia="Times New Roman"/>
        </w:rPr>
      </w:pPr>
      <w:r>
        <w:rPr>
          <w:rFonts w:eastAsia="Times New Roman"/>
          <w:b/>
          <w:bCs/>
          <w:color w:val="000000"/>
          <w:sz w:val="20"/>
          <w:szCs w:val="20"/>
        </w:rPr>
        <w:t>Significant</w:t>
      </w:r>
      <w:r>
        <w:rPr>
          <w:rFonts w:eastAsia="Times New Roman"/>
          <w:b/>
          <w:bCs/>
          <w:color w:val="000000"/>
          <w:sz w:val="20"/>
          <w:szCs w:val="20"/>
        </w:rPr>
        <w:t xml:space="preserve"> Financing Activities during Fiscal 2021</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As further described in Note 5, UGI acquired Mountaineer on September 1, 2021. Mountaineer has a credit facility agreement which provides for borrowings up to $100, with an option to increase the maxi</w:t>
      </w:r>
      <w:r>
        <w:rPr>
          <w:rFonts w:eastAsia="Times New Roman"/>
          <w:color w:val="000000"/>
          <w:sz w:val="20"/>
          <w:szCs w:val="20"/>
        </w:rPr>
        <w:t xml:space="preserve">mum borrowing capacity to $200. The credit facility agreement is scheduled to expire in November 2024, with the option to extend the maturity for two additional one-year periods. Borrowings under this credit facility agreement bear interest at (1) a prime </w:t>
      </w:r>
      <w:r>
        <w:rPr>
          <w:rFonts w:eastAsia="Times New Roman"/>
          <w:color w:val="000000"/>
          <w:sz w:val="20"/>
          <w:szCs w:val="20"/>
        </w:rPr>
        <w:t>rate plus a margin or (2) an adjusted LIBOR plus a margin. Such margin is dependent upon Mountaineer’s unsecured debt rating.</w:t>
      </w:r>
    </w:p>
    <w:p w:rsidR="00000000" w:rsidRDefault="00DF5BC2">
      <w:pPr>
        <w:divId w:val="983654380"/>
        <w:rPr>
          <w:rFonts w:eastAsia="Times New Roman"/>
        </w:rPr>
      </w:pPr>
    </w:p>
    <w:p w:rsidR="00000000" w:rsidRDefault="00DF5BC2">
      <w:pPr>
        <w:jc w:val="both"/>
        <w:rPr>
          <w:rFonts w:eastAsia="Times New Roman"/>
        </w:rPr>
      </w:pPr>
      <w:r>
        <w:rPr>
          <w:rFonts w:eastAsia="Times New Roman"/>
          <w:color w:val="000000"/>
          <w:sz w:val="20"/>
          <w:szCs w:val="20"/>
        </w:rPr>
        <w:t>Mountaineer also has several unsecured senior notes and principal amounts which are due in full at maturity. Interest is payable</w:t>
      </w:r>
      <w:r>
        <w:rPr>
          <w:rFonts w:eastAsia="Times New Roman"/>
          <w:color w:val="000000"/>
          <w:sz w:val="20"/>
          <w:szCs w:val="20"/>
        </w:rPr>
        <w:t xml:space="preserve"> on a semiannual basis in June and December for each of these senior notes. See “Long-term Debt” below for further information on these senior notes.</w:t>
      </w:r>
    </w:p>
    <w:p w:rsidR="00000000" w:rsidRDefault="00DF5BC2">
      <w:pPr>
        <w:divId w:val="326523444"/>
        <w:rPr>
          <w:rFonts w:eastAsia="Times New Roman"/>
        </w:rPr>
      </w:pPr>
    </w:p>
    <w:p w:rsidR="00000000" w:rsidRDefault="00DF5BC2">
      <w:pPr>
        <w:jc w:val="both"/>
        <w:rPr>
          <w:rFonts w:eastAsia="Times New Roman"/>
        </w:rPr>
      </w:pPr>
      <w:r>
        <w:rPr>
          <w:rFonts w:eastAsia="Times New Roman"/>
          <w:b/>
          <w:bCs/>
          <w:i/>
          <w:iCs/>
          <w:color w:val="000000"/>
          <w:sz w:val="20"/>
          <w:szCs w:val="20"/>
        </w:rPr>
        <w:t>UGI Utilities, Inc..</w:t>
      </w:r>
      <w:r>
        <w:rPr>
          <w:rFonts w:eastAsia="Times New Roman"/>
          <w:color w:val="000000"/>
          <w:sz w:val="20"/>
          <w:szCs w:val="20"/>
        </w:rPr>
        <w:t xml:space="preserve"> On May 7, 2021, UGI Utilities, Inc. entered into a Note Purchase Agreement with a c</w:t>
      </w:r>
      <w:r>
        <w:rPr>
          <w:rFonts w:eastAsia="Times New Roman"/>
          <w:color w:val="000000"/>
          <w:sz w:val="20"/>
          <w:szCs w:val="20"/>
        </w:rPr>
        <w:t>onsortium of lenders. Pursuant to the Note Purchase Agreement, UGI Utilities, Inc. issued $100 aggregate principal amount of 1.59% Senior Notes due June 15, 2026 and $75 aggregate principal amount of 1.64% Senior Notes due September 15, 2026 in June and Se</w:t>
      </w:r>
      <w:r>
        <w:rPr>
          <w:rFonts w:eastAsia="Times New Roman"/>
          <w:color w:val="000000"/>
          <w:sz w:val="20"/>
          <w:szCs w:val="20"/>
        </w:rPr>
        <w:t>ptember 2021, respectively. These senior notes are unsecured and will rank equally with UGI Utilities Inc.’s existing outstanding senior debt. The net proceeds from these issuances were used to reduce short-term borrowings and for general corporate purpose</w:t>
      </w:r>
      <w:r>
        <w:rPr>
          <w:rFonts w:eastAsia="Times New Roman"/>
          <w:color w:val="000000"/>
          <w:sz w:val="20"/>
          <w:szCs w:val="20"/>
        </w:rPr>
        <w:t>s.</w:t>
      </w:r>
    </w:p>
    <w:p w:rsidR="00000000" w:rsidRDefault="00DF5BC2">
      <w:pPr>
        <w:divId w:val="641544371"/>
        <w:rPr>
          <w:rFonts w:eastAsia="Times New Roman"/>
        </w:rPr>
      </w:pPr>
    </w:p>
    <w:p w:rsidR="00000000" w:rsidRDefault="00DF5BC2">
      <w:pPr>
        <w:jc w:val="both"/>
        <w:rPr>
          <w:rFonts w:eastAsia="Times New Roman"/>
        </w:rPr>
      </w:pPr>
      <w:r>
        <w:rPr>
          <w:rFonts w:eastAsia="Times New Roman"/>
          <w:b/>
          <w:bCs/>
          <w:i/>
          <w:iCs/>
          <w:color w:val="000000"/>
          <w:sz w:val="20"/>
          <w:szCs w:val="20"/>
        </w:rPr>
        <w:t>UGI Corporation.</w:t>
      </w:r>
      <w:r>
        <w:rPr>
          <w:rFonts w:eastAsia="Times New Roman"/>
          <w:color w:val="000000"/>
          <w:sz w:val="20"/>
          <w:szCs w:val="20"/>
        </w:rPr>
        <w:t xml:space="preserve"> On May 4, 2021, UGI amended the existing UGI Corporation Senior Credit Facility. The 2021 UGI Corporation Senior Credit Facility (1) extends the maturity date of the previous three-year $300 term loan included in the existing UGI Corp</w:t>
      </w:r>
      <w:r>
        <w:rPr>
          <w:rFonts w:eastAsia="Times New Roman"/>
          <w:color w:val="000000"/>
          <w:sz w:val="20"/>
          <w:szCs w:val="20"/>
        </w:rPr>
        <w:t>oration Senior Credit Facility, which is now due in May 2025; and (2) includes a new four-year term loan commitment, which, effective June 9, 2021, was reduced from $300 to $215, pursuant to the terms of the 2021 UGI Corporation Senior Credit Facility. Pro</w:t>
      </w:r>
      <w:r>
        <w:rPr>
          <w:rFonts w:eastAsia="Times New Roman"/>
          <w:color w:val="000000"/>
          <w:sz w:val="20"/>
          <w:szCs w:val="20"/>
        </w:rPr>
        <w:t xml:space="preserve">ceeds from new term loan borrowings under the 2021 UGI Corporation Senior Credit Facility were used to finance a portion of the Mountaineer Acquisition and for general corporate purposes. </w:t>
      </w:r>
    </w:p>
    <w:p w:rsidR="00000000" w:rsidRDefault="00DF5BC2">
      <w:pPr>
        <w:jc w:val="both"/>
        <w:rPr>
          <w:rFonts w:eastAsia="Times New Roman"/>
        </w:rPr>
      </w:pPr>
    </w:p>
    <w:p w:rsidR="00000000" w:rsidRDefault="00DF5BC2">
      <w:pPr>
        <w:jc w:val="center"/>
        <w:divId w:val="1255482449"/>
        <w:rPr>
          <w:rFonts w:eastAsia="Times New Roman"/>
        </w:rPr>
      </w:pPr>
      <w:r>
        <w:rPr>
          <w:rFonts w:eastAsia="Times New Roman"/>
          <w:color w:val="000000"/>
          <w:sz w:val="20"/>
          <w:szCs w:val="20"/>
        </w:rPr>
        <w:t>F-28</w:t>
      </w:r>
    </w:p>
    <w:p w:rsidR="00000000" w:rsidRDefault="00DF5BC2">
      <w:pPr>
        <w:rPr>
          <w:rFonts w:eastAsia="Times New Roman"/>
        </w:rPr>
      </w:pPr>
      <w:r>
        <w:rPr>
          <w:rFonts w:eastAsia="Times New Roman"/>
        </w:rPr>
        <w:pict>
          <v:rect id="_x0000_i1142" style="width:0;height:1.5pt" o:hralign="center" o:hrstd="t" o:hr="t" fillcolor="#a0a0a0" stroked="f"/>
        </w:pict>
      </w:r>
    </w:p>
    <w:p w:rsidR="00000000" w:rsidRDefault="00DF5BC2">
      <w:pPr>
        <w:divId w:val="8657914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157957849"/>
        <w:rPr>
          <w:rFonts w:eastAsia="Times New Roman"/>
        </w:rPr>
      </w:pPr>
      <w:r>
        <w:rPr>
          <w:rFonts w:eastAsia="Times New Roman"/>
          <w:b/>
          <w:bCs/>
          <w:color w:val="000000"/>
          <w:sz w:val="20"/>
          <w:szCs w:val="20"/>
        </w:rPr>
        <w:t>UGI Corporation and Subsidiaries</w:t>
      </w:r>
    </w:p>
    <w:p w:rsidR="00000000" w:rsidRDefault="00DF5BC2">
      <w:pPr>
        <w:divId w:val="1745880983"/>
        <w:rPr>
          <w:rFonts w:eastAsia="Times New Roman"/>
        </w:rPr>
      </w:pPr>
      <w:r>
        <w:rPr>
          <w:rFonts w:eastAsia="Times New Roman"/>
          <w:b/>
          <w:bCs/>
          <w:color w:val="000000"/>
          <w:sz w:val="20"/>
          <w:szCs w:val="20"/>
        </w:rPr>
        <w:t>Notes to Consolidated Financial Statements</w:t>
      </w:r>
    </w:p>
    <w:p w:rsidR="00000000" w:rsidRDefault="00DF5BC2">
      <w:pPr>
        <w:divId w:val="625621418"/>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color w:val="000000"/>
          <w:sz w:val="20"/>
          <w:szCs w:val="20"/>
        </w:rPr>
        <w:t>Borrowings on the new term loan under the 2021 UGI Corporation Senior Credit Facility bear interest subject to our election, at either (1) the associated prime rate plus a margi</w:t>
      </w:r>
      <w:r>
        <w:rPr>
          <w:rFonts w:eastAsia="Times New Roman"/>
          <w:color w:val="000000"/>
          <w:sz w:val="20"/>
          <w:szCs w:val="20"/>
        </w:rPr>
        <w:t>n or (2) an adjusted LIBOR (or an alternate benchmark rate upon a transition away from LIBOR) plus a margin and are due in their entirety at the maturity date. The applicable margin on the new borrowings, which is dependent upon a ratio of consolidated net</w:t>
      </w:r>
      <w:r>
        <w:rPr>
          <w:rFonts w:eastAsia="Times New Roman"/>
          <w:color w:val="000000"/>
          <w:sz w:val="20"/>
          <w:szCs w:val="20"/>
        </w:rPr>
        <w:t xml:space="preserve"> indebtedness to consolidated EBITDA, as defined, or UGI’s credit ratings, ranges from 0.125% to 1.50% if the prime rate option is elected and 1.125% to 2.50% if the LIBOR option is elected.</w:t>
      </w:r>
    </w:p>
    <w:p w:rsidR="00000000" w:rsidRDefault="00DF5BC2">
      <w:pPr>
        <w:jc w:val="both"/>
        <w:divId w:val="2051372189"/>
        <w:rPr>
          <w:rFonts w:eastAsia="Times New Roman"/>
        </w:rPr>
      </w:pPr>
      <w:r>
        <w:rPr>
          <w:rFonts w:eastAsia="Times New Roman"/>
          <w:b/>
          <w:bCs/>
          <w:color w:val="000000"/>
          <w:sz w:val="20"/>
          <w:szCs w:val="20"/>
        </w:rPr>
        <w:t>Credit Facilities and Short-term Borrowings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Information about t</w:t>
      </w:r>
      <w:r>
        <w:rPr>
          <w:rFonts w:eastAsia="Times New Roman"/>
          <w:color w:val="000000"/>
          <w:sz w:val="20"/>
          <w:szCs w:val="20"/>
        </w:rPr>
        <w:t>he Company’s principal credit agreements (excluding the Energy Services Receivables Facility, which is discussed below) as of September 30, 2021 and 2020, is presented in the following table. Borrowings on these credit agreements bear interest at rates ind</w:t>
      </w:r>
      <w:r>
        <w:rPr>
          <w:rFonts w:eastAsia="Times New Roman"/>
          <w:color w:val="000000"/>
          <w:sz w:val="20"/>
          <w:szCs w:val="20"/>
        </w:rPr>
        <w:t xml:space="preserve">exed to short-term market rates. Borrowings outstanding under these agreements (other than the 2021 UGI Corporation Senior Credit Facility and its predecessor agreement) are classified as “Short-term borrowings” on the Consolidated Balance Sheets. </w:t>
      </w:r>
    </w:p>
    <w:tbl>
      <w:tblPr>
        <w:tblW w:w="4985" w:type="pct"/>
        <w:jc w:val="center"/>
        <w:tblCellMar>
          <w:top w:w="15" w:type="dxa"/>
          <w:left w:w="15" w:type="dxa"/>
          <w:bottom w:w="15" w:type="dxa"/>
          <w:right w:w="15" w:type="dxa"/>
        </w:tblCellMar>
        <w:tblLook w:val="04A0" w:firstRow="1" w:lastRow="0" w:firstColumn="1" w:lastColumn="0" w:noHBand="0" w:noVBand="1"/>
      </w:tblPr>
      <w:tblGrid>
        <w:gridCol w:w="49"/>
        <w:gridCol w:w="1663"/>
        <w:gridCol w:w="38"/>
        <w:gridCol w:w="36"/>
        <w:gridCol w:w="36"/>
        <w:gridCol w:w="36"/>
        <w:gridCol w:w="64"/>
        <w:gridCol w:w="815"/>
        <w:gridCol w:w="36"/>
        <w:gridCol w:w="36"/>
        <w:gridCol w:w="36"/>
        <w:gridCol w:w="36"/>
        <w:gridCol w:w="121"/>
        <w:gridCol w:w="673"/>
        <w:gridCol w:w="36"/>
        <w:gridCol w:w="36"/>
        <w:gridCol w:w="36"/>
        <w:gridCol w:w="36"/>
        <w:gridCol w:w="121"/>
        <w:gridCol w:w="927"/>
        <w:gridCol w:w="36"/>
        <w:gridCol w:w="36"/>
        <w:gridCol w:w="36"/>
        <w:gridCol w:w="36"/>
        <w:gridCol w:w="121"/>
        <w:gridCol w:w="922"/>
        <w:gridCol w:w="36"/>
        <w:gridCol w:w="36"/>
        <w:gridCol w:w="36"/>
        <w:gridCol w:w="36"/>
        <w:gridCol w:w="121"/>
        <w:gridCol w:w="821"/>
        <w:gridCol w:w="36"/>
        <w:gridCol w:w="36"/>
        <w:gridCol w:w="36"/>
        <w:gridCol w:w="36"/>
        <w:gridCol w:w="84"/>
        <w:gridCol w:w="726"/>
        <w:gridCol w:w="187"/>
      </w:tblGrid>
      <w:tr w:rsidR="00000000">
        <w:trPr>
          <w:divId w:val="415176134"/>
          <w:jc w:val="center"/>
        </w:trPr>
        <w:tc>
          <w:tcPr>
            <w:tcW w:w="50" w:type="pct"/>
            <w:vAlign w:val="center"/>
            <w:hideMark/>
          </w:tcPr>
          <w:p w:rsidR="00000000" w:rsidRDefault="00DF5BC2">
            <w:pPr>
              <w:jc w:val="both"/>
              <w:rPr>
                <w:rFonts w:eastAsia="Times New Roman"/>
              </w:rPr>
            </w:pPr>
          </w:p>
        </w:tc>
        <w:tc>
          <w:tcPr>
            <w:tcW w:w="122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4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6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3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415176134"/>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Expiration Date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Total Capacity</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Borrowings Outstanding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Letters of Credit and Guarantees Outstanding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Available Borrowing Capacity</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Weighted Average Interest Rate - End of Year</w:t>
            </w:r>
          </w:p>
        </w:tc>
      </w:tr>
      <w:tr w:rsidR="00000000">
        <w:trPr>
          <w:divId w:val="415176134"/>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September 30,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415176134"/>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OLP (a)</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December 2022</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415176134"/>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 LLC (b)</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October 2023</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N.A.</w:t>
            </w:r>
          </w:p>
        </w:tc>
      </w:tr>
      <w:tr w:rsidR="00000000">
        <w:trPr>
          <w:divId w:val="415176134"/>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Energy Services (c)</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March 2025</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N.A.</w:t>
            </w:r>
          </w:p>
        </w:tc>
      </w:tr>
      <w:tr w:rsidR="00000000">
        <w:trPr>
          <w:divId w:val="415176134"/>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 Inc. (d)</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415176134"/>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Mountaineer (e)</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N.M.</w:t>
            </w:r>
          </w:p>
        </w:tc>
      </w:tr>
      <w:tr w:rsidR="00000000">
        <w:trPr>
          <w:divId w:val="415176134"/>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Corporation (f)</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August 2024</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415176134"/>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September 30, 2020</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415176134"/>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OLP (a)</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December 2022</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415176134"/>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 LLC (b)</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October 2023</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N.A.</w:t>
            </w:r>
          </w:p>
        </w:tc>
      </w:tr>
      <w:tr w:rsidR="00000000">
        <w:trPr>
          <w:divId w:val="415176134"/>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Energy Services (c)</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March 2025</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N.A.</w:t>
            </w:r>
          </w:p>
        </w:tc>
      </w:tr>
      <w:tr w:rsidR="00000000">
        <w:trPr>
          <w:divId w:val="415176134"/>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 Inc. (d)</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June 2024</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415176134"/>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Corporation (f)</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August 2024</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bl>
    <w:p w:rsidR="00000000" w:rsidRDefault="00DF5BC2">
      <w:pPr>
        <w:ind w:hanging="360"/>
        <w:jc w:val="both"/>
        <w:rPr>
          <w:rFonts w:eastAsia="Times New Roman"/>
        </w:rPr>
      </w:pPr>
      <w:r>
        <w:rPr>
          <w:rFonts w:eastAsia="Times New Roman"/>
          <w:color w:val="000000"/>
          <w:sz w:val="20"/>
          <w:szCs w:val="20"/>
        </w:rPr>
        <w:t>(a)</w:t>
      </w:r>
      <w:r>
        <w:rPr>
          <w:rFonts w:eastAsia="Times New Roman"/>
          <w:color w:val="000000"/>
          <w:sz w:val="20"/>
          <w:szCs w:val="20"/>
        </w:rPr>
        <w:t>The AmeriGas OLP Credit Agreement includes a $150 sublimit for letters of credit.</w:t>
      </w:r>
    </w:p>
    <w:p w:rsidR="00000000" w:rsidRDefault="00DF5BC2">
      <w:pPr>
        <w:ind w:hanging="360"/>
        <w:jc w:val="both"/>
        <w:rPr>
          <w:rFonts w:eastAsia="Times New Roman"/>
        </w:rPr>
      </w:pPr>
      <w:r>
        <w:rPr>
          <w:rFonts w:eastAsia="Times New Roman"/>
          <w:color w:val="000000"/>
          <w:sz w:val="20"/>
          <w:szCs w:val="20"/>
        </w:rPr>
        <w:t>(b)The UGI International Credit Facilities Agreement permits UGI International, LLC to borrow in euros or dollars. UGI International repaid all borrowings outstanding on this</w:t>
      </w:r>
      <w:r>
        <w:rPr>
          <w:rFonts w:eastAsia="Times New Roman"/>
          <w:color w:val="000000"/>
          <w:sz w:val="20"/>
          <w:szCs w:val="20"/>
        </w:rPr>
        <w:t xml:space="preserve"> facility in September 2020.</w:t>
      </w:r>
    </w:p>
    <w:p w:rsidR="00000000" w:rsidRDefault="00DF5BC2">
      <w:pPr>
        <w:ind w:hanging="360"/>
        <w:jc w:val="both"/>
        <w:rPr>
          <w:rFonts w:eastAsia="Times New Roman"/>
        </w:rPr>
      </w:pPr>
      <w:r>
        <w:rPr>
          <w:rFonts w:eastAsia="Times New Roman"/>
          <w:color w:val="000000"/>
          <w:sz w:val="20"/>
          <w:szCs w:val="20"/>
        </w:rPr>
        <w:t>(c)The Energy Services Credit Agreement includes a $50 sublimit for letters of credit and is guaranteed by certain subsidiaries of Energy Services. This credit agreement is collateralized by substantially all of the assets of E</w:t>
      </w:r>
      <w:r>
        <w:rPr>
          <w:rFonts w:eastAsia="Times New Roman"/>
          <w:color w:val="000000"/>
          <w:sz w:val="20"/>
          <w:szCs w:val="20"/>
        </w:rPr>
        <w:t xml:space="preserve">nergy Services, subject to certain exceptions and carveouts including, but not limited to, accounts receivables and certain real property. </w:t>
      </w:r>
    </w:p>
    <w:p w:rsidR="00000000" w:rsidRDefault="00DF5BC2">
      <w:pPr>
        <w:ind w:hanging="360"/>
        <w:jc w:val="both"/>
        <w:rPr>
          <w:rFonts w:eastAsia="Times New Roman"/>
        </w:rPr>
      </w:pPr>
      <w:r>
        <w:rPr>
          <w:rFonts w:eastAsia="Times New Roman"/>
          <w:color w:val="000000"/>
          <w:sz w:val="20"/>
          <w:szCs w:val="20"/>
        </w:rPr>
        <w:t>(d)UGI Utilities, Inc. Credit Agreement includes a $100 sublimit for letters of credit.</w:t>
      </w:r>
    </w:p>
    <w:p w:rsidR="00000000" w:rsidRDefault="00DF5BC2">
      <w:pPr>
        <w:ind w:hanging="360"/>
        <w:jc w:val="both"/>
        <w:rPr>
          <w:rFonts w:eastAsia="Times New Roman"/>
        </w:rPr>
      </w:pPr>
      <w:r>
        <w:rPr>
          <w:rFonts w:eastAsia="Times New Roman"/>
          <w:color w:val="000000"/>
          <w:sz w:val="20"/>
          <w:szCs w:val="20"/>
        </w:rPr>
        <w:t>(e)The Mountaineer Credit Ag</w:t>
      </w:r>
      <w:r>
        <w:rPr>
          <w:rFonts w:eastAsia="Times New Roman"/>
          <w:color w:val="000000"/>
          <w:sz w:val="20"/>
          <w:szCs w:val="20"/>
        </w:rPr>
        <w:t xml:space="preserve">reement includes a $20 sublimit for letters of credit. </w:t>
      </w:r>
    </w:p>
    <w:p w:rsidR="00000000" w:rsidRDefault="00DF5BC2">
      <w:pPr>
        <w:ind w:hanging="360"/>
        <w:jc w:val="both"/>
        <w:rPr>
          <w:rFonts w:eastAsia="Times New Roman"/>
        </w:rPr>
      </w:pPr>
      <w:r>
        <w:rPr>
          <w:rFonts w:eastAsia="Times New Roman"/>
          <w:color w:val="000000"/>
          <w:sz w:val="20"/>
          <w:szCs w:val="20"/>
        </w:rPr>
        <w:t>(f)At September 30, 2021 and 2020, management intended to maintain a substantial portion of amounts outstanding under the 2021 UGI Corporation Senior Credit Facility and its predecessor agreement beyo</w:t>
      </w:r>
      <w:r>
        <w:rPr>
          <w:rFonts w:eastAsia="Times New Roman"/>
          <w:color w:val="000000"/>
          <w:sz w:val="20"/>
          <w:szCs w:val="20"/>
        </w:rPr>
        <w:t xml:space="preserve">nd twelve months from the respective balance sheet dates. As such, borrowings outstanding are classified as “Long-term debt” on the Consolidated Balance Sheets. In October 2021 and 2020, the Company repaid $70 and $30, respectively, of such borrowings and </w:t>
      </w:r>
      <w:r>
        <w:rPr>
          <w:rFonts w:eastAsia="Times New Roman"/>
          <w:color w:val="000000"/>
          <w:sz w:val="20"/>
          <w:szCs w:val="20"/>
        </w:rPr>
        <w:t>classified these repayments as “Current maturities of long-term debt” on the Consolidated Balance Sheet. The 2021 UGI Corporation Senior Credit Facility includes a $10 sublimit for letters of credit.</w:t>
      </w:r>
    </w:p>
    <w:p w:rsidR="00000000" w:rsidRDefault="00DF5BC2">
      <w:pPr>
        <w:jc w:val="both"/>
        <w:rPr>
          <w:rFonts w:eastAsia="Times New Roman"/>
        </w:rPr>
      </w:pPr>
      <w:r>
        <w:rPr>
          <w:rFonts w:eastAsia="Times New Roman"/>
          <w:color w:val="000000"/>
          <w:sz w:val="20"/>
          <w:szCs w:val="20"/>
        </w:rPr>
        <w:t>N.A. - Not applicable</w:t>
      </w:r>
    </w:p>
    <w:p w:rsidR="00000000" w:rsidRDefault="00DF5BC2">
      <w:pPr>
        <w:jc w:val="both"/>
        <w:rPr>
          <w:rFonts w:eastAsia="Times New Roman"/>
        </w:rPr>
      </w:pPr>
      <w:r>
        <w:rPr>
          <w:rFonts w:eastAsia="Times New Roman"/>
          <w:color w:val="000000"/>
          <w:sz w:val="20"/>
          <w:szCs w:val="20"/>
        </w:rPr>
        <w:t>N.M. - Not meaningful</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Energy Ser</w:t>
      </w:r>
      <w:r>
        <w:rPr>
          <w:rFonts w:eastAsia="Times New Roman"/>
          <w:b/>
          <w:bCs/>
          <w:i/>
          <w:iCs/>
          <w:color w:val="000000"/>
          <w:sz w:val="20"/>
          <w:szCs w:val="20"/>
        </w:rPr>
        <w:t>vices Receivables Facility.</w:t>
      </w:r>
      <w:r>
        <w:rPr>
          <w:rFonts w:eastAsia="Times New Roman"/>
          <w:i/>
          <w:iCs/>
          <w:color w:val="000000"/>
          <w:sz w:val="20"/>
          <w:szCs w:val="20"/>
        </w:rPr>
        <w:t xml:space="preserve"> </w:t>
      </w:r>
      <w:r>
        <w:rPr>
          <w:rFonts w:eastAsia="Times New Roman"/>
          <w:color w:val="000000"/>
          <w:sz w:val="20"/>
          <w:szCs w:val="20"/>
        </w:rPr>
        <w:t>Energy Services has a Receivables Facility with an issuer of receivables-backed commercial paper currently scheduled to expire in October 2022. The Receivables Facility, as amended, provides Energy Services with the ability to b</w:t>
      </w:r>
      <w:r>
        <w:rPr>
          <w:rFonts w:eastAsia="Times New Roman"/>
          <w:color w:val="000000"/>
          <w:sz w:val="20"/>
          <w:szCs w:val="20"/>
        </w:rPr>
        <w:t xml:space="preserve">orrow up to $150 of eligible receivables during the period November to April, and up to $75 of </w:t>
      </w:r>
    </w:p>
    <w:p w:rsidR="00000000" w:rsidRDefault="00DF5BC2">
      <w:pPr>
        <w:jc w:val="center"/>
        <w:divId w:val="1296449517"/>
        <w:rPr>
          <w:rFonts w:eastAsia="Times New Roman"/>
        </w:rPr>
      </w:pPr>
      <w:r>
        <w:rPr>
          <w:rFonts w:eastAsia="Times New Roman"/>
          <w:color w:val="000000"/>
          <w:sz w:val="20"/>
          <w:szCs w:val="20"/>
        </w:rPr>
        <w:t>F-29</w:t>
      </w:r>
    </w:p>
    <w:p w:rsidR="00000000" w:rsidRDefault="00DF5BC2">
      <w:pPr>
        <w:rPr>
          <w:rFonts w:eastAsia="Times New Roman"/>
        </w:rPr>
      </w:pPr>
      <w:r>
        <w:rPr>
          <w:rFonts w:eastAsia="Times New Roman"/>
        </w:rPr>
        <w:pict>
          <v:rect id="_x0000_i1143" style="width:0;height:1.5pt" o:hralign="center" o:hrstd="t" o:hr="t" fillcolor="#a0a0a0" stroked="f"/>
        </w:pict>
      </w:r>
    </w:p>
    <w:p w:rsidR="00000000" w:rsidRDefault="00DF5BC2">
      <w:pPr>
        <w:divId w:val="52980427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464734577"/>
        <w:rPr>
          <w:rFonts w:eastAsia="Times New Roman"/>
        </w:rPr>
      </w:pPr>
      <w:r>
        <w:rPr>
          <w:rFonts w:eastAsia="Times New Roman"/>
          <w:b/>
          <w:bCs/>
          <w:color w:val="000000"/>
          <w:sz w:val="20"/>
          <w:szCs w:val="20"/>
        </w:rPr>
        <w:t>UGI Corporation and Subsidiaries</w:t>
      </w:r>
    </w:p>
    <w:p w:rsidR="00000000" w:rsidRDefault="00DF5BC2">
      <w:pPr>
        <w:divId w:val="1688948512"/>
        <w:rPr>
          <w:rFonts w:eastAsia="Times New Roman"/>
        </w:rPr>
      </w:pPr>
      <w:r>
        <w:rPr>
          <w:rFonts w:eastAsia="Times New Roman"/>
          <w:b/>
          <w:bCs/>
          <w:color w:val="000000"/>
          <w:sz w:val="20"/>
          <w:szCs w:val="20"/>
        </w:rPr>
        <w:t>Notes to Consolidated Financial Statements</w:t>
      </w:r>
    </w:p>
    <w:p w:rsidR="00000000" w:rsidRDefault="00DF5BC2">
      <w:pPr>
        <w:divId w:val="320472509"/>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color w:val="000000"/>
          <w:sz w:val="20"/>
          <w:szCs w:val="20"/>
        </w:rPr>
        <w:t xml:space="preserve">eligible receivables during the period May to October. Energy Services uses the Receivables Facility </w:t>
      </w:r>
      <w:r>
        <w:rPr>
          <w:rFonts w:eastAsia="Times New Roman"/>
          <w:color w:val="000000"/>
          <w:sz w:val="20"/>
          <w:szCs w:val="20"/>
        </w:rPr>
        <w:t xml:space="preserve">to fund working capital, margin calls under commodity futures contracts, capital expenditures, dividends and for general corporate purposes.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Under the Receivables Facility, Energy Services transfers, on an ongoing basis and without recourse, its trade a</w:t>
      </w:r>
      <w:r>
        <w:rPr>
          <w:rFonts w:eastAsia="Times New Roman"/>
          <w:color w:val="000000"/>
          <w:sz w:val="20"/>
          <w:szCs w:val="20"/>
        </w:rPr>
        <w:t>ccounts receivable to its wholly owned, special purpose subsidiary, ESFC, which is consolidated for financial statement purposes. ESFC, in turn, has sold and, subject to certain conditions, may from time to time sell, an undivided interest in some or all o</w:t>
      </w:r>
      <w:r>
        <w:rPr>
          <w:rFonts w:eastAsia="Times New Roman"/>
          <w:color w:val="000000"/>
          <w:sz w:val="20"/>
          <w:szCs w:val="20"/>
        </w:rPr>
        <w:t>f the receivables to a major bank. Amounts sold to the bank are reflected as “Short-term borrowings” on the Consolidated Balance Sheets. ESFC was created and has been structured to isolate its assets from creditors of Energy Services and its affiliates, in</w:t>
      </w:r>
      <w:r>
        <w:rPr>
          <w:rFonts w:eastAsia="Times New Roman"/>
          <w:color w:val="000000"/>
          <w:sz w:val="20"/>
          <w:szCs w:val="20"/>
        </w:rPr>
        <w:t>cluding UGI. Trade receivables sold to the bank remain on the Company’s balance sheet and the Company reflects a liability equal to the amount advanced by the bank. The Company records interest expense on amounts owed to the bank. Energy Services continues</w:t>
      </w:r>
      <w:r>
        <w:rPr>
          <w:rFonts w:eastAsia="Times New Roman"/>
          <w:color w:val="000000"/>
          <w:sz w:val="20"/>
          <w:szCs w:val="20"/>
        </w:rPr>
        <w:t xml:space="preserve"> to service, administer and collect trade receivables on behalf of the bank, as applicable.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Information regarding the amounts of trade receivables transferred to ESFC and the amounts sold to the bank are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4802"/>
        <w:gridCol w:w="36"/>
        <w:gridCol w:w="36"/>
        <w:gridCol w:w="36"/>
        <w:gridCol w:w="36"/>
        <w:gridCol w:w="120"/>
        <w:gridCol w:w="875"/>
        <w:gridCol w:w="36"/>
        <w:gridCol w:w="36"/>
        <w:gridCol w:w="36"/>
        <w:gridCol w:w="36"/>
        <w:gridCol w:w="120"/>
        <w:gridCol w:w="875"/>
        <w:gridCol w:w="36"/>
        <w:gridCol w:w="36"/>
        <w:gridCol w:w="36"/>
        <w:gridCol w:w="36"/>
        <w:gridCol w:w="120"/>
        <w:gridCol w:w="876"/>
        <w:gridCol w:w="36"/>
      </w:tblGrid>
      <w:tr w:rsidR="00000000">
        <w:trPr>
          <w:divId w:val="123275562"/>
        </w:trPr>
        <w:tc>
          <w:tcPr>
            <w:tcW w:w="50" w:type="pct"/>
            <w:vAlign w:val="center"/>
            <w:hideMark/>
          </w:tcPr>
          <w:p w:rsidR="00000000" w:rsidRDefault="00DF5BC2">
            <w:pPr>
              <w:jc w:val="both"/>
              <w:rPr>
                <w:rFonts w:eastAsia="Times New Roman"/>
              </w:rPr>
            </w:pPr>
          </w:p>
        </w:tc>
        <w:tc>
          <w:tcPr>
            <w:tcW w:w="292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23275562"/>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12327556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Trade receivables transferred to ESFC during the year</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3275562"/>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ESFC trade receivables sold to the bank during the year</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327556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ESFC trade receivables - end of year (a)</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(a)At September 30, 2021 there were no ESFC trade receivables sold to the ban</w:t>
      </w:r>
      <w:r>
        <w:rPr>
          <w:rFonts w:eastAsia="Times New Roman"/>
          <w:color w:val="000000"/>
          <w:sz w:val="20"/>
          <w:szCs w:val="20"/>
        </w:rPr>
        <w:t>k. At September 30, 2020, the amounts of ESFC trade receivables sold to the bank was $19, and is reflected as “Short-term borrowings” on the Consolidated Balance Sheets.</w:t>
      </w:r>
    </w:p>
    <w:p w:rsidR="00000000" w:rsidRDefault="00DF5BC2">
      <w:pPr>
        <w:jc w:val="center"/>
        <w:divId w:val="305398910"/>
        <w:rPr>
          <w:rFonts w:eastAsia="Times New Roman"/>
        </w:rPr>
      </w:pPr>
      <w:r>
        <w:rPr>
          <w:rFonts w:eastAsia="Times New Roman"/>
          <w:color w:val="000000"/>
          <w:sz w:val="20"/>
          <w:szCs w:val="20"/>
        </w:rPr>
        <w:t>F-30</w:t>
      </w:r>
    </w:p>
    <w:p w:rsidR="00000000" w:rsidRDefault="00DF5BC2">
      <w:pPr>
        <w:rPr>
          <w:rFonts w:eastAsia="Times New Roman"/>
        </w:rPr>
      </w:pPr>
      <w:r>
        <w:rPr>
          <w:rFonts w:eastAsia="Times New Roman"/>
        </w:rPr>
        <w:pict>
          <v:rect id="_x0000_i1144" style="width:0;height:1.5pt" o:hralign="center" o:hrstd="t" o:hr="t" fillcolor="#a0a0a0" stroked="f"/>
        </w:pict>
      </w:r>
    </w:p>
    <w:p w:rsidR="00000000" w:rsidRDefault="00DF5BC2">
      <w:pPr>
        <w:divId w:val="2105606982"/>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377704315"/>
        <w:rPr>
          <w:rFonts w:eastAsia="Times New Roman"/>
        </w:rPr>
      </w:pPr>
      <w:r>
        <w:rPr>
          <w:rFonts w:eastAsia="Times New Roman"/>
          <w:b/>
          <w:bCs/>
          <w:color w:val="000000"/>
          <w:sz w:val="20"/>
          <w:szCs w:val="20"/>
        </w:rPr>
        <w:t>UGI Corporation and Subsidiaries</w:t>
      </w:r>
    </w:p>
    <w:p w:rsidR="00000000" w:rsidRDefault="00DF5BC2">
      <w:pPr>
        <w:divId w:val="1171675627"/>
        <w:rPr>
          <w:rFonts w:eastAsia="Times New Roman"/>
        </w:rPr>
      </w:pPr>
      <w:r>
        <w:rPr>
          <w:rFonts w:eastAsia="Times New Roman"/>
          <w:b/>
          <w:bCs/>
          <w:color w:val="000000"/>
          <w:sz w:val="20"/>
          <w:szCs w:val="20"/>
        </w:rPr>
        <w:t>Notes to Consolidated Financial Statements</w:t>
      </w:r>
    </w:p>
    <w:p w:rsidR="00000000" w:rsidRDefault="00DF5BC2">
      <w:pPr>
        <w:divId w:val="760102539"/>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b/>
          <w:bCs/>
          <w:color w:val="000000"/>
          <w:sz w:val="20"/>
          <w:szCs w:val="20"/>
        </w:rPr>
        <w:t>Long-term Debt</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Long-term debt comprises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2"/>
        <w:gridCol w:w="5990"/>
        <w:gridCol w:w="39"/>
        <w:gridCol w:w="115"/>
        <w:gridCol w:w="923"/>
        <w:gridCol w:w="36"/>
        <w:gridCol w:w="36"/>
        <w:gridCol w:w="36"/>
        <w:gridCol w:w="36"/>
        <w:gridCol w:w="115"/>
        <w:gridCol w:w="889"/>
        <w:gridCol w:w="36"/>
      </w:tblGrid>
      <w:tr w:rsidR="00000000">
        <w:trPr>
          <w:divId w:val="1263224269"/>
        </w:trPr>
        <w:tc>
          <w:tcPr>
            <w:tcW w:w="50" w:type="pct"/>
            <w:vAlign w:val="center"/>
            <w:hideMark/>
          </w:tcPr>
          <w:p w:rsidR="00000000" w:rsidRDefault="00DF5BC2">
            <w:pPr>
              <w:jc w:val="both"/>
              <w:rPr>
                <w:rFonts w:eastAsia="Times New Roman"/>
              </w:rPr>
            </w:pPr>
          </w:p>
        </w:tc>
        <w:tc>
          <w:tcPr>
            <w:tcW w:w="363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263224269"/>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9"/>
                <w:szCs w:val="19"/>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9"/>
                <w:szCs w:val="19"/>
              </w:rPr>
              <w:t>2020</w:t>
            </w: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9"/>
                <w:szCs w:val="19"/>
              </w:rPr>
              <w:t>AmeriGas Propane: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 </w:t>
            </w: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AmeriGas Partners Senior Notes: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 </w:t>
            </w: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682320051"/>
              <w:rPr>
                <w:rFonts w:eastAsia="Times New Roman"/>
              </w:rPr>
            </w:pPr>
            <w:r>
              <w:rPr>
                <w:rFonts w:eastAsia="Times New Roman"/>
                <w:color w:val="000000"/>
                <w:sz w:val="19"/>
                <w:szCs w:val="19"/>
              </w:rPr>
              <w:t>   5.50% due May 2025</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700 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700 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526141329"/>
              <w:rPr>
                <w:rFonts w:eastAsia="Times New Roman"/>
              </w:rPr>
            </w:pPr>
            <w:r>
              <w:rPr>
                <w:rFonts w:eastAsia="Times New Roman"/>
                <w:color w:val="000000"/>
                <w:sz w:val="19"/>
                <w:szCs w:val="19"/>
              </w:rPr>
              <w:t>   5.875</w:t>
            </w:r>
            <w:r>
              <w:rPr>
                <w:rFonts w:eastAsia="Times New Roman"/>
                <w:color w:val="000000"/>
                <w:sz w:val="19"/>
                <w:szCs w:val="19"/>
              </w:rPr>
              <w:t>% due August 2026</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342435159"/>
              <w:rPr>
                <w:rFonts w:eastAsia="Times New Roman"/>
              </w:rPr>
            </w:pPr>
            <w:r>
              <w:rPr>
                <w:rFonts w:eastAsia="Times New Roman"/>
                <w:color w:val="000000"/>
                <w:sz w:val="19"/>
                <w:szCs w:val="19"/>
              </w:rPr>
              <w:t>   5.625% due May 2024</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675 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675 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504707047"/>
              <w:rPr>
                <w:rFonts w:eastAsia="Times New Roman"/>
              </w:rPr>
            </w:pPr>
            <w:r>
              <w:rPr>
                <w:rFonts w:eastAsia="Times New Roman"/>
                <w:color w:val="000000"/>
                <w:sz w:val="19"/>
                <w:szCs w:val="19"/>
              </w:rPr>
              <w:t>   5.75% due May 2027</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525 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525 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Total AmeriGas Propane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9"/>
                <w:szCs w:val="19"/>
              </w:rPr>
              <w:t>UGI International:</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 </w:t>
            </w: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624849624"/>
              <w:rPr>
                <w:rFonts w:eastAsia="Times New Roman"/>
              </w:rPr>
            </w:pPr>
            <w:r>
              <w:rPr>
                <w:rFonts w:eastAsia="Times New Roman"/>
                <w:color w:val="000000"/>
                <w:sz w:val="19"/>
                <w:szCs w:val="19"/>
              </w:rPr>
              <w:t>3.25% Senior Notes due November 2025</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405 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410 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UGI International, LLC variable-rate term loan due October 2023 (a)</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347 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352 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Total UGI International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778 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9"/>
                <w:szCs w:val="19"/>
              </w:rPr>
              <w:t>Midstream &amp; Marketing:</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Energy Services variable-rate term loan due through August 2026 (b)</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684 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691 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42 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Unamortized discount and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Total Energy Services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720 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9"/>
                <w:szCs w:val="19"/>
              </w:rPr>
              <w:t>UGI Utilities: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 </w:t>
            </w: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Senior Notes: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64880758"/>
              <w:rPr>
                <w:rFonts w:eastAsia="Times New Roman"/>
              </w:rPr>
            </w:pPr>
            <w:r>
              <w:rPr>
                <w:rFonts w:eastAsia="Times New Roman"/>
                <w:color w:val="000000"/>
                <w:sz w:val="19"/>
                <w:szCs w:val="19"/>
              </w:rPr>
              <w:t>4.12%, due September 2046</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890503972"/>
              <w:rPr>
                <w:rFonts w:eastAsia="Times New Roman"/>
              </w:rPr>
            </w:pPr>
            <w:r>
              <w:rPr>
                <w:rFonts w:eastAsia="Times New Roman"/>
                <w:color w:val="000000"/>
                <w:sz w:val="19"/>
                <w:szCs w:val="19"/>
              </w:rPr>
              <w:t>4.98%, due March 2044</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2137216350"/>
              <w:rPr>
                <w:rFonts w:eastAsia="Times New Roman"/>
              </w:rPr>
            </w:pPr>
            <w:r>
              <w:rPr>
                <w:rFonts w:eastAsia="Times New Roman"/>
                <w:color w:val="000000"/>
                <w:sz w:val="19"/>
                <w:szCs w:val="19"/>
              </w:rPr>
              <w:t>3.12% due April 2050</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118498162"/>
              <w:rPr>
                <w:rFonts w:eastAsia="Times New Roman"/>
              </w:rPr>
            </w:pPr>
            <w:r>
              <w:rPr>
                <w:rFonts w:eastAsia="Times New Roman"/>
                <w:color w:val="000000"/>
                <w:sz w:val="19"/>
                <w:szCs w:val="19"/>
              </w:rPr>
              <w:t>4.55%, due February 2049</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809543245"/>
              <w:rPr>
                <w:rFonts w:eastAsia="Times New Roman"/>
              </w:rPr>
            </w:pPr>
            <w:r>
              <w:rPr>
                <w:rFonts w:eastAsia="Times New Roman"/>
                <w:color w:val="000000"/>
                <w:sz w:val="19"/>
                <w:szCs w:val="19"/>
              </w:rPr>
              <w:t>4.12%, due October 2046</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1711689836"/>
              <w:rPr>
                <w:rFonts w:eastAsia="Times New Roman"/>
              </w:rPr>
            </w:pPr>
            <w:r>
              <w:rPr>
                <w:rFonts w:eastAsia="Times New Roman"/>
                <w:color w:val="000000"/>
                <w:sz w:val="19"/>
                <w:szCs w:val="19"/>
              </w:rPr>
              <w:t>6.21</w:t>
            </w:r>
            <w:r>
              <w:rPr>
                <w:rFonts w:eastAsia="Times New Roman"/>
                <w:color w:val="000000"/>
                <w:sz w:val="19"/>
                <w:szCs w:val="19"/>
              </w:rPr>
              <w:t>%, due September 2036</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610241762"/>
              <w:rPr>
                <w:rFonts w:eastAsia="Times New Roman"/>
              </w:rPr>
            </w:pPr>
            <w:r>
              <w:rPr>
                <w:rFonts w:eastAsia="Times New Roman"/>
                <w:color w:val="000000"/>
                <w:sz w:val="19"/>
                <w:szCs w:val="19"/>
              </w:rPr>
              <w:t>2.95%, due June 2026</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920605999"/>
              <w:rPr>
                <w:rFonts w:eastAsia="Times New Roman"/>
              </w:rPr>
            </w:pPr>
            <w:r>
              <w:rPr>
                <w:rFonts w:eastAsia="Times New Roman"/>
                <w:color w:val="000000"/>
                <w:sz w:val="19"/>
                <w:szCs w:val="19"/>
              </w:rPr>
              <w:t>1.59% due June 2026</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473177199"/>
              <w:rPr>
                <w:rFonts w:eastAsia="Times New Roman"/>
              </w:rPr>
            </w:pPr>
            <w:r>
              <w:rPr>
                <w:rFonts w:eastAsia="Times New Roman"/>
                <w:color w:val="000000"/>
                <w:sz w:val="19"/>
                <w:szCs w:val="19"/>
              </w:rPr>
              <w:t>1.64% due September 2026</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75 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Medium-Term Notes: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314220446"/>
              <w:rPr>
                <w:rFonts w:eastAsia="Times New Roman"/>
              </w:rPr>
            </w:pPr>
            <w:r>
              <w:rPr>
                <w:rFonts w:eastAsia="Times New Roman"/>
                <w:color w:val="000000"/>
                <w:sz w:val="19"/>
                <w:szCs w:val="19"/>
              </w:rPr>
              <w:t>6.13%, due October 2034</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2073038607"/>
              <w:rPr>
                <w:rFonts w:eastAsia="Times New Roman"/>
              </w:rPr>
            </w:pPr>
            <w:r>
              <w:rPr>
                <w:rFonts w:eastAsia="Times New Roman"/>
                <w:color w:val="000000"/>
                <w:sz w:val="19"/>
                <w:szCs w:val="19"/>
              </w:rPr>
              <w:t>6.50</w:t>
            </w:r>
            <w:r>
              <w:rPr>
                <w:rFonts w:eastAsia="Times New Roman"/>
                <w:color w:val="000000"/>
                <w:sz w:val="19"/>
                <w:szCs w:val="19"/>
              </w:rPr>
              <w:t>%, due August 2033</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Mountaineer senior notes (c)</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164 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Variable-rate term loan due through October 2022 (d)</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Total UGI Utilities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9"/>
                <w:szCs w:val="19"/>
              </w:rPr>
              <w:t>UGI Corporation: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UGI Corporation revolving credit facility maturing August 2024 (e)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185 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300 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UGI Corporation variable-rate term loan due May 2025 (f)</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UGI Corporation variable-rate term loan due through August 2024 (g)</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UGI Corporation variable-rate term loan due May 2025 (h)</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215 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Total UGI Corporation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945 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Other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Total 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6,034 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Less: current maturities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(110)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(53)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6322426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9"/>
                <w:szCs w:val="19"/>
              </w:rPr>
              <w:t>Total long-term debt due after one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6,339 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9"/>
                <w:szCs w:val="19"/>
              </w:rPr>
              <w:t>5,981 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1771730319"/>
        <w:rPr>
          <w:rFonts w:eastAsia="Times New Roman"/>
        </w:rPr>
      </w:pPr>
    </w:p>
    <w:p w:rsidR="00000000" w:rsidRDefault="00DF5BC2">
      <w:pPr>
        <w:jc w:val="center"/>
        <w:divId w:val="447042787"/>
        <w:rPr>
          <w:rFonts w:eastAsia="Times New Roman"/>
        </w:rPr>
      </w:pPr>
      <w:r>
        <w:rPr>
          <w:rFonts w:eastAsia="Times New Roman"/>
          <w:color w:val="000000"/>
          <w:sz w:val="20"/>
          <w:szCs w:val="20"/>
        </w:rPr>
        <w:t>F-31</w:t>
      </w:r>
    </w:p>
    <w:p w:rsidR="00000000" w:rsidRDefault="00DF5BC2">
      <w:pPr>
        <w:rPr>
          <w:rFonts w:eastAsia="Times New Roman"/>
        </w:rPr>
      </w:pPr>
      <w:r>
        <w:rPr>
          <w:rFonts w:eastAsia="Times New Roman"/>
        </w:rPr>
        <w:pict>
          <v:rect id="_x0000_i1145" style="width:0;height:1.5pt" o:hralign="center" o:hrstd="t" o:hr="t" fillcolor="#a0a0a0" stroked="f"/>
        </w:pict>
      </w:r>
    </w:p>
    <w:p w:rsidR="00000000" w:rsidRDefault="00DF5BC2">
      <w:pPr>
        <w:divId w:val="1015887171"/>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869294935"/>
        <w:rPr>
          <w:rFonts w:eastAsia="Times New Roman"/>
        </w:rPr>
      </w:pPr>
      <w:r>
        <w:rPr>
          <w:rFonts w:eastAsia="Times New Roman"/>
          <w:b/>
          <w:bCs/>
          <w:color w:val="000000"/>
          <w:sz w:val="20"/>
          <w:szCs w:val="20"/>
        </w:rPr>
        <w:t>UGI Corporation and Subsidiaries</w:t>
      </w:r>
    </w:p>
    <w:p w:rsidR="00000000" w:rsidRDefault="00DF5BC2">
      <w:pPr>
        <w:divId w:val="1795631002"/>
        <w:rPr>
          <w:rFonts w:eastAsia="Times New Roman"/>
        </w:rPr>
      </w:pPr>
      <w:r>
        <w:rPr>
          <w:rFonts w:eastAsia="Times New Roman"/>
          <w:b/>
          <w:bCs/>
          <w:color w:val="000000"/>
          <w:sz w:val="20"/>
          <w:szCs w:val="20"/>
        </w:rPr>
        <w:t>Notes to Consolidated Financial Statements</w:t>
      </w:r>
    </w:p>
    <w:p w:rsidR="00000000" w:rsidRDefault="00DF5BC2">
      <w:pPr>
        <w:divId w:val="1606035110"/>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ind w:hanging="360"/>
        <w:jc w:val="both"/>
        <w:rPr>
          <w:rFonts w:eastAsia="Times New Roman"/>
        </w:rPr>
      </w:pPr>
      <w:r>
        <w:rPr>
          <w:rFonts w:eastAsia="Times New Roman"/>
          <w:color w:val="000000"/>
          <w:sz w:val="20"/>
          <w:szCs w:val="20"/>
        </w:rPr>
        <w:t>(a)At September 30, 2021 and 2020, the effective interest rates on the term loan were 1.89% and 2.04%, respectively. We have entered into pay fixed, receive variable interest rate swaps to effectively fix the underlying variable rate on these bo</w:t>
      </w:r>
      <w:r>
        <w:rPr>
          <w:rFonts w:eastAsia="Times New Roman"/>
          <w:color w:val="000000"/>
          <w:sz w:val="20"/>
          <w:szCs w:val="20"/>
        </w:rPr>
        <w:t>rrowings.</w:t>
      </w:r>
    </w:p>
    <w:p w:rsidR="00000000" w:rsidRDefault="00DF5BC2">
      <w:pPr>
        <w:ind w:hanging="360"/>
        <w:jc w:val="both"/>
        <w:rPr>
          <w:rFonts w:eastAsia="Times New Roman"/>
        </w:rPr>
      </w:pPr>
      <w:r>
        <w:rPr>
          <w:rFonts w:eastAsia="Times New Roman"/>
          <w:color w:val="000000"/>
          <w:sz w:val="20"/>
          <w:szCs w:val="20"/>
        </w:rPr>
        <w:t>(b)At September 30, 2021 and 2020, the effective interest rates on the term loan were 5.23% and 5.30</w:t>
      </w:r>
      <w:r>
        <w:rPr>
          <w:rFonts w:eastAsia="Times New Roman"/>
          <w:color w:val="000000"/>
          <w:sz w:val="20"/>
          <w:szCs w:val="20"/>
        </w:rPr>
        <w:t>%, respectively. We have entered into a pay-fixed, receive variable interest rate swap to effectively fix the underlying variable rate on these borrowings. Term loan borrowings are due in equal quarterly installments of $2, with the balance of the principa</w:t>
      </w:r>
      <w:r>
        <w:rPr>
          <w:rFonts w:eastAsia="Times New Roman"/>
          <w:color w:val="000000"/>
          <w:sz w:val="20"/>
          <w:szCs w:val="20"/>
        </w:rPr>
        <w:t>l being due in full at maturity. Under certain circumstances, Energy Services is required to make additional principal payments if the consolidated total leverage ratio, as defined, is greater than defined thresholds. This term loan is collateralized by su</w:t>
      </w:r>
      <w:r>
        <w:rPr>
          <w:rFonts w:eastAsia="Times New Roman"/>
          <w:color w:val="000000"/>
          <w:sz w:val="20"/>
          <w:szCs w:val="20"/>
        </w:rPr>
        <w:t>bstantially all of the assets of Energy Services, subject to certain exceptions and carveouts including, but not limited to, accounts receivable and certain real property.</w:t>
      </w:r>
    </w:p>
    <w:p w:rsidR="00000000" w:rsidRDefault="00DF5BC2">
      <w:pPr>
        <w:ind w:hanging="360"/>
        <w:jc w:val="both"/>
        <w:rPr>
          <w:rFonts w:eastAsia="Times New Roman"/>
        </w:rPr>
      </w:pPr>
      <w:r>
        <w:rPr>
          <w:rFonts w:eastAsia="Times New Roman"/>
          <w:color w:val="000000"/>
          <w:sz w:val="20"/>
          <w:szCs w:val="20"/>
        </w:rPr>
        <w:t>(c)As a result of the Mountaineer Acquisition, total long-term debt at September 30,</w:t>
      </w:r>
      <w:r>
        <w:rPr>
          <w:rFonts w:eastAsia="Times New Roman"/>
          <w:color w:val="000000"/>
          <w:sz w:val="20"/>
          <w:szCs w:val="20"/>
        </w:rPr>
        <w:t xml:space="preserve"> 2021, includes $140 of Mountaineer senior secured notes (including unamortized premium of $24). The face interest rates on the Mountaineer senior notes range from 3.50% to 4.41%, with maturities ranging from 2027 to 2034.</w:t>
      </w:r>
    </w:p>
    <w:p w:rsidR="00000000" w:rsidRDefault="00DF5BC2">
      <w:pPr>
        <w:ind w:hanging="360"/>
        <w:jc w:val="both"/>
        <w:rPr>
          <w:rFonts w:eastAsia="Times New Roman"/>
        </w:rPr>
      </w:pPr>
      <w:r>
        <w:rPr>
          <w:rFonts w:eastAsia="Times New Roman"/>
          <w:color w:val="000000"/>
          <w:sz w:val="20"/>
          <w:szCs w:val="20"/>
        </w:rPr>
        <w:t>(d)The effective interest rate on</w:t>
      </w:r>
      <w:r>
        <w:rPr>
          <w:rFonts w:eastAsia="Times New Roman"/>
          <w:color w:val="000000"/>
          <w:sz w:val="20"/>
          <w:szCs w:val="20"/>
        </w:rPr>
        <w:t xml:space="preserve"> this term loan was 4.00% at both September 30, 2021 and 2020. We have entered into a pay-fixed, receive variable interest rate swap to effectively fix the underlying variable rate on these borrowings. Term loan borrowings are due in equal quarterly instal</w:t>
      </w:r>
      <w:r>
        <w:rPr>
          <w:rFonts w:eastAsia="Times New Roman"/>
          <w:color w:val="000000"/>
          <w:sz w:val="20"/>
          <w:szCs w:val="20"/>
        </w:rPr>
        <w:t>lments of $2, with the balance of the principal being due in full at maturity.</w:t>
      </w:r>
    </w:p>
    <w:p w:rsidR="00000000" w:rsidRDefault="00DF5BC2">
      <w:pPr>
        <w:ind w:hanging="360"/>
        <w:jc w:val="both"/>
        <w:rPr>
          <w:rFonts w:eastAsia="Times New Roman"/>
        </w:rPr>
      </w:pPr>
      <w:r>
        <w:rPr>
          <w:rFonts w:eastAsia="Times New Roman"/>
          <w:color w:val="000000"/>
          <w:sz w:val="20"/>
          <w:szCs w:val="20"/>
        </w:rPr>
        <w:t>(e)At September 30, 2021 and 2020, the effective interest rates on credit facility borrowings were 3.27% and 2.41%, respectively. We have entered into pay-fixed, receive variabl</w:t>
      </w:r>
      <w:r>
        <w:rPr>
          <w:rFonts w:eastAsia="Times New Roman"/>
          <w:color w:val="000000"/>
          <w:sz w:val="20"/>
          <w:szCs w:val="20"/>
        </w:rPr>
        <w:t xml:space="preserve">e interest rate swaps to effectively fix the underlying variable rate on a portion of these borrowings. </w:t>
      </w:r>
    </w:p>
    <w:p w:rsidR="00000000" w:rsidRDefault="00DF5BC2">
      <w:pPr>
        <w:ind w:hanging="360"/>
        <w:jc w:val="both"/>
        <w:rPr>
          <w:rFonts w:eastAsia="Times New Roman"/>
        </w:rPr>
      </w:pPr>
      <w:r>
        <w:rPr>
          <w:rFonts w:eastAsia="Times New Roman"/>
          <w:color w:val="000000"/>
          <w:sz w:val="20"/>
          <w:szCs w:val="20"/>
        </w:rPr>
        <w:t>(f)At September 30, 2021 and 2020, the effective interest rate on this term loan 3.26% and 3.51%, respectively. We have entered into pay-fixed, receive</w:t>
      </w:r>
      <w:r>
        <w:rPr>
          <w:rFonts w:eastAsia="Times New Roman"/>
          <w:color w:val="000000"/>
          <w:sz w:val="20"/>
          <w:szCs w:val="20"/>
        </w:rPr>
        <w:t xml:space="preserve"> variable interest rate swaps to effectively fix the underlying variable rate on these borrowings. </w:t>
      </w:r>
    </w:p>
    <w:p w:rsidR="00000000" w:rsidRDefault="00DF5BC2">
      <w:pPr>
        <w:ind w:hanging="360"/>
        <w:jc w:val="both"/>
        <w:rPr>
          <w:rFonts w:eastAsia="Times New Roman"/>
        </w:rPr>
      </w:pPr>
      <w:r>
        <w:rPr>
          <w:rFonts w:eastAsia="Times New Roman"/>
          <w:color w:val="000000"/>
          <w:sz w:val="20"/>
          <w:szCs w:val="20"/>
        </w:rPr>
        <w:t>(g)At September 30, 2021 and 2020, the effective interest rates on this term loan were 3.56% and 3.50%, respectively. We have entered into pay-fixed, receiv</w:t>
      </w:r>
      <w:r>
        <w:rPr>
          <w:rFonts w:eastAsia="Times New Roman"/>
          <w:color w:val="000000"/>
          <w:sz w:val="20"/>
          <w:szCs w:val="20"/>
        </w:rPr>
        <w:t>e variable interest rate swaps to effectively fix the underlying variable rate on a portion of these borrowings. Term loan borrowings are due in equal quarterly installments of $9, commencing December 2022, with the balance of the principal being due in fu</w:t>
      </w:r>
      <w:r>
        <w:rPr>
          <w:rFonts w:eastAsia="Times New Roman"/>
          <w:color w:val="000000"/>
          <w:sz w:val="20"/>
          <w:szCs w:val="20"/>
        </w:rPr>
        <w:t>ll at maturity.</w:t>
      </w:r>
    </w:p>
    <w:p w:rsidR="00000000" w:rsidRDefault="00DF5BC2">
      <w:pPr>
        <w:ind w:hanging="360"/>
        <w:jc w:val="both"/>
        <w:rPr>
          <w:rFonts w:eastAsia="Times New Roman"/>
        </w:rPr>
      </w:pPr>
      <w:r>
        <w:rPr>
          <w:rFonts w:eastAsia="Times New Roman"/>
          <w:color w:val="000000"/>
          <w:sz w:val="20"/>
          <w:szCs w:val="20"/>
        </w:rPr>
        <w:t xml:space="preserve">(h)At September 30, 2021, the effective interest rate on this term loan 1.88%. We have entered into pay-fixed, receive variable interest rate swaps to effectively fix the underlying variable rate on these borrowings.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Scheduled principal </w:t>
      </w:r>
      <w:r>
        <w:rPr>
          <w:rFonts w:eastAsia="Times New Roman"/>
          <w:color w:val="000000"/>
          <w:sz w:val="20"/>
          <w:szCs w:val="20"/>
        </w:rPr>
        <w:t xml:space="preserve">repayments of long-term debt for each of the next five fiscal years ending September 30 are as follows: </w:t>
      </w:r>
    </w:p>
    <w:tbl>
      <w:tblPr>
        <w:tblW w:w="4992" w:type="pct"/>
        <w:tblCellMar>
          <w:top w:w="15" w:type="dxa"/>
          <w:left w:w="15" w:type="dxa"/>
          <w:bottom w:w="15" w:type="dxa"/>
          <w:right w:w="15" w:type="dxa"/>
        </w:tblCellMar>
        <w:tblLook w:val="04A0" w:firstRow="1" w:lastRow="0" w:firstColumn="1" w:lastColumn="0" w:noHBand="0" w:noVBand="1"/>
      </w:tblPr>
      <w:tblGrid>
        <w:gridCol w:w="38"/>
        <w:gridCol w:w="2619"/>
        <w:gridCol w:w="37"/>
        <w:gridCol w:w="120"/>
        <w:gridCol w:w="913"/>
        <w:gridCol w:w="36"/>
        <w:gridCol w:w="36"/>
        <w:gridCol w:w="36"/>
        <w:gridCol w:w="36"/>
        <w:gridCol w:w="120"/>
        <w:gridCol w:w="868"/>
        <w:gridCol w:w="36"/>
        <w:gridCol w:w="36"/>
        <w:gridCol w:w="36"/>
        <w:gridCol w:w="36"/>
        <w:gridCol w:w="120"/>
        <w:gridCol w:w="868"/>
        <w:gridCol w:w="36"/>
        <w:gridCol w:w="36"/>
        <w:gridCol w:w="36"/>
        <w:gridCol w:w="36"/>
        <w:gridCol w:w="120"/>
        <w:gridCol w:w="868"/>
        <w:gridCol w:w="36"/>
        <w:gridCol w:w="36"/>
        <w:gridCol w:w="36"/>
        <w:gridCol w:w="36"/>
        <w:gridCol w:w="120"/>
        <w:gridCol w:w="870"/>
        <w:gridCol w:w="36"/>
      </w:tblGrid>
      <w:tr w:rsidR="00000000">
        <w:trPr>
          <w:divId w:val="2107916076"/>
        </w:trPr>
        <w:tc>
          <w:tcPr>
            <w:tcW w:w="50" w:type="pct"/>
            <w:vAlign w:val="center"/>
            <w:hideMark/>
          </w:tcPr>
          <w:p w:rsidR="00000000" w:rsidRDefault="00DF5BC2">
            <w:pPr>
              <w:jc w:val="both"/>
              <w:rPr>
                <w:rFonts w:eastAsia="Times New Roman"/>
              </w:rPr>
            </w:pPr>
          </w:p>
        </w:tc>
        <w:tc>
          <w:tcPr>
            <w:tcW w:w="161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2107916076"/>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2026</w:t>
            </w:r>
          </w:p>
        </w:tc>
      </w:tr>
      <w:tr w:rsidR="00000000">
        <w:trPr>
          <w:divId w:val="210791607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Propane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0791607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International</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0791607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Midstream &amp; Marketing</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0791607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Utilities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0791607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UGI Corporation (a)</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0791607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0791607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 xml:space="preserve">(a) In October 2021, the Company repaid $70 of borrowings on the UGI Corporation revolving credit facility maturing August 2024. Such </w:t>
      </w:r>
      <w:r>
        <w:rPr>
          <w:rFonts w:eastAsia="Times New Roman"/>
          <w:color w:val="000000"/>
          <w:sz w:val="20"/>
          <w:szCs w:val="20"/>
        </w:rPr>
        <w:t>repayments are classified as “Current maturities of long-term debt” on the 2021 Consolidated Balance Sheet.</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Restrictive Covenants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Our long-term debt and credit facility agreements generally contain customary covenants and default provisions which may include, among other things, restrictions on the incurrence of additional indebtedness and also restrict liens, guarantees, investments</w:t>
      </w:r>
      <w:r>
        <w:rPr>
          <w:rFonts w:eastAsia="Times New Roman"/>
          <w:color w:val="000000"/>
          <w:sz w:val="20"/>
          <w:szCs w:val="20"/>
        </w:rPr>
        <w:t>, loans and advances, payments, mergers, consolidations, asset transfers, transactions with affiliates, sales of assets, acquisitions and other transactions. These agreements contain standard provisions which require compliance with certain financial ratio</w:t>
      </w:r>
      <w:r>
        <w:rPr>
          <w:rFonts w:eastAsia="Times New Roman"/>
          <w:color w:val="000000"/>
          <w:sz w:val="20"/>
          <w:szCs w:val="20"/>
        </w:rPr>
        <w:t>s. UGI and its subsidiaries were in compliance with all debt covenants as of September 30, 2021.</w:t>
      </w:r>
    </w:p>
    <w:p w:rsidR="00000000" w:rsidRDefault="00DF5BC2">
      <w:pPr>
        <w:jc w:val="both"/>
        <w:rPr>
          <w:rFonts w:eastAsia="Times New Roman"/>
        </w:rPr>
      </w:pPr>
    </w:p>
    <w:p w:rsidR="00000000" w:rsidRDefault="00DF5BC2">
      <w:pPr>
        <w:jc w:val="center"/>
        <w:divId w:val="48187567"/>
        <w:rPr>
          <w:rFonts w:eastAsia="Times New Roman"/>
        </w:rPr>
      </w:pPr>
      <w:r>
        <w:rPr>
          <w:rFonts w:eastAsia="Times New Roman"/>
          <w:color w:val="000000"/>
          <w:sz w:val="20"/>
          <w:szCs w:val="20"/>
        </w:rPr>
        <w:t>F-32</w:t>
      </w:r>
    </w:p>
    <w:p w:rsidR="00000000" w:rsidRDefault="00DF5BC2">
      <w:pPr>
        <w:rPr>
          <w:rFonts w:eastAsia="Times New Roman"/>
        </w:rPr>
      </w:pPr>
      <w:r>
        <w:rPr>
          <w:rFonts w:eastAsia="Times New Roman"/>
        </w:rPr>
        <w:pict>
          <v:rect id="_x0000_i1146" style="width:0;height:1.5pt" o:hralign="center" o:hrstd="t" o:hr="t" fillcolor="#a0a0a0" stroked="f"/>
        </w:pict>
      </w:r>
    </w:p>
    <w:p w:rsidR="00000000" w:rsidRDefault="00DF5BC2">
      <w:pPr>
        <w:divId w:val="1187519702"/>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528710297"/>
        <w:rPr>
          <w:rFonts w:eastAsia="Times New Roman"/>
        </w:rPr>
      </w:pPr>
      <w:r>
        <w:rPr>
          <w:rFonts w:eastAsia="Times New Roman"/>
          <w:b/>
          <w:bCs/>
          <w:color w:val="000000"/>
          <w:sz w:val="20"/>
          <w:szCs w:val="20"/>
        </w:rPr>
        <w:t>UGI Corporation and Subsidiaries</w:t>
      </w:r>
    </w:p>
    <w:p w:rsidR="00000000" w:rsidRDefault="00DF5BC2">
      <w:pPr>
        <w:divId w:val="1195273131"/>
        <w:rPr>
          <w:rFonts w:eastAsia="Times New Roman"/>
        </w:rPr>
      </w:pPr>
      <w:r>
        <w:rPr>
          <w:rFonts w:eastAsia="Times New Roman"/>
          <w:b/>
          <w:bCs/>
          <w:color w:val="000000"/>
          <w:sz w:val="20"/>
          <w:szCs w:val="20"/>
        </w:rPr>
        <w:t>Notes t</w:t>
      </w:r>
      <w:r>
        <w:rPr>
          <w:rFonts w:eastAsia="Times New Roman"/>
          <w:b/>
          <w:bCs/>
          <w:color w:val="000000"/>
          <w:sz w:val="20"/>
          <w:szCs w:val="20"/>
        </w:rPr>
        <w:t>o Consolidated Financial Statements</w:t>
      </w:r>
    </w:p>
    <w:p w:rsidR="00000000" w:rsidRDefault="00DF5BC2">
      <w:pPr>
        <w:divId w:val="938372421"/>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b/>
          <w:bCs/>
          <w:color w:val="000000"/>
          <w:sz w:val="20"/>
          <w:szCs w:val="20"/>
        </w:rPr>
        <w:t>Restricted Net Assets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At September 30, 2021, the amount of net assets of UGI’s consolidated subsidiaries that were restricted from transfer</w:t>
      </w:r>
      <w:r>
        <w:rPr>
          <w:rFonts w:eastAsia="Times New Roman"/>
          <w:color w:val="000000"/>
          <w:sz w:val="20"/>
          <w:szCs w:val="20"/>
        </w:rPr>
        <w:t xml:space="preserve"> to UGI under debt agreements, subsidiary partnership agreements and regulatory requirements under foreign laws totaled approximately $2,500.</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7 — Income Taxes </w:t>
      </w:r>
    </w:p>
    <w:p w:rsidR="00000000" w:rsidRDefault="00DF5BC2">
      <w:pPr>
        <w:jc w:val="both"/>
        <w:divId w:val="1576936369"/>
        <w:rPr>
          <w:rFonts w:eastAsia="Times New Roman"/>
        </w:rPr>
      </w:pPr>
      <w:r>
        <w:rPr>
          <w:rFonts w:eastAsia="Times New Roman"/>
          <w:color w:val="000000"/>
          <w:sz w:val="20"/>
          <w:szCs w:val="20"/>
        </w:rPr>
        <w:t>Income before income taxes comprises the following:</w:t>
      </w:r>
    </w:p>
    <w:tbl>
      <w:tblPr>
        <w:tblW w:w="4992" w:type="pct"/>
        <w:tblCellMar>
          <w:top w:w="15" w:type="dxa"/>
          <w:left w:w="15" w:type="dxa"/>
          <w:bottom w:w="15" w:type="dxa"/>
          <w:right w:w="15" w:type="dxa"/>
        </w:tblCellMar>
        <w:tblLook w:val="04A0" w:firstRow="1" w:lastRow="0" w:firstColumn="1" w:lastColumn="0" w:noHBand="0" w:noVBand="1"/>
      </w:tblPr>
      <w:tblGrid>
        <w:gridCol w:w="37"/>
        <w:gridCol w:w="4864"/>
        <w:gridCol w:w="36"/>
        <w:gridCol w:w="120"/>
        <w:gridCol w:w="917"/>
        <w:gridCol w:w="36"/>
        <w:gridCol w:w="36"/>
        <w:gridCol w:w="36"/>
        <w:gridCol w:w="36"/>
        <w:gridCol w:w="120"/>
        <w:gridCol w:w="877"/>
        <w:gridCol w:w="36"/>
        <w:gridCol w:w="36"/>
        <w:gridCol w:w="36"/>
        <w:gridCol w:w="36"/>
        <w:gridCol w:w="120"/>
        <w:gridCol w:w="878"/>
        <w:gridCol w:w="36"/>
      </w:tblGrid>
      <w:tr w:rsidR="00000000">
        <w:trPr>
          <w:divId w:val="550843702"/>
        </w:trPr>
        <w:tc>
          <w:tcPr>
            <w:tcW w:w="50" w:type="pct"/>
            <w:vAlign w:val="center"/>
            <w:hideMark/>
          </w:tcPr>
          <w:p w:rsidR="00000000" w:rsidRDefault="00DF5BC2">
            <w:pPr>
              <w:jc w:val="both"/>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550843702"/>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55084370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Domestic</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50843702"/>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1,342 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55084370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income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2107000442"/>
        <w:rPr>
          <w:rFonts w:eastAsia="Times New Roman"/>
        </w:rPr>
      </w:pPr>
    </w:p>
    <w:p w:rsidR="00000000" w:rsidRDefault="00DF5BC2">
      <w:pPr>
        <w:jc w:val="both"/>
        <w:rPr>
          <w:rFonts w:eastAsia="Times New Roman"/>
        </w:rPr>
      </w:pPr>
      <w:r>
        <w:rPr>
          <w:rFonts w:eastAsia="Times New Roman"/>
          <w:color w:val="000000"/>
          <w:sz w:val="20"/>
          <w:szCs w:val="20"/>
        </w:rPr>
        <w:t>The provisions for income taxes consist of the following:</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0"/>
        <w:gridCol w:w="916"/>
        <w:gridCol w:w="36"/>
        <w:gridCol w:w="36"/>
        <w:gridCol w:w="36"/>
        <w:gridCol w:w="36"/>
        <w:gridCol w:w="120"/>
        <w:gridCol w:w="876"/>
        <w:gridCol w:w="36"/>
        <w:gridCol w:w="36"/>
        <w:gridCol w:w="36"/>
        <w:gridCol w:w="36"/>
        <w:gridCol w:w="121"/>
        <w:gridCol w:w="878"/>
        <w:gridCol w:w="36"/>
      </w:tblGrid>
      <w:tr w:rsidR="00000000">
        <w:trPr>
          <w:divId w:val="168522407"/>
        </w:trPr>
        <w:tc>
          <w:tcPr>
            <w:tcW w:w="50" w:type="pct"/>
            <w:vAlign w:val="center"/>
            <w:hideMark/>
          </w:tcPr>
          <w:p w:rsidR="00000000" w:rsidRDefault="00DF5BC2">
            <w:pPr>
              <w:jc w:val="both"/>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68522407"/>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168522407"/>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Current expense (benefit):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68522407"/>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8522407"/>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8522407"/>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8522407"/>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68522407"/>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ind w:firstLine="180"/>
              <w:rPr>
                <w:rFonts w:eastAsia="Times New Roman"/>
              </w:rPr>
            </w:pPr>
            <w:r>
              <w:rPr>
                <w:rFonts w:eastAsia="Times New Roman"/>
                <w:color w:val="000000"/>
                <w:sz w:val="20"/>
                <w:szCs w:val="20"/>
              </w:rPr>
              <w:t>Total current (benefit) expense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8522407"/>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Deferred expense (benefit):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68522407"/>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Federal</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8522407"/>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State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8522407"/>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8522407"/>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68522407"/>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ind w:firstLine="180"/>
              <w:rPr>
                <w:rFonts w:eastAsia="Times New Roman"/>
              </w:rPr>
            </w:pPr>
            <w:r>
              <w:rPr>
                <w:rFonts w:eastAsia="Times New Roman"/>
                <w:color w:val="000000"/>
                <w:sz w:val="20"/>
                <w:szCs w:val="20"/>
              </w:rPr>
              <w:t>Total deferred expense (benefit)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8522407"/>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income tax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512376601"/>
        <w:rPr>
          <w:rFonts w:eastAsia="Times New Roman"/>
        </w:rPr>
      </w:pPr>
    </w:p>
    <w:p w:rsidR="00000000" w:rsidRDefault="00DF5BC2">
      <w:pPr>
        <w:jc w:val="both"/>
        <w:rPr>
          <w:rFonts w:eastAsia="Times New Roman"/>
        </w:rPr>
      </w:pPr>
      <w:r>
        <w:rPr>
          <w:rFonts w:eastAsia="Times New Roman"/>
          <w:color w:val="000000"/>
          <w:sz w:val="20"/>
          <w:szCs w:val="20"/>
        </w:rPr>
        <w:t>Federal income taxes for Fiscal 2019 are net of foreign tax credits of $10. There were no foreign tax credits utilized in Fiscal 2021 or Fiscal 2020.</w:t>
      </w:r>
    </w:p>
    <w:p w:rsidR="00000000" w:rsidRDefault="00DF5BC2">
      <w:pPr>
        <w:jc w:val="both"/>
        <w:divId w:val="817768731"/>
        <w:rPr>
          <w:rFonts w:eastAsia="Times New Roman"/>
        </w:rPr>
      </w:pPr>
      <w:r>
        <w:rPr>
          <w:rFonts w:eastAsia="Times New Roman"/>
          <w:color w:val="000000"/>
          <w:sz w:val="20"/>
          <w:szCs w:val="20"/>
        </w:rPr>
        <w:t>A reconciliation from the U.S</w:t>
      </w:r>
      <w:r>
        <w:rPr>
          <w:rFonts w:eastAsia="Times New Roman"/>
          <w:color w:val="000000"/>
          <w:sz w:val="20"/>
          <w:szCs w:val="20"/>
        </w:rPr>
        <w:t>. federal statutory tax rate to our effective tax rate is as follows:</w:t>
      </w:r>
    </w:p>
    <w:tbl>
      <w:tblPr>
        <w:tblW w:w="4992" w:type="pct"/>
        <w:tblCellMar>
          <w:top w:w="15" w:type="dxa"/>
          <w:left w:w="15" w:type="dxa"/>
          <w:bottom w:w="15" w:type="dxa"/>
          <w:right w:w="15" w:type="dxa"/>
        </w:tblCellMar>
        <w:tblLook w:val="04A0" w:firstRow="1" w:lastRow="0" w:firstColumn="1" w:lastColumn="0" w:noHBand="0" w:noVBand="1"/>
      </w:tblPr>
      <w:tblGrid>
        <w:gridCol w:w="41"/>
        <w:gridCol w:w="4820"/>
        <w:gridCol w:w="40"/>
        <w:gridCol w:w="37"/>
        <w:gridCol w:w="874"/>
        <w:gridCol w:w="187"/>
        <w:gridCol w:w="36"/>
        <w:gridCol w:w="36"/>
        <w:gridCol w:w="36"/>
        <w:gridCol w:w="37"/>
        <w:gridCol w:w="813"/>
        <w:gridCol w:w="187"/>
        <w:gridCol w:w="36"/>
        <w:gridCol w:w="36"/>
        <w:gridCol w:w="36"/>
        <w:gridCol w:w="37"/>
        <w:gridCol w:w="817"/>
        <w:gridCol w:w="187"/>
      </w:tblGrid>
      <w:tr w:rsidR="00000000">
        <w:trPr>
          <w:divId w:val="621427804"/>
        </w:trPr>
        <w:tc>
          <w:tcPr>
            <w:tcW w:w="50" w:type="pct"/>
            <w:vAlign w:val="center"/>
            <w:hideMark/>
          </w:tcPr>
          <w:p w:rsidR="00000000" w:rsidRDefault="00DF5BC2">
            <w:pPr>
              <w:jc w:val="both"/>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621427804"/>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621427804"/>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U.S. federal statutory tax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rPr>
          <w:divId w:val="621427804"/>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Difference in tax rate due to:</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621427804"/>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Effect of U.S. tax legislation</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21427804"/>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Effect of tax rate changes - International</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21427804"/>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Noncontrolling interests not subject to tax</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21427804"/>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State income taxes, net of federal benefit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21427804"/>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Valuation allowance adjustments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21427804"/>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Effects of foreign operations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21427804"/>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621427804"/>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Excess tax benefits on share-based payments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21427804"/>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21427804"/>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bl>
    <w:p w:rsidR="00000000" w:rsidRDefault="00DF5BC2">
      <w:pPr>
        <w:jc w:val="both"/>
        <w:rPr>
          <w:rFonts w:eastAsia="Times New Roman"/>
        </w:rPr>
      </w:pPr>
    </w:p>
    <w:p w:rsidR="00000000" w:rsidRDefault="00DF5BC2">
      <w:pPr>
        <w:jc w:val="center"/>
        <w:divId w:val="565995214"/>
        <w:rPr>
          <w:rFonts w:eastAsia="Times New Roman"/>
        </w:rPr>
      </w:pPr>
      <w:r>
        <w:rPr>
          <w:rFonts w:eastAsia="Times New Roman"/>
          <w:color w:val="000000"/>
          <w:sz w:val="20"/>
          <w:szCs w:val="20"/>
        </w:rPr>
        <w:t>F-33</w:t>
      </w:r>
    </w:p>
    <w:p w:rsidR="00000000" w:rsidRDefault="00DF5BC2">
      <w:pPr>
        <w:rPr>
          <w:rFonts w:eastAsia="Times New Roman"/>
        </w:rPr>
      </w:pPr>
      <w:r>
        <w:rPr>
          <w:rFonts w:eastAsia="Times New Roman"/>
        </w:rPr>
        <w:pict>
          <v:rect id="_x0000_i1147" style="width:0;height:1.5pt" o:hralign="center" o:hrstd="t" o:hr="t" fillcolor="#a0a0a0" stroked="f"/>
        </w:pict>
      </w:r>
    </w:p>
    <w:p w:rsidR="00000000" w:rsidRDefault="00DF5BC2">
      <w:pPr>
        <w:divId w:val="564337137"/>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367637940"/>
        <w:rPr>
          <w:rFonts w:eastAsia="Times New Roman"/>
        </w:rPr>
      </w:pPr>
      <w:r>
        <w:rPr>
          <w:rFonts w:eastAsia="Times New Roman"/>
          <w:b/>
          <w:bCs/>
          <w:color w:val="000000"/>
          <w:sz w:val="20"/>
          <w:szCs w:val="20"/>
        </w:rPr>
        <w:t>UGI Corporation and Subsidiaries</w:t>
      </w:r>
    </w:p>
    <w:p w:rsidR="00000000" w:rsidRDefault="00DF5BC2">
      <w:pPr>
        <w:divId w:val="1023163696"/>
        <w:rPr>
          <w:rFonts w:eastAsia="Times New Roman"/>
        </w:rPr>
      </w:pPr>
      <w:r>
        <w:rPr>
          <w:rFonts w:eastAsia="Times New Roman"/>
          <w:b/>
          <w:bCs/>
          <w:color w:val="000000"/>
          <w:sz w:val="20"/>
          <w:szCs w:val="20"/>
        </w:rPr>
        <w:t>Notes to Consolidated Financial Statements</w:t>
      </w:r>
    </w:p>
    <w:p w:rsidR="00000000" w:rsidRDefault="00DF5BC2">
      <w:pPr>
        <w:divId w:val="122313633"/>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jc w:val="both"/>
        <w:rPr>
          <w:rFonts w:eastAsia="Times New Roman"/>
        </w:rPr>
      </w:pPr>
      <w:r>
        <w:rPr>
          <w:rFonts w:eastAsia="Times New Roman"/>
          <w:color w:val="000000"/>
          <w:sz w:val="20"/>
          <w:szCs w:val="20"/>
        </w:rPr>
        <w:t>In February 2021, tax legislation was enacted in Italy which allowed the Company to align book basis with tax basis on certain assets in exchange for paying a three percent substitute tax payment payable in three annual installments. This electi</w:t>
      </w:r>
      <w:r>
        <w:rPr>
          <w:rFonts w:eastAsia="Times New Roman"/>
          <w:color w:val="000000"/>
          <w:sz w:val="20"/>
          <w:szCs w:val="20"/>
        </w:rPr>
        <w:t>on resulted in a $23 net benefit in Fiscal 2021 which will result in incremental tax basis that will be deductible in future periods.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March 27, 2020 the CARES Act was enacted into law. The primary impact of the legislation was the change in federal ne</w:t>
      </w:r>
      <w:r>
        <w:rPr>
          <w:rFonts w:eastAsia="Times New Roman"/>
          <w:color w:val="000000"/>
          <w:sz w:val="20"/>
          <w:szCs w:val="20"/>
        </w:rPr>
        <w:t>t operating loss carryback rules which allowed the Company’s U.S. federal tax losses generated in Fiscal 2021 and Fiscal 2020 to be carried back to Fiscal 2016 and Fiscal 2015. The carryback of our Fiscal 2021 and Fiscal 2020 U.S. federal tax losses from a</w:t>
      </w:r>
      <w:r>
        <w:rPr>
          <w:rFonts w:eastAsia="Times New Roman"/>
          <w:color w:val="000000"/>
          <w:sz w:val="20"/>
          <w:szCs w:val="20"/>
        </w:rPr>
        <w:t xml:space="preserve"> 21% rate environment to offset taxable income in Fiscal 2016 and Fiscal 2015 in a 35% rate environment generated incremental benefits of $15 and $32, respectively. A $90 refund claim for the Fiscal 2020 carryback to Fiscal 2015 was filed and remains outst</w:t>
      </w:r>
      <w:r>
        <w:rPr>
          <w:rFonts w:eastAsia="Times New Roman"/>
          <w:color w:val="000000"/>
          <w:sz w:val="20"/>
          <w:szCs w:val="20"/>
        </w:rPr>
        <w:t>anding from the IRS. The Fiscal 2021 carryback to Fiscal 2016 will generate an expected $38 refund. Both are included in “Income taxes receivable” on the Consolidated Balance Sheet at September 30, 2021. On July 20, 2020, the Treasury Department issued fin</w:t>
      </w:r>
      <w:r>
        <w:rPr>
          <w:rFonts w:eastAsia="Times New Roman"/>
          <w:color w:val="000000"/>
          <w:sz w:val="20"/>
          <w:szCs w:val="20"/>
        </w:rPr>
        <w:t xml:space="preserve">al regulations under IRC Section 951A permitting a taxpayer to elect to exclude, from its inclusion of GILTI, income subject to a high effective rate of foreign tax. The impact of these final regulations reduced U.S. tax of foreign source income in Fiscal </w:t>
      </w:r>
      <w:r>
        <w:rPr>
          <w:rFonts w:eastAsia="Times New Roman"/>
          <w:color w:val="000000"/>
          <w:sz w:val="20"/>
          <w:szCs w:val="20"/>
        </w:rPr>
        <w:t>2021 and Fiscal 2020.</w:t>
      </w:r>
    </w:p>
    <w:p w:rsidR="00000000" w:rsidRDefault="00DF5BC2">
      <w:pPr>
        <w:divId w:val="859321206"/>
        <w:rPr>
          <w:rFonts w:eastAsia="Times New Roman"/>
        </w:rPr>
      </w:pPr>
    </w:p>
    <w:p w:rsidR="00000000" w:rsidRDefault="00DF5BC2">
      <w:pPr>
        <w:jc w:val="both"/>
        <w:rPr>
          <w:rFonts w:eastAsia="Times New Roman"/>
        </w:rPr>
      </w:pPr>
      <w:r>
        <w:rPr>
          <w:rFonts w:eastAsia="Times New Roman"/>
          <w:color w:val="000000"/>
          <w:sz w:val="20"/>
          <w:szCs w:val="20"/>
        </w:rPr>
        <w:t>Our effective tax rate is subject to the impact of changes to the taxation of foreign source income made by the TCJA and the high tax exception regulations issued in July 2020. Income tax expense for Fiscal 2021, Fiscal 2020 and Fis</w:t>
      </w:r>
      <w:r>
        <w:rPr>
          <w:rFonts w:eastAsia="Times New Roman"/>
          <w:color w:val="000000"/>
          <w:sz w:val="20"/>
          <w:szCs w:val="20"/>
        </w:rPr>
        <w:t>cal 2019 includes $8, $0 and $2, respectively, of GILTI taxes that are treated as current period costs and carry no related deferred taxes.</w:t>
      </w:r>
    </w:p>
    <w:p w:rsidR="00000000" w:rsidRDefault="00DF5BC2">
      <w:pPr>
        <w:jc w:val="both"/>
        <w:divId w:val="1006829652"/>
        <w:rPr>
          <w:rFonts w:eastAsia="Times New Roman"/>
        </w:rPr>
      </w:pPr>
      <w:r>
        <w:rPr>
          <w:rFonts w:eastAsia="Times New Roman"/>
          <w:color w:val="000000"/>
          <w:sz w:val="20"/>
          <w:szCs w:val="20"/>
        </w:rPr>
        <w:t>Pennsylvania and West Virginia utility ratemaking practices permit the flow through to ratepayers of state tax benef</w:t>
      </w:r>
      <w:r>
        <w:rPr>
          <w:rFonts w:eastAsia="Times New Roman"/>
          <w:color w:val="000000"/>
          <w:sz w:val="20"/>
          <w:szCs w:val="20"/>
        </w:rPr>
        <w:t>its resulting from accelerated tax depreciation. For Fiscal 2021, Fiscal 2020 and Fiscal 2019, the beneficial effects of state tax flow through of accelerated depreciation reduced income tax expense by $9, $11, and $7, respectively.</w:t>
      </w:r>
    </w:p>
    <w:p w:rsidR="00000000" w:rsidRDefault="00DF5BC2">
      <w:pPr>
        <w:jc w:val="both"/>
        <w:divId w:val="379014386"/>
        <w:rPr>
          <w:rFonts w:eastAsia="Times New Roman"/>
        </w:rPr>
      </w:pPr>
      <w:r>
        <w:rPr>
          <w:rFonts w:eastAsia="Times New Roman"/>
          <w:color w:val="000000"/>
          <w:sz w:val="20"/>
          <w:szCs w:val="20"/>
        </w:rPr>
        <w:t>Deferred tax liabilitie</w:t>
      </w:r>
      <w:r>
        <w:rPr>
          <w:rFonts w:eastAsia="Times New Roman"/>
          <w:color w:val="000000"/>
          <w:sz w:val="20"/>
          <w:szCs w:val="20"/>
        </w:rPr>
        <w:t xml:space="preserve">s (assets) comprise the following at September 30: </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7"/>
        <w:gridCol w:w="120"/>
        <w:gridCol w:w="921"/>
        <w:gridCol w:w="36"/>
        <w:gridCol w:w="36"/>
        <w:gridCol w:w="36"/>
        <w:gridCol w:w="36"/>
        <w:gridCol w:w="121"/>
        <w:gridCol w:w="886"/>
        <w:gridCol w:w="36"/>
      </w:tblGrid>
      <w:tr w:rsidR="00000000">
        <w:trPr>
          <w:divId w:val="1160118609"/>
        </w:trPr>
        <w:tc>
          <w:tcPr>
            <w:tcW w:w="50" w:type="pct"/>
            <w:vAlign w:val="center"/>
            <w:hideMark/>
          </w:tcPr>
          <w:p w:rsidR="00000000" w:rsidRDefault="00DF5BC2">
            <w:pPr>
              <w:jc w:val="both"/>
              <w:rPr>
                <w:rFonts w:eastAsia="Times New Roman"/>
              </w:rPr>
            </w:pPr>
          </w:p>
        </w:tc>
        <w:tc>
          <w:tcPr>
            <w:tcW w:w="363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160118609"/>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11601186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Excess book basis over tax basis of property, plant and equipment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601186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Utility regulatory assets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Intangible assets and goodwill</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601186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Derivative instrument assets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Gross 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Height w:val="300"/>
        </w:trPr>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1601186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Investment in AmeriGas Partners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Pension plan liabilities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Employee-related benefits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loss carryforwards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tax credit carryforwards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Utility regulatory liabilities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1601186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Derivative instrument liabilities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Utility environmental liabilities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Gross deferred tax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Deferred tax assets valuation allowance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1601186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deferred tax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60760486"/>
        <w:rPr>
          <w:rFonts w:eastAsia="Times New Roman"/>
        </w:rPr>
      </w:pPr>
      <w:r>
        <w:rPr>
          <w:rFonts w:eastAsia="Times New Roman"/>
          <w:color w:val="000000"/>
          <w:sz w:val="20"/>
          <w:szCs w:val="20"/>
        </w:rPr>
        <w:t>At September </w:t>
      </w:r>
      <w:r>
        <w:rPr>
          <w:rFonts w:eastAsia="Times New Roman"/>
          <w:color w:val="000000"/>
          <w:sz w:val="20"/>
          <w:szCs w:val="20"/>
        </w:rPr>
        <w:t>30, 2021, we carried foreign net operating loss carryforwards of $10 and $19 principally relating to Flaga and certain subsidiaries of UGI France, with no expiration dates and $5 in the Netherlands expiring in 2027. We have state net operating loss carryfo</w:t>
      </w:r>
      <w:r>
        <w:rPr>
          <w:rFonts w:eastAsia="Times New Roman"/>
          <w:color w:val="000000"/>
          <w:sz w:val="20"/>
          <w:szCs w:val="20"/>
        </w:rPr>
        <w:t>rwards primarily relating to certain subsidiaries that approximate $606 and expire through 2041. We also have federal operating loss carryforwards of $24 for Mountaintop Energy Holding, LLC and $7 for certain operations of AmeriGas Propane. At September 30</w:t>
      </w:r>
      <w:r>
        <w:rPr>
          <w:rFonts w:eastAsia="Times New Roman"/>
          <w:color w:val="000000"/>
          <w:sz w:val="20"/>
          <w:szCs w:val="20"/>
        </w:rPr>
        <w:t xml:space="preserve">, 2021, deferred tax assets relating to operating loss carryforwards amounted to $52 related to various UGI subsidiaries. </w:t>
      </w:r>
    </w:p>
    <w:p w:rsidR="00000000" w:rsidRDefault="00DF5BC2">
      <w:pPr>
        <w:jc w:val="center"/>
        <w:divId w:val="1867282414"/>
        <w:rPr>
          <w:rFonts w:eastAsia="Times New Roman"/>
        </w:rPr>
      </w:pPr>
      <w:r>
        <w:rPr>
          <w:rFonts w:eastAsia="Times New Roman"/>
          <w:color w:val="000000"/>
          <w:sz w:val="20"/>
          <w:szCs w:val="20"/>
        </w:rPr>
        <w:t>F-34</w:t>
      </w:r>
    </w:p>
    <w:p w:rsidR="00000000" w:rsidRDefault="00DF5BC2">
      <w:pPr>
        <w:rPr>
          <w:rFonts w:eastAsia="Times New Roman"/>
        </w:rPr>
      </w:pPr>
      <w:r>
        <w:rPr>
          <w:rFonts w:eastAsia="Times New Roman"/>
        </w:rPr>
        <w:pict>
          <v:rect id="_x0000_i1148" style="width:0;height:1.5pt" o:hralign="center" o:hrstd="t" o:hr="t" fillcolor="#a0a0a0" stroked="f"/>
        </w:pict>
      </w:r>
    </w:p>
    <w:p w:rsidR="00000000" w:rsidRDefault="00DF5BC2">
      <w:pPr>
        <w:divId w:val="914556998"/>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661424329"/>
        <w:rPr>
          <w:rFonts w:eastAsia="Times New Roman"/>
        </w:rPr>
      </w:pPr>
      <w:r>
        <w:rPr>
          <w:rFonts w:eastAsia="Times New Roman"/>
          <w:b/>
          <w:bCs/>
          <w:color w:val="000000"/>
          <w:sz w:val="20"/>
          <w:szCs w:val="20"/>
        </w:rPr>
        <w:t>UGI Corporation and Subsidiaries</w:t>
      </w:r>
    </w:p>
    <w:p w:rsidR="00000000" w:rsidRDefault="00DF5BC2">
      <w:pPr>
        <w:divId w:val="322120876"/>
        <w:rPr>
          <w:rFonts w:eastAsia="Times New Roman"/>
        </w:rPr>
      </w:pPr>
      <w:r>
        <w:rPr>
          <w:rFonts w:eastAsia="Times New Roman"/>
          <w:b/>
          <w:bCs/>
          <w:color w:val="000000"/>
          <w:sz w:val="20"/>
          <w:szCs w:val="20"/>
        </w:rPr>
        <w:t>Notes to Consolidated Financial Statements</w:t>
      </w:r>
    </w:p>
    <w:p w:rsidR="00000000" w:rsidRDefault="00DF5BC2">
      <w:pPr>
        <w:divId w:val="1204903876"/>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105775145"/>
        <w:rPr>
          <w:rFonts w:eastAsia="Times New Roman"/>
        </w:rPr>
      </w:pPr>
      <w:r>
        <w:rPr>
          <w:rFonts w:eastAsia="Times New Roman"/>
          <w:color w:val="000000"/>
          <w:sz w:val="20"/>
          <w:szCs w:val="20"/>
        </w:rPr>
        <w:t>Valuation allowances against deferred tax assets exist for foreign tax credit carryforwards, net operating loss carryforwards of foreign subsidiaries, capital loss carryforwards</w:t>
      </w:r>
      <w:r>
        <w:rPr>
          <w:rFonts w:eastAsia="Times New Roman"/>
          <w:color w:val="000000"/>
          <w:sz w:val="20"/>
          <w:szCs w:val="20"/>
        </w:rPr>
        <w:t xml:space="preserve"> and a notional interest deduction. The valuation allowance for all deferred tax assets increased by $33 in Fiscal 2021, which included a $30 increase related to future capital losses from the PennEast and Hudson investments, and a $10 increase in a notion</w:t>
      </w:r>
      <w:r>
        <w:rPr>
          <w:rFonts w:eastAsia="Times New Roman"/>
          <w:color w:val="000000"/>
          <w:sz w:val="20"/>
          <w:szCs w:val="20"/>
        </w:rPr>
        <w:t>al interest deduction carryover, partially offset by the release of $10 against FTC’s that will be realizable in the future.</w:t>
      </w:r>
    </w:p>
    <w:p w:rsidR="00000000" w:rsidRDefault="00DF5BC2">
      <w:pPr>
        <w:jc w:val="both"/>
        <w:divId w:val="938024051"/>
        <w:rPr>
          <w:rFonts w:eastAsia="Times New Roman"/>
        </w:rPr>
      </w:pPr>
      <w:r>
        <w:rPr>
          <w:rFonts w:eastAsia="Times New Roman"/>
          <w:color w:val="000000"/>
          <w:sz w:val="20"/>
          <w:szCs w:val="20"/>
        </w:rPr>
        <w:t>The valuation allowance for all deferred tax assets decreased by $14 in Fiscal 2020 largely related to a $16 increase in a notional</w:t>
      </w:r>
      <w:r>
        <w:rPr>
          <w:rFonts w:eastAsia="Times New Roman"/>
          <w:color w:val="000000"/>
          <w:sz w:val="20"/>
          <w:szCs w:val="20"/>
        </w:rPr>
        <w:t xml:space="preserve"> interest deduction carryover.</w:t>
      </w:r>
    </w:p>
    <w:p w:rsidR="00000000" w:rsidRDefault="00DF5BC2">
      <w:pPr>
        <w:jc w:val="both"/>
        <w:divId w:val="1864442506"/>
        <w:rPr>
          <w:rFonts w:eastAsia="Times New Roman"/>
        </w:rPr>
      </w:pPr>
      <w:r>
        <w:rPr>
          <w:rFonts w:eastAsia="Times New Roman"/>
          <w:color w:val="000000"/>
          <w:sz w:val="20"/>
          <w:szCs w:val="20"/>
        </w:rPr>
        <w:t>We conduct business and file tax returns in the U.S., numerous states, local jurisdictions and in France and certain other European countries. Our U.S. federal income tax returns are settled through the 2017 tax year, our Fre</w:t>
      </w:r>
      <w:r>
        <w:rPr>
          <w:rFonts w:eastAsia="Times New Roman"/>
          <w:color w:val="000000"/>
          <w:sz w:val="20"/>
          <w:szCs w:val="20"/>
        </w:rPr>
        <w:t>nch tax returns are settled through the 2017 tax year, our Austrian tax returns are settled through 2016 and our other European tax returns are effectively settled for various years from 2013 to 2018. State and other income tax returns in the U.S. are gene</w:t>
      </w:r>
      <w:r>
        <w:rPr>
          <w:rFonts w:eastAsia="Times New Roman"/>
          <w:color w:val="000000"/>
          <w:sz w:val="20"/>
          <w:szCs w:val="20"/>
        </w:rPr>
        <w:t xml:space="preserve">rally subject to examination for a period of three to five years after the filing of the respective returns. </w:t>
      </w:r>
    </w:p>
    <w:p w:rsidR="00000000" w:rsidRDefault="00DF5BC2">
      <w:pPr>
        <w:jc w:val="both"/>
        <w:divId w:val="149714654"/>
        <w:rPr>
          <w:rFonts w:eastAsia="Times New Roman"/>
        </w:rPr>
      </w:pPr>
      <w:r>
        <w:rPr>
          <w:rFonts w:eastAsia="Times New Roman"/>
          <w:color w:val="000000"/>
          <w:sz w:val="20"/>
          <w:szCs w:val="20"/>
        </w:rPr>
        <w:t>The Company’s unrecognized tax benefits including amounts related to accrued interest, which if subsequently recognized would be recorded as a ben</w:t>
      </w:r>
      <w:r>
        <w:rPr>
          <w:rFonts w:eastAsia="Times New Roman"/>
          <w:color w:val="000000"/>
          <w:sz w:val="20"/>
          <w:szCs w:val="20"/>
        </w:rPr>
        <w:t xml:space="preserve">efit to income taxes, amounted to $4, $4, and $11 at September 30, 2021, 2020 and 2019, respectively. Activity related to these unrecognized tax benefits was not material for all periods presented. </w:t>
      </w:r>
    </w:p>
    <w:tbl>
      <w:tblPr>
        <w:tblW w:w="4992" w:type="pct"/>
        <w:tblCellMar>
          <w:top w:w="15" w:type="dxa"/>
          <w:left w:w="15" w:type="dxa"/>
          <w:bottom w:w="15" w:type="dxa"/>
          <w:right w:w="15" w:type="dxa"/>
        </w:tblCellMar>
        <w:tblLook w:val="04A0" w:firstRow="1" w:lastRow="0" w:firstColumn="1" w:lastColumn="0" w:noHBand="0" w:noVBand="1"/>
      </w:tblPr>
      <w:tblGrid>
        <w:gridCol w:w="61"/>
        <w:gridCol w:w="4892"/>
        <w:gridCol w:w="36"/>
        <w:gridCol w:w="61"/>
        <w:gridCol w:w="942"/>
        <w:gridCol w:w="36"/>
        <w:gridCol w:w="36"/>
        <w:gridCol w:w="36"/>
        <w:gridCol w:w="36"/>
        <w:gridCol w:w="46"/>
        <w:gridCol w:w="942"/>
        <w:gridCol w:w="36"/>
        <w:gridCol w:w="36"/>
        <w:gridCol w:w="36"/>
        <w:gridCol w:w="36"/>
        <w:gridCol w:w="46"/>
        <w:gridCol w:w="943"/>
        <w:gridCol w:w="36"/>
      </w:tblGrid>
      <w:tr w:rsidR="00000000">
        <w:trPr>
          <w:divId w:val="1503155605"/>
        </w:trPr>
        <w:tc>
          <w:tcPr>
            <w:tcW w:w="50" w:type="pct"/>
            <w:vAlign w:val="center"/>
            <w:hideMark/>
          </w:tcPr>
          <w:p w:rsidR="00000000" w:rsidRDefault="00DF5BC2">
            <w:pPr>
              <w:jc w:val="both"/>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503155605"/>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503155605"/>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03155605"/>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03155605"/>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03155605"/>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03155605"/>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03155605"/>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03155605"/>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rPr>
      </w:pPr>
      <w:r>
        <w:rPr>
          <w:rFonts w:eastAsia="Times New Roman"/>
          <w:b/>
          <w:bCs/>
          <w:color w:val="000000"/>
          <w:sz w:val="20"/>
          <w:szCs w:val="20"/>
          <w:u w:val="single"/>
        </w:rPr>
        <w:t xml:space="preserve">Note 8 — Employee Retirement Plans </w:t>
      </w:r>
    </w:p>
    <w:p w:rsidR="00000000" w:rsidRDefault="00DF5BC2">
      <w:pPr>
        <w:jc w:val="both"/>
        <w:divId w:val="1327243106"/>
        <w:rPr>
          <w:rFonts w:eastAsia="Times New Roman"/>
        </w:rPr>
      </w:pPr>
      <w:r>
        <w:rPr>
          <w:rFonts w:eastAsia="Times New Roman"/>
          <w:b/>
          <w:bCs/>
          <w:color w:val="000000"/>
          <w:sz w:val="20"/>
          <w:szCs w:val="20"/>
        </w:rPr>
        <w:t>Defined Benefit Pension and Other Postretirement Plans</w:t>
      </w:r>
    </w:p>
    <w:p w:rsidR="00000000" w:rsidRDefault="00DF5BC2">
      <w:pPr>
        <w:jc w:val="both"/>
        <w:divId w:val="315036629"/>
        <w:rPr>
          <w:rFonts w:eastAsia="Times New Roman"/>
        </w:rPr>
      </w:pPr>
      <w:r>
        <w:rPr>
          <w:rFonts w:eastAsia="Times New Roman"/>
          <w:color w:val="000000"/>
          <w:sz w:val="20"/>
          <w:szCs w:val="20"/>
        </w:rPr>
        <w:t>The U.S. Pension Plans consist of (1) a defined benefit pension plan for employees hired prior to January 1, 2009, of UGI, UGI Utilities, Inc., and certain of UGI’s other domestic wholly owned subsidia</w:t>
      </w:r>
      <w:r>
        <w:rPr>
          <w:rFonts w:eastAsia="Times New Roman"/>
          <w:color w:val="000000"/>
          <w:sz w:val="20"/>
          <w:szCs w:val="20"/>
        </w:rPr>
        <w:t>ries and (2) a defined benefit pension plan for substantially all Mountaineer employees. U.S. Pension Plans’ benefits are based on years of service, age and employee compensation. In addition, certain UGI International employees in France and Belgium are c</w:t>
      </w:r>
      <w:r>
        <w:rPr>
          <w:rFonts w:eastAsia="Times New Roman"/>
          <w:color w:val="000000"/>
          <w:sz w:val="20"/>
          <w:szCs w:val="20"/>
        </w:rPr>
        <w:t>overed by defined benefit pension and postretirement plans. Although the disclosures in the tables below include amounts related to the UGI International plans, such amounts are not material.</w:t>
      </w:r>
    </w:p>
    <w:p w:rsidR="00000000" w:rsidRDefault="00DF5BC2">
      <w:pPr>
        <w:jc w:val="both"/>
        <w:divId w:val="1562593931"/>
        <w:rPr>
          <w:rFonts w:eastAsia="Times New Roman"/>
        </w:rPr>
      </w:pPr>
      <w:r>
        <w:rPr>
          <w:rFonts w:eastAsia="Times New Roman"/>
          <w:color w:val="000000"/>
          <w:sz w:val="20"/>
          <w:szCs w:val="20"/>
        </w:rPr>
        <w:t>We also provide postretirement health care benefits to certain r</w:t>
      </w:r>
      <w:r>
        <w:rPr>
          <w:rFonts w:eastAsia="Times New Roman"/>
          <w:color w:val="000000"/>
          <w:sz w:val="20"/>
          <w:szCs w:val="20"/>
        </w:rPr>
        <w:t>etirees and postretirement life insurance benefits to certain U.S. active and retired employees. The ABO of our other postretirement benefit plans was $31 and $24 as of September 30, 2021 and 2020, respectively. The fair value of the plan assets of our oth</w:t>
      </w:r>
      <w:r>
        <w:rPr>
          <w:rFonts w:eastAsia="Times New Roman"/>
          <w:color w:val="000000"/>
          <w:sz w:val="20"/>
          <w:szCs w:val="20"/>
        </w:rPr>
        <w:t xml:space="preserve">er postretirement benefit plans was $19 and $17 as of September 30, 2021 and 2020, respectively. </w:t>
      </w:r>
    </w:p>
    <w:p w:rsidR="00000000" w:rsidRDefault="00DF5BC2">
      <w:pPr>
        <w:jc w:val="both"/>
        <w:divId w:val="1657490681"/>
        <w:rPr>
          <w:rFonts w:eastAsia="Times New Roman"/>
        </w:rPr>
      </w:pPr>
      <w:r>
        <w:rPr>
          <w:rFonts w:eastAsia="Times New Roman"/>
          <w:color w:val="000000"/>
          <w:sz w:val="20"/>
          <w:szCs w:val="20"/>
        </w:rPr>
        <w:t xml:space="preserve">The following table provides a reconciliation of the PBOs of our pension plans (the U.S. Pension Plans and the UGI International pension plans), plan assets, </w:t>
      </w:r>
      <w:r>
        <w:rPr>
          <w:rFonts w:eastAsia="Times New Roman"/>
          <w:color w:val="000000"/>
          <w:sz w:val="20"/>
          <w:szCs w:val="20"/>
        </w:rPr>
        <w:t>and the related funded status of our pension plans as of September 30, 2021 and 2020. ABO is the present value of benefits earned to date with benefits based upon current compensation levels. PBO is ABO increased to reflect estimated future compensation.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787"/>
        <w:gridCol w:w="37"/>
        <w:gridCol w:w="120"/>
        <w:gridCol w:w="886"/>
        <w:gridCol w:w="36"/>
        <w:gridCol w:w="36"/>
        <w:gridCol w:w="36"/>
        <w:gridCol w:w="36"/>
        <w:gridCol w:w="120"/>
        <w:gridCol w:w="850"/>
        <w:gridCol w:w="36"/>
        <w:gridCol w:w="36"/>
        <w:gridCol w:w="36"/>
        <w:gridCol w:w="36"/>
        <w:gridCol w:w="36"/>
        <w:gridCol w:w="36"/>
        <w:gridCol w:w="36"/>
        <w:gridCol w:w="36"/>
        <w:gridCol w:w="36"/>
      </w:tblGrid>
      <w:tr w:rsidR="00000000">
        <w:trPr>
          <w:divId w:val="700323939"/>
        </w:trPr>
        <w:tc>
          <w:tcPr>
            <w:tcW w:w="50" w:type="pct"/>
            <w:vAlign w:val="center"/>
            <w:hideMark/>
          </w:tcPr>
          <w:p w:rsidR="00000000" w:rsidRDefault="00DF5BC2">
            <w:pPr>
              <w:jc w:val="both"/>
              <w:rPr>
                <w:rFonts w:eastAsia="Times New Roman"/>
              </w:rPr>
            </w:pPr>
          </w:p>
        </w:tc>
        <w:tc>
          <w:tcPr>
            <w:tcW w:w="363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Pension Benefits</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Change in benefit obligations: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vAlign w:val="center"/>
            <w:hideMark/>
          </w:tcPr>
          <w:p w:rsidR="00000000" w:rsidRDefault="00DF5BC2">
            <w:pPr>
              <w:spacing w:after="100"/>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Benefit obligations — beginning of year</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782 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Service cost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Plan amendments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Acquisitions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Curtailments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(gain) loss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Benefits paid</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Benefit obligations — end of year (a)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0032393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Change in plan assets: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vAlign w:val="center"/>
            <w:hideMark/>
          </w:tcPr>
          <w:p w:rsidR="00000000" w:rsidRDefault="00DF5BC2">
            <w:pPr>
              <w:spacing w:after="100"/>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center"/>
        <w:divId w:val="363337063"/>
        <w:rPr>
          <w:rFonts w:eastAsia="Times New Roman"/>
        </w:rPr>
      </w:pPr>
      <w:r>
        <w:rPr>
          <w:rFonts w:eastAsia="Times New Roman"/>
          <w:color w:val="000000"/>
          <w:sz w:val="20"/>
          <w:szCs w:val="20"/>
        </w:rPr>
        <w:t>F-35</w:t>
      </w:r>
    </w:p>
    <w:p w:rsidR="00000000" w:rsidRDefault="00DF5BC2">
      <w:pPr>
        <w:rPr>
          <w:rFonts w:eastAsia="Times New Roman"/>
        </w:rPr>
      </w:pPr>
      <w:r>
        <w:rPr>
          <w:rFonts w:eastAsia="Times New Roman"/>
        </w:rPr>
        <w:pict>
          <v:rect id="_x0000_i1149" style="width:0;height:1.5pt" o:hralign="center" o:hrstd="t" o:hr="t" fillcolor="#a0a0a0" stroked="f"/>
        </w:pict>
      </w:r>
    </w:p>
    <w:p w:rsidR="00000000" w:rsidRDefault="00DF5BC2">
      <w:pPr>
        <w:divId w:val="202049617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81549735"/>
        <w:rPr>
          <w:rFonts w:eastAsia="Times New Roman"/>
        </w:rPr>
      </w:pPr>
      <w:r>
        <w:rPr>
          <w:rFonts w:eastAsia="Times New Roman"/>
          <w:b/>
          <w:bCs/>
          <w:color w:val="000000"/>
          <w:sz w:val="20"/>
          <w:szCs w:val="20"/>
        </w:rPr>
        <w:t>UGI Corporation and Subsidiaries</w:t>
      </w:r>
    </w:p>
    <w:p w:rsidR="00000000" w:rsidRDefault="00DF5BC2">
      <w:pPr>
        <w:divId w:val="760107359"/>
        <w:rPr>
          <w:rFonts w:eastAsia="Times New Roman"/>
        </w:rPr>
      </w:pPr>
      <w:r>
        <w:rPr>
          <w:rFonts w:eastAsia="Times New Roman"/>
          <w:b/>
          <w:bCs/>
          <w:color w:val="000000"/>
          <w:sz w:val="20"/>
          <w:szCs w:val="20"/>
        </w:rPr>
        <w:t>Notes to Consolidated Financial Statements</w:t>
      </w:r>
    </w:p>
    <w:p w:rsidR="00000000" w:rsidRDefault="00DF5BC2">
      <w:pPr>
        <w:divId w:val="1422674902"/>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tbl>
      <w:tblPr>
        <w:tblW w:w="5000" w:type="pct"/>
        <w:tblCellMar>
          <w:top w:w="15" w:type="dxa"/>
          <w:left w:w="15" w:type="dxa"/>
          <w:bottom w:w="15" w:type="dxa"/>
          <w:right w:w="15" w:type="dxa"/>
        </w:tblCellMar>
        <w:tblLook w:val="04A0" w:firstRow="1" w:lastRow="0" w:firstColumn="1" w:lastColumn="0" w:noHBand="0" w:noVBand="1"/>
      </w:tblPr>
      <w:tblGrid>
        <w:gridCol w:w="38"/>
        <w:gridCol w:w="5787"/>
        <w:gridCol w:w="37"/>
        <w:gridCol w:w="120"/>
        <w:gridCol w:w="886"/>
        <w:gridCol w:w="36"/>
        <w:gridCol w:w="36"/>
        <w:gridCol w:w="36"/>
        <w:gridCol w:w="36"/>
        <w:gridCol w:w="120"/>
        <w:gridCol w:w="850"/>
        <w:gridCol w:w="36"/>
        <w:gridCol w:w="36"/>
        <w:gridCol w:w="36"/>
        <w:gridCol w:w="36"/>
        <w:gridCol w:w="36"/>
        <w:gridCol w:w="36"/>
        <w:gridCol w:w="36"/>
        <w:gridCol w:w="36"/>
        <w:gridCol w:w="36"/>
      </w:tblGrid>
      <w:tr w:rsidR="00000000">
        <w:trPr>
          <w:divId w:val="1566600108"/>
        </w:trPr>
        <w:tc>
          <w:tcPr>
            <w:tcW w:w="50" w:type="pct"/>
            <w:vAlign w:val="center"/>
            <w:hideMark/>
          </w:tcPr>
          <w:p w:rsidR="00000000" w:rsidRDefault="00DF5BC2">
            <w:pPr>
              <w:rPr>
                <w:rFonts w:eastAsia="Times New Roman"/>
              </w:rPr>
            </w:pPr>
          </w:p>
        </w:tc>
        <w:tc>
          <w:tcPr>
            <w:tcW w:w="363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Pension Benefits</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Fair value of plan assets — beginning of year</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Actual gain on plan assets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Employer contributions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Acquisitions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Benefits paid</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Fair value of plan assets —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Funded status of the plans — end of year (b)</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Amounts recorded in UGI Corporation stockholders’ equity (pre-tax):</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vAlign w:val="center"/>
            <w:hideMark/>
          </w:tcPr>
          <w:p w:rsidR="00000000" w:rsidRDefault="00DF5BC2">
            <w:pPr>
              <w:spacing w:after="100"/>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Prior service cost</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actuarial loss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Amounts recorded in regulatory assets and liabilities (pre-tax):</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vAlign w:val="center"/>
            <w:hideMark/>
          </w:tcPr>
          <w:p w:rsidR="00000000" w:rsidRDefault="00DF5BC2">
            <w:pPr>
              <w:spacing w:after="100"/>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actuarial loss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56660010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divId w:val="1267277176"/>
        <w:rPr>
          <w:rFonts w:eastAsia="Times New Roman"/>
        </w:rPr>
      </w:pPr>
      <w:r>
        <w:rPr>
          <w:rFonts w:eastAsia="Times New Roman"/>
          <w:color w:val="000000"/>
          <w:sz w:val="20"/>
          <w:szCs w:val="20"/>
        </w:rPr>
        <w:t>(a)    </w:t>
      </w:r>
      <w:r>
        <w:rPr>
          <w:rFonts w:eastAsia="Times New Roman"/>
          <w:color w:val="000000"/>
          <w:sz w:val="20"/>
          <w:szCs w:val="20"/>
        </w:rPr>
        <w:t>The ABO for the U.S. Pension Plans was $756 and $687 as of September 30, 2021 and 2020, respectively.</w:t>
      </w:r>
    </w:p>
    <w:p w:rsidR="00000000" w:rsidRDefault="00DF5BC2">
      <w:pPr>
        <w:divId w:val="226309402"/>
        <w:rPr>
          <w:rFonts w:eastAsia="Times New Roman"/>
        </w:rPr>
      </w:pPr>
      <w:r>
        <w:rPr>
          <w:rFonts w:eastAsia="Times New Roman"/>
          <w:color w:val="000000"/>
          <w:sz w:val="20"/>
          <w:szCs w:val="20"/>
        </w:rPr>
        <w:t>(b)    Amounts are reflected in “Other noncurrent liabilities” on the Consolidated Balance Sheets.</w:t>
      </w:r>
    </w:p>
    <w:p w:rsidR="00000000" w:rsidRDefault="00DF5BC2">
      <w:pPr>
        <w:divId w:val="758140706"/>
        <w:rPr>
          <w:rFonts w:eastAsia="Times New Roman"/>
        </w:rPr>
      </w:pPr>
    </w:p>
    <w:p w:rsidR="00000000" w:rsidRDefault="00DF5BC2">
      <w:pPr>
        <w:jc w:val="both"/>
        <w:rPr>
          <w:rFonts w:eastAsia="Times New Roman"/>
        </w:rPr>
      </w:pPr>
      <w:r>
        <w:rPr>
          <w:rFonts w:eastAsia="Times New Roman"/>
          <w:color w:val="000000"/>
          <w:sz w:val="20"/>
          <w:szCs w:val="20"/>
        </w:rPr>
        <w:t>In Fiscal 2021 and Fiscal 2020, the change in the pension plans’ PBO due to actuarial gains and losses is principally the result of changes in discount rates. In Fiscal 2022, the estimated amount that will be amortized from UGI Stockholders’ equity and reg</w:t>
      </w:r>
      <w:r>
        <w:rPr>
          <w:rFonts w:eastAsia="Times New Roman"/>
          <w:color w:val="000000"/>
          <w:sz w:val="20"/>
          <w:szCs w:val="20"/>
        </w:rPr>
        <w:t>ulatory assets into net periodic benefit cost is approximately $7, the majority of which represents net actuarial losses, primarily associated with the U.S. Pension Plans.</w:t>
      </w:r>
    </w:p>
    <w:p w:rsidR="00000000" w:rsidRDefault="00DF5BC2">
      <w:pPr>
        <w:jc w:val="both"/>
        <w:divId w:val="1759061969"/>
        <w:rPr>
          <w:rFonts w:eastAsia="Times New Roman"/>
        </w:rPr>
      </w:pPr>
      <w:r>
        <w:rPr>
          <w:rFonts w:eastAsia="Times New Roman"/>
          <w:color w:val="000000"/>
          <w:sz w:val="20"/>
          <w:szCs w:val="20"/>
        </w:rPr>
        <w:t>Actuarial assumptions for our U.S. Pension Plans are described below. The discount r</w:t>
      </w:r>
      <w:r>
        <w:rPr>
          <w:rFonts w:eastAsia="Times New Roman"/>
          <w:color w:val="000000"/>
          <w:sz w:val="20"/>
          <w:szCs w:val="20"/>
        </w:rPr>
        <w:t>ate assumption was determined by selecting a hypothetical portfolio of high quality corporate bonds appropriate to provide for the projected benefit payments of the plans. The discount rate was then developed as the single rate that equates the market valu</w:t>
      </w:r>
      <w:r>
        <w:rPr>
          <w:rFonts w:eastAsia="Times New Roman"/>
          <w:color w:val="000000"/>
          <w:sz w:val="20"/>
          <w:szCs w:val="20"/>
        </w:rPr>
        <w:t>e of the bonds purchased to the discounted value of the plans’ benefit payments. The expected rate of return on assets assumption is based on current and expected asset allocations as well as historical and expected returns on various categories of plan as</w:t>
      </w:r>
      <w:r>
        <w:rPr>
          <w:rFonts w:eastAsia="Times New Roman"/>
          <w:color w:val="000000"/>
          <w:sz w:val="20"/>
          <w:szCs w:val="20"/>
        </w:rPr>
        <w:t>sets (as further described below).</w:t>
      </w:r>
    </w:p>
    <w:tbl>
      <w:tblPr>
        <w:tblW w:w="5000" w:type="pct"/>
        <w:tblCellMar>
          <w:top w:w="15" w:type="dxa"/>
          <w:left w:w="15" w:type="dxa"/>
          <w:bottom w:w="15" w:type="dxa"/>
          <w:right w:w="15" w:type="dxa"/>
        </w:tblCellMar>
        <w:tblLook w:val="04A0" w:firstRow="1" w:lastRow="0" w:firstColumn="1" w:lastColumn="0" w:noHBand="0" w:noVBand="1"/>
      </w:tblPr>
      <w:tblGrid>
        <w:gridCol w:w="37"/>
        <w:gridCol w:w="5218"/>
        <w:gridCol w:w="36"/>
        <w:gridCol w:w="45"/>
        <w:gridCol w:w="575"/>
        <w:gridCol w:w="187"/>
        <w:gridCol w:w="36"/>
        <w:gridCol w:w="36"/>
        <w:gridCol w:w="36"/>
        <w:gridCol w:w="45"/>
        <w:gridCol w:w="511"/>
        <w:gridCol w:w="187"/>
        <w:gridCol w:w="36"/>
        <w:gridCol w:w="36"/>
        <w:gridCol w:w="36"/>
        <w:gridCol w:w="45"/>
        <w:gridCol w:w="513"/>
        <w:gridCol w:w="187"/>
        <w:gridCol w:w="36"/>
        <w:gridCol w:w="36"/>
        <w:gridCol w:w="36"/>
        <w:gridCol w:w="36"/>
        <w:gridCol w:w="36"/>
        <w:gridCol w:w="36"/>
        <w:gridCol w:w="36"/>
        <w:gridCol w:w="36"/>
        <w:gridCol w:w="36"/>
        <w:gridCol w:w="36"/>
        <w:gridCol w:w="36"/>
        <w:gridCol w:w="36"/>
        <w:gridCol w:w="36"/>
        <w:gridCol w:w="36"/>
      </w:tblGrid>
      <w:tr w:rsidR="00000000">
        <w:trPr>
          <w:divId w:val="2073846502"/>
        </w:trPr>
        <w:tc>
          <w:tcPr>
            <w:tcW w:w="50" w:type="pct"/>
            <w:vAlign w:val="center"/>
            <w:hideMark/>
          </w:tcPr>
          <w:p w:rsidR="00000000" w:rsidRDefault="00DF5BC2">
            <w:pPr>
              <w:jc w:val="both"/>
              <w:rPr>
                <w:rFonts w:eastAsia="Times New Roman"/>
              </w:rPr>
            </w:pPr>
          </w:p>
        </w:tc>
        <w:tc>
          <w:tcPr>
            <w:tcW w:w="340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3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3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3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73846502"/>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Pension Plans</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2073846502"/>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7384650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Weighted-average assumptions: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vAlign w:val="center"/>
            <w:hideMark/>
          </w:tcPr>
          <w:p w:rsidR="00000000" w:rsidRDefault="00DF5BC2">
            <w:pPr>
              <w:spacing w:after="100"/>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73846502"/>
        </w:trPr>
        <w:tc>
          <w:tcPr>
            <w:tcW w:w="0" w:type="auto"/>
            <w:gridSpan w:val="3"/>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Discount rate – benefit obligations</w:t>
            </w:r>
          </w:p>
        </w:tc>
        <w:tc>
          <w:tcPr>
            <w:tcW w:w="0" w:type="auto"/>
            <w:gridSpan w:val="2"/>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3.13 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2.90 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3.30 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7384650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ind w:hanging="180"/>
              <w:divId w:val="330446338"/>
              <w:rPr>
                <w:rFonts w:eastAsia="Times New Roman"/>
              </w:rPr>
            </w:pPr>
            <w:r>
              <w:rPr>
                <w:rFonts w:eastAsia="Times New Roman"/>
                <w:color w:val="000000"/>
                <w:sz w:val="20"/>
                <w:szCs w:val="20"/>
              </w:rPr>
              <w:t>Discount rate – benefit cost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73846502"/>
        </w:trPr>
        <w:tc>
          <w:tcPr>
            <w:tcW w:w="0" w:type="auto"/>
            <w:gridSpan w:val="3"/>
            <w:tcMar>
              <w:top w:w="30" w:type="dxa"/>
              <w:left w:w="20" w:type="dxa"/>
              <w:bottom w:w="30" w:type="dxa"/>
              <w:right w:w="20" w:type="dxa"/>
            </w:tcMar>
            <w:vAlign w:val="bottom"/>
            <w:hideMark/>
          </w:tcPr>
          <w:p w:rsidR="00000000" w:rsidRDefault="00DF5BC2">
            <w:pPr>
              <w:spacing w:after="100"/>
              <w:ind w:hanging="180"/>
              <w:divId w:val="322516475"/>
              <w:rPr>
                <w:rFonts w:eastAsia="Times New Roman"/>
              </w:rPr>
            </w:pPr>
            <w:r>
              <w:rPr>
                <w:rFonts w:eastAsia="Times New Roman"/>
                <w:color w:val="000000"/>
                <w:sz w:val="20"/>
                <w:szCs w:val="20"/>
              </w:rPr>
              <w:t>Expected return on plan assets</w:t>
            </w:r>
          </w:p>
        </w:tc>
        <w:tc>
          <w:tcPr>
            <w:tcW w:w="0" w:type="auto"/>
            <w:gridSpan w:val="2"/>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7.10 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7.20 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7.30 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073846502"/>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ind w:hanging="180"/>
              <w:divId w:val="2038655021"/>
              <w:rPr>
                <w:rFonts w:eastAsia="Times New Roman"/>
              </w:rPr>
            </w:pPr>
            <w:r>
              <w:rPr>
                <w:rFonts w:eastAsia="Times New Roman"/>
                <w:color w:val="000000"/>
                <w:sz w:val="20"/>
                <w:szCs w:val="20"/>
              </w:rPr>
              <w:t>Rate of increase in salary levels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center"/>
        <w:divId w:val="741177996"/>
        <w:rPr>
          <w:rFonts w:eastAsia="Times New Roman"/>
        </w:rPr>
      </w:pPr>
      <w:r>
        <w:rPr>
          <w:rFonts w:eastAsia="Times New Roman"/>
          <w:color w:val="000000"/>
          <w:sz w:val="20"/>
          <w:szCs w:val="20"/>
        </w:rPr>
        <w:t>F-36</w:t>
      </w:r>
    </w:p>
    <w:p w:rsidR="00000000" w:rsidRDefault="00DF5BC2">
      <w:pPr>
        <w:rPr>
          <w:rFonts w:eastAsia="Times New Roman"/>
        </w:rPr>
      </w:pPr>
      <w:r>
        <w:rPr>
          <w:rFonts w:eastAsia="Times New Roman"/>
        </w:rPr>
        <w:pict>
          <v:rect id="_x0000_i1150" style="width:0;height:1.5pt" o:hralign="center" o:hrstd="t" o:hr="t" fillcolor="#a0a0a0" stroked="f"/>
        </w:pict>
      </w:r>
    </w:p>
    <w:p w:rsidR="00000000" w:rsidRDefault="00DF5BC2">
      <w:pPr>
        <w:divId w:val="927153248"/>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511094801"/>
        <w:rPr>
          <w:rFonts w:eastAsia="Times New Roman"/>
        </w:rPr>
      </w:pPr>
      <w:r>
        <w:rPr>
          <w:rFonts w:eastAsia="Times New Roman"/>
          <w:b/>
          <w:bCs/>
          <w:color w:val="000000"/>
          <w:sz w:val="20"/>
          <w:szCs w:val="20"/>
        </w:rPr>
        <w:t>UGI Corporation and Subsidiaries</w:t>
      </w:r>
    </w:p>
    <w:p w:rsidR="00000000" w:rsidRDefault="00DF5BC2">
      <w:pPr>
        <w:divId w:val="496262333"/>
        <w:rPr>
          <w:rFonts w:eastAsia="Times New Roman"/>
        </w:rPr>
      </w:pPr>
      <w:r>
        <w:rPr>
          <w:rFonts w:eastAsia="Times New Roman"/>
          <w:b/>
          <w:bCs/>
          <w:color w:val="000000"/>
          <w:sz w:val="20"/>
          <w:szCs w:val="20"/>
        </w:rPr>
        <w:t>Notes to Consolidated Financial Statements</w:t>
      </w:r>
    </w:p>
    <w:p w:rsidR="00000000" w:rsidRDefault="00DF5BC2">
      <w:pPr>
        <w:divId w:val="1752197084"/>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1787307387"/>
        <w:rPr>
          <w:rFonts w:eastAsia="Times New Roman"/>
        </w:rPr>
      </w:pPr>
      <w:r>
        <w:rPr>
          <w:rFonts w:eastAsia="Times New Roman"/>
          <w:color w:val="000000"/>
          <w:sz w:val="20"/>
          <w:szCs w:val="20"/>
        </w:rPr>
        <w:t>The service cost component of our pension and other postretirement plans, net of amounts capitalized, are reflected in “Operating and administrative expenses” on the Consolidate</w:t>
      </w:r>
      <w:r>
        <w:rPr>
          <w:rFonts w:eastAsia="Times New Roman"/>
          <w:color w:val="000000"/>
          <w:sz w:val="20"/>
          <w:szCs w:val="20"/>
        </w:rPr>
        <w:t xml:space="preserve">d Statements of Income. The non-service cost components, net of amounts capitalized by UGI Utilities as a regulatory asset, are reflected in “Other non-operating income (expense), net” on the Consolidated Statements of Income. Other postretirement benefit </w:t>
      </w:r>
      <w:r>
        <w:rPr>
          <w:rFonts w:eastAsia="Times New Roman"/>
          <w:color w:val="000000"/>
          <w:sz w:val="20"/>
          <w:szCs w:val="20"/>
        </w:rPr>
        <w:t>cost was not material for all periods presented. Net periodic pension cost includes the following components:</w:t>
      </w:r>
    </w:p>
    <w:tbl>
      <w:tblPr>
        <w:tblW w:w="4956" w:type="pct"/>
        <w:tblCellMar>
          <w:top w:w="15" w:type="dxa"/>
          <w:left w:w="15" w:type="dxa"/>
          <w:bottom w:w="15" w:type="dxa"/>
          <w:right w:w="15" w:type="dxa"/>
        </w:tblCellMar>
        <w:tblLook w:val="04A0" w:firstRow="1" w:lastRow="0" w:firstColumn="1" w:lastColumn="0" w:noHBand="0" w:noVBand="1"/>
      </w:tblPr>
      <w:tblGrid>
        <w:gridCol w:w="40"/>
        <w:gridCol w:w="5176"/>
        <w:gridCol w:w="39"/>
        <w:gridCol w:w="121"/>
        <w:gridCol w:w="627"/>
        <w:gridCol w:w="36"/>
        <w:gridCol w:w="36"/>
        <w:gridCol w:w="36"/>
        <w:gridCol w:w="36"/>
        <w:gridCol w:w="121"/>
        <w:gridCol w:w="580"/>
        <w:gridCol w:w="36"/>
        <w:gridCol w:w="36"/>
        <w:gridCol w:w="36"/>
        <w:gridCol w:w="36"/>
        <w:gridCol w:w="121"/>
        <w:gridCol w:w="580"/>
        <w:gridCol w:w="36"/>
        <w:gridCol w:w="36"/>
        <w:gridCol w:w="36"/>
        <w:gridCol w:w="36"/>
        <w:gridCol w:w="36"/>
        <w:gridCol w:w="36"/>
        <w:gridCol w:w="36"/>
        <w:gridCol w:w="36"/>
        <w:gridCol w:w="36"/>
        <w:gridCol w:w="36"/>
        <w:gridCol w:w="36"/>
        <w:gridCol w:w="36"/>
        <w:gridCol w:w="36"/>
        <w:gridCol w:w="36"/>
        <w:gridCol w:w="36"/>
      </w:tblGrid>
      <w:tr w:rsidR="00000000">
        <w:trPr>
          <w:divId w:val="1798376209"/>
        </w:trPr>
        <w:tc>
          <w:tcPr>
            <w:tcW w:w="50" w:type="pct"/>
            <w:vAlign w:val="center"/>
            <w:hideMark/>
          </w:tcPr>
          <w:p w:rsidR="00000000" w:rsidRDefault="00DF5BC2">
            <w:pPr>
              <w:jc w:val="both"/>
              <w:rPr>
                <w:rFonts w:eastAsia="Times New Roman"/>
              </w:rPr>
            </w:pPr>
          </w:p>
        </w:tc>
        <w:tc>
          <w:tcPr>
            <w:tcW w:w="33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3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3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3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Pension Benefits</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Curtailment gain</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Prior service cost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Actuarial loss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9837620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divId w:val="690692041"/>
        <w:rPr>
          <w:rFonts w:eastAsia="Times New Roman"/>
        </w:rPr>
      </w:pPr>
    </w:p>
    <w:p w:rsidR="00000000" w:rsidRDefault="00DF5BC2">
      <w:pPr>
        <w:jc w:val="both"/>
        <w:rPr>
          <w:rFonts w:eastAsia="Times New Roman"/>
        </w:rPr>
      </w:pPr>
      <w:r>
        <w:rPr>
          <w:rFonts w:eastAsia="Times New Roman"/>
          <w:color w:val="000000"/>
          <w:sz w:val="20"/>
          <w:szCs w:val="20"/>
        </w:rPr>
        <w:t xml:space="preserve">It is our general policy to fund amounts for U.S. Pension Plans benefits equal to at least the minimum required contribution set forth in applicable employee benefit laws. From time to time, we may, at our discretion, contribute additional amounts. During </w:t>
      </w:r>
      <w:r>
        <w:rPr>
          <w:rFonts w:eastAsia="Times New Roman"/>
          <w:color w:val="000000"/>
          <w:sz w:val="20"/>
          <w:szCs w:val="20"/>
        </w:rPr>
        <w:t>Fiscal 2021, Fiscal 2020 and Fiscal 2019, we made cash contributions to the U.S. Pension Plans of $13, $13 and $12, respectively. The minimum required contributions in Fiscal 2022 are not expected to be material.</w:t>
      </w:r>
    </w:p>
    <w:p w:rsidR="00000000" w:rsidRDefault="00DF5BC2">
      <w:pPr>
        <w:jc w:val="both"/>
        <w:divId w:val="1688828544"/>
        <w:rPr>
          <w:rFonts w:eastAsia="Times New Roman"/>
        </w:rPr>
      </w:pPr>
      <w:r>
        <w:rPr>
          <w:rFonts w:eastAsia="Times New Roman"/>
          <w:color w:val="000000"/>
          <w:sz w:val="20"/>
          <w:szCs w:val="20"/>
        </w:rPr>
        <w:t xml:space="preserve">UGI Utilities, Inc. has established a VEBA </w:t>
      </w:r>
      <w:r>
        <w:rPr>
          <w:rFonts w:eastAsia="Times New Roman"/>
          <w:color w:val="000000"/>
          <w:sz w:val="20"/>
          <w:szCs w:val="20"/>
        </w:rPr>
        <w:t>trust to pay certain retiree health care and life insurance benefits by depositing into the VEBA the annual amount of postretirement benefits costs, if any. Assets associated with the VEBA are not material and we do not expect to be required to make any co</w:t>
      </w:r>
      <w:r>
        <w:rPr>
          <w:rFonts w:eastAsia="Times New Roman"/>
          <w:color w:val="000000"/>
          <w:sz w:val="20"/>
          <w:szCs w:val="20"/>
        </w:rPr>
        <w:t>ntributions to the VEBA during Fiscal 2022.</w:t>
      </w:r>
    </w:p>
    <w:p w:rsidR="00000000" w:rsidRDefault="00DF5BC2">
      <w:pPr>
        <w:jc w:val="both"/>
        <w:divId w:val="517349013"/>
        <w:rPr>
          <w:rFonts w:eastAsia="Times New Roman"/>
        </w:rPr>
      </w:pPr>
      <w:r>
        <w:rPr>
          <w:rFonts w:eastAsia="Times New Roman"/>
          <w:color w:val="000000"/>
          <w:sz w:val="20"/>
          <w:szCs w:val="20"/>
        </w:rPr>
        <w:t>Expected payments for postretirement benefits over the next 10 years are not material. Expected payments for pension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93"/>
        <w:gridCol w:w="36"/>
        <w:gridCol w:w="121"/>
        <w:gridCol w:w="997"/>
        <w:gridCol w:w="36"/>
        <w:gridCol w:w="36"/>
        <w:gridCol w:w="36"/>
      </w:tblGrid>
      <w:tr w:rsidR="00000000">
        <w:trPr>
          <w:divId w:val="1207721266"/>
        </w:trPr>
        <w:tc>
          <w:tcPr>
            <w:tcW w:w="50" w:type="pct"/>
            <w:vAlign w:val="center"/>
            <w:hideMark/>
          </w:tcPr>
          <w:p w:rsidR="00000000" w:rsidRDefault="00DF5BC2">
            <w:pPr>
              <w:jc w:val="both"/>
              <w:rPr>
                <w:rFonts w:eastAsia="Times New Roman"/>
              </w:rPr>
            </w:pPr>
          </w:p>
        </w:tc>
        <w:tc>
          <w:tcPr>
            <w:tcW w:w="426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2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207721266"/>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Pension</w:t>
            </w:r>
            <w:r>
              <w:rPr>
                <w:rFonts w:eastAsia="Times New Roman"/>
                <w:color w:val="000000"/>
                <w:sz w:val="20"/>
                <w:szCs w:val="20"/>
              </w:rPr>
              <w:br/>
              <w:t>Benefits</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20772126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Fiscal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20772126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Fiscal 2023</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20772126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Fiscal 2024</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20772126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Fiscal 2025</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20772126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Fiscal 2026</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20772126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Fiscal 2027 - 2031</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vAlign w:val="center"/>
            <w:hideMark/>
          </w:tcPr>
          <w:p w:rsidR="00000000" w:rsidRDefault="00DF5BC2">
            <w:pPr>
              <w:spacing w:after="100"/>
              <w:jc w:val="right"/>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bl>
    <w:p w:rsidR="00000000" w:rsidRDefault="00DF5BC2">
      <w:pPr>
        <w:jc w:val="both"/>
        <w:divId w:val="1666474676"/>
        <w:rPr>
          <w:rFonts w:eastAsia="Times New Roman"/>
        </w:rPr>
      </w:pPr>
      <w:r>
        <w:rPr>
          <w:rFonts w:eastAsia="Times New Roman"/>
          <w:color w:val="000000"/>
          <w:sz w:val="20"/>
          <w:szCs w:val="20"/>
        </w:rPr>
        <w:t xml:space="preserve">We also sponsor unfunded and non-qualified supplemental executive defined benefit retirement plans. At September 30, 2021 and 2020, the PBOs of these plans, including obligations for amounts held in grantor trusts, totaled $57 and $59, respectively. Costs </w:t>
      </w:r>
      <w:r>
        <w:rPr>
          <w:rFonts w:eastAsia="Times New Roman"/>
          <w:color w:val="000000"/>
          <w:sz w:val="20"/>
          <w:szCs w:val="20"/>
        </w:rPr>
        <w:t>associated with these plans were not material for all periods presented and are excluded from the tables above. Amounts recorded in UGI’s stockholders’ equity for these plans include pre-tax losses of $10 and $12 at September 30, 2021 and 2020, respectivel</w:t>
      </w:r>
      <w:r>
        <w:rPr>
          <w:rFonts w:eastAsia="Times New Roman"/>
          <w:color w:val="000000"/>
          <w:sz w:val="20"/>
          <w:szCs w:val="20"/>
        </w:rPr>
        <w:t>y, principally representing unrecognized actuarial losses. In Fiscal 2022, the estimated amount that will be amortized from such pre-tax actuarial losses into retiree benefit cost is not material. During Fiscal 2021, the Company made $12 of payments for th</w:t>
      </w:r>
      <w:r>
        <w:rPr>
          <w:rFonts w:eastAsia="Times New Roman"/>
          <w:color w:val="000000"/>
          <w:sz w:val="20"/>
          <w:szCs w:val="20"/>
        </w:rPr>
        <w:t xml:space="preserve">e supplemental executive defined benefit retirement plans. During Fiscal 2020 and Fiscal 2019, the payments the Company made with respect to the supplemental executive defined benefit retirement plans were not material. The total fair value of the grantor </w:t>
      </w:r>
      <w:r>
        <w:rPr>
          <w:rFonts w:eastAsia="Times New Roman"/>
          <w:color w:val="000000"/>
          <w:sz w:val="20"/>
          <w:szCs w:val="20"/>
        </w:rPr>
        <w:t>trust investment assets associated with the supplemental executive defined benefit retirement plans, which are included in “Other assets” on the Consolidated Balance Sheets, totaled $44 and $35 at September 30, 2021 and 2020, respectively.</w:t>
      </w:r>
    </w:p>
    <w:p w:rsidR="00000000" w:rsidRDefault="00DF5BC2">
      <w:pPr>
        <w:jc w:val="center"/>
        <w:divId w:val="675235064"/>
        <w:rPr>
          <w:rFonts w:eastAsia="Times New Roman"/>
        </w:rPr>
      </w:pPr>
      <w:r>
        <w:rPr>
          <w:rFonts w:eastAsia="Times New Roman"/>
          <w:color w:val="000000"/>
          <w:sz w:val="20"/>
          <w:szCs w:val="20"/>
        </w:rPr>
        <w:t>F-37</w:t>
      </w:r>
    </w:p>
    <w:p w:rsidR="00000000" w:rsidRDefault="00DF5BC2">
      <w:pPr>
        <w:rPr>
          <w:rFonts w:eastAsia="Times New Roman"/>
        </w:rPr>
      </w:pPr>
      <w:r>
        <w:rPr>
          <w:rFonts w:eastAsia="Times New Roman"/>
        </w:rPr>
        <w:pict>
          <v:rect id="_x0000_i1151" style="width:0;height:1.5pt" o:hralign="center" o:hrstd="t" o:hr="t" fillcolor="#a0a0a0" stroked="f"/>
        </w:pict>
      </w:r>
    </w:p>
    <w:p w:rsidR="00000000" w:rsidRDefault="00DF5BC2">
      <w:pPr>
        <w:divId w:val="798642745"/>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62026766"/>
        <w:rPr>
          <w:rFonts w:eastAsia="Times New Roman"/>
        </w:rPr>
      </w:pPr>
      <w:r>
        <w:rPr>
          <w:rFonts w:eastAsia="Times New Roman"/>
          <w:b/>
          <w:bCs/>
          <w:color w:val="000000"/>
          <w:sz w:val="20"/>
          <w:szCs w:val="20"/>
        </w:rPr>
        <w:t>UGI Corporation and Subsidiaries</w:t>
      </w:r>
    </w:p>
    <w:p w:rsidR="00000000" w:rsidRDefault="00DF5BC2">
      <w:pPr>
        <w:divId w:val="1428886624"/>
        <w:rPr>
          <w:rFonts w:eastAsia="Times New Roman"/>
        </w:rPr>
      </w:pPr>
      <w:r>
        <w:rPr>
          <w:rFonts w:eastAsia="Times New Roman"/>
          <w:b/>
          <w:bCs/>
          <w:color w:val="000000"/>
          <w:sz w:val="20"/>
          <w:szCs w:val="20"/>
        </w:rPr>
        <w:t>Notes to Consolidated Financial Statements</w:t>
      </w:r>
    </w:p>
    <w:p w:rsidR="00000000" w:rsidRDefault="00DF5BC2">
      <w:pPr>
        <w:divId w:val="1188566707"/>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1542860021"/>
        <w:rPr>
          <w:rFonts w:eastAsia="Times New Roman"/>
        </w:rPr>
      </w:pPr>
      <w:r>
        <w:rPr>
          <w:rFonts w:eastAsia="Times New Roman"/>
          <w:b/>
          <w:bCs/>
          <w:color w:val="000000"/>
          <w:sz w:val="20"/>
          <w:szCs w:val="20"/>
        </w:rPr>
        <w:t>U.S. Pension Plans’ Assets</w:t>
      </w:r>
    </w:p>
    <w:p w:rsidR="00000000" w:rsidRDefault="00DF5BC2">
      <w:pPr>
        <w:jc w:val="both"/>
        <w:divId w:val="1168668619"/>
        <w:rPr>
          <w:rFonts w:eastAsia="Times New Roman"/>
        </w:rPr>
      </w:pPr>
      <w:r>
        <w:rPr>
          <w:rFonts w:eastAsia="Times New Roman"/>
          <w:color w:val="000000"/>
          <w:sz w:val="20"/>
          <w:szCs w:val="20"/>
        </w:rPr>
        <w:t xml:space="preserve">The assets of the U.S. Pension Plans are held in trust. The investment policies and asset allocation strategies for the assets in these trusts are determined by an investment committee comprising certain members of UGI’s senior </w:t>
      </w:r>
      <w:r>
        <w:rPr>
          <w:rFonts w:eastAsia="Times New Roman"/>
          <w:color w:val="000000"/>
          <w:sz w:val="20"/>
          <w:szCs w:val="20"/>
        </w:rPr>
        <w:t>management. The overall investment objective is to minimize projected funded status volatility by more closely aligning the duration of the U.S. Pension Plans’ fixed income portfolio to the duration of its liabilities. The proportion of plan assets allocat</w:t>
      </w:r>
      <w:r>
        <w:rPr>
          <w:rFonts w:eastAsia="Times New Roman"/>
          <w:color w:val="000000"/>
          <w:sz w:val="20"/>
          <w:szCs w:val="20"/>
        </w:rPr>
        <w:t xml:space="preserve">ed to fixed income investments will increase as the funded status increases. Investments are made principally in common collective trust funds that consist of equity index investments, bond index investments and short-term investments, and, to a much less </w:t>
      </w:r>
      <w:r>
        <w:rPr>
          <w:rFonts w:eastAsia="Times New Roman"/>
          <w:color w:val="000000"/>
          <w:sz w:val="20"/>
          <w:szCs w:val="20"/>
        </w:rPr>
        <w:t xml:space="preserve">extent, UGI Common Stock. </w:t>
      </w:r>
    </w:p>
    <w:p w:rsidR="00000000" w:rsidRDefault="00DF5BC2">
      <w:pPr>
        <w:jc w:val="both"/>
        <w:divId w:val="1664360070"/>
        <w:rPr>
          <w:rFonts w:eastAsia="Times New Roman"/>
        </w:rPr>
      </w:pPr>
      <w:r>
        <w:rPr>
          <w:rFonts w:eastAsia="Times New Roman"/>
          <w:color w:val="000000"/>
          <w:sz w:val="20"/>
          <w:szCs w:val="20"/>
        </w:rPr>
        <w:t>The targets and actual allocations for the U.S. Pension Plans’ trust assets at September 30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681"/>
        <w:gridCol w:w="36"/>
        <w:gridCol w:w="42"/>
        <w:gridCol w:w="844"/>
        <w:gridCol w:w="187"/>
        <w:gridCol w:w="36"/>
        <w:gridCol w:w="36"/>
        <w:gridCol w:w="36"/>
        <w:gridCol w:w="42"/>
        <w:gridCol w:w="774"/>
        <w:gridCol w:w="187"/>
        <w:gridCol w:w="36"/>
        <w:gridCol w:w="36"/>
        <w:gridCol w:w="36"/>
        <w:gridCol w:w="42"/>
        <w:gridCol w:w="774"/>
        <w:gridCol w:w="188"/>
        <w:gridCol w:w="37"/>
        <w:gridCol w:w="36"/>
        <w:gridCol w:w="36"/>
        <w:gridCol w:w="42"/>
        <w:gridCol w:w="846"/>
        <w:gridCol w:w="187"/>
        <w:gridCol w:w="36"/>
        <w:gridCol w:w="36"/>
      </w:tblGrid>
      <w:tr w:rsidR="00000000">
        <w:trPr>
          <w:divId w:val="1048723930"/>
        </w:trPr>
        <w:tc>
          <w:tcPr>
            <w:tcW w:w="50" w:type="pct"/>
            <w:vAlign w:val="center"/>
            <w:hideMark/>
          </w:tcPr>
          <w:p w:rsidR="00000000" w:rsidRDefault="00DF5BC2">
            <w:pPr>
              <w:jc w:val="both"/>
              <w:rPr>
                <w:rFonts w:eastAsia="Times New Roman"/>
              </w:rPr>
            </w:pPr>
          </w:p>
        </w:tc>
        <w:tc>
          <w:tcPr>
            <w:tcW w:w="22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Actual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Target Asset Allocation (b)</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vAlign w:val="center"/>
            <w:hideMark/>
          </w:tcPr>
          <w:p w:rsidR="00000000" w:rsidRDefault="00DF5BC2">
            <w:pPr>
              <w:spacing w:after="100"/>
              <w:jc w:val="center"/>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Equity investments: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U.S. equities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Non-U.S. equities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Global equities (a)</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Fixed income funds &amp; cash equivalents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Alternative investments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r>
      <w:tr w:rsidR="00000000">
        <w:trPr>
          <w:divId w:val="1048723930"/>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F5BC2">
            <w:pPr>
              <w:spacing w:after="100"/>
              <w:jc w:val="right"/>
              <w:rPr>
                <w:rFonts w:eastAsia="Times New Roman"/>
              </w:rPr>
            </w:pPr>
          </w:p>
        </w:tc>
        <w:tc>
          <w:tcPr>
            <w:tcW w:w="0" w:type="auto"/>
            <w:vAlign w:val="center"/>
            <w:hideMark/>
          </w:tcPr>
          <w:p w:rsidR="00000000" w:rsidRDefault="00DF5BC2">
            <w:pPr>
              <w:spacing w:after="100"/>
              <w:rPr>
                <w:rFonts w:eastAsia="Times New Roman"/>
                <w:sz w:val="20"/>
                <w:szCs w:val="20"/>
              </w:rPr>
            </w:pPr>
          </w:p>
        </w:tc>
      </w:tr>
    </w:tbl>
    <w:p w:rsidR="00000000" w:rsidRDefault="00DF5BC2">
      <w:pPr>
        <w:divId w:val="1743526549"/>
        <w:rPr>
          <w:rFonts w:eastAsia="Times New Roman"/>
        </w:rPr>
      </w:pPr>
      <w:r>
        <w:rPr>
          <w:rFonts w:eastAsia="Times New Roman"/>
          <w:color w:val="000000"/>
          <w:sz w:val="20"/>
          <w:szCs w:val="20"/>
        </w:rPr>
        <w:t>(a)    Comprises investment funds that consist of a mix of U.S. and Non-U.S. equity securities.</w:t>
      </w:r>
    </w:p>
    <w:p w:rsidR="00000000" w:rsidRDefault="00DF5BC2">
      <w:pPr>
        <w:divId w:val="1392998722"/>
        <w:rPr>
          <w:rFonts w:eastAsia="Times New Roman"/>
        </w:rPr>
      </w:pPr>
      <w:r>
        <w:rPr>
          <w:rFonts w:eastAsia="Times New Roman"/>
          <w:color w:val="000000"/>
          <w:sz w:val="20"/>
          <w:szCs w:val="20"/>
        </w:rPr>
        <w:t>(b)    There is a permitted range for the allocation of the trust assets for the U.S. Pension Plans, excludin</w:t>
      </w:r>
      <w:r>
        <w:rPr>
          <w:rFonts w:eastAsia="Times New Roman"/>
          <w:color w:val="000000"/>
          <w:sz w:val="20"/>
          <w:szCs w:val="20"/>
        </w:rPr>
        <w:t>g the defined benefit pension plan for Mountaineer employees, which is 5% less than and greater than the target allocation.</w:t>
      </w:r>
    </w:p>
    <w:tbl>
      <w:tblPr>
        <w:tblW w:w="4941" w:type="pct"/>
        <w:tblCellMar>
          <w:top w:w="15" w:type="dxa"/>
          <w:left w:w="15" w:type="dxa"/>
          <w:bottom w:w="15" w:type="dxa"/>
          <w:right w:w="15" w:type="dxa"/>
        </w:tblCellMar>
        <w:tblLook w:val="04A0" w:firstRow="1" w:lastRow="0" w:firstColumn="1" w:lastColumn="0" w:noHBand="0" w:noVBand="1"/>
      </w:tblPr>
      <w:tblGrid>
        <w:gridCol w:w="58"/>
        <w:gridCol w:w="3615"/>
        <w:gridCol w:w="36"/>
        <w:gridCol w:w="58"/>
        <w:gridCol w:w="943"/>
        <w:gridCol w:w="36"/>
        <w:gridCol w:w="36"/>
        <w:gridCol w:w="36"/>
        <w:gridCol w:w="36"/>
        <w:gridCol w:w="41"/>
        <w:gridCol w:w="943"/>
        <w:gridCol w:w="36"/>
        <w:gridCol w:w="36"/>
        <w:gridCol w:w="36"/>
        <w:gridCol w:w="36"/>
        <w:gridCol w:w="41"/>
        <w:gridCol w:w="944"/>
        <w:gridCol w:w="36"/>
        <w:gridCol w:w="36"/>
        <w:gridCol w:w="36"/>
        <w:gridCol w:w="36"/>
        <w:gridCol w:w="43"/>
        <w:gridCol w:w="1018"/>
        <w:gridCol w:w="36"/>
      </w:tblGrid>
      <w:tr w:rsidR="00000000">
        <w:trPr>
          <w:divId w:val="1903179481"/>
        </w:trPr>
        <w:tc>
          <w:tcPr>
            <w:tcW w:w="50" w:type="pct"/>
            <w:vAlign w:val="center"/>
            <w:hideMark/>
          </w:tcPr>
          <w:p w:rsidR="00000000" w:rsidRDefault="00DF5BC2">
            <w:pPr>
              <w:rPr>
                <w:rFonts w:eastAsia="Times New Roman"/>
              </w:rPr>
            </w:pPr>
          </w:p>
        </w:tc>
        <w:tc>
          <w:tcPr>
            <w:tcW w:w="221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3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903179481"/>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903179481"/>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903179481"/>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divId w:val="1903179481"/>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903179481"/>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903179481"/>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divId w:val="914323238"/>
        <w:rPr>
          <w:rFonts w:eastAsia="Times New Roman"/>
        </w:rPr>
      </w:pPr>
    </w:p>
    <w:p w:rsidR="00000000" w:rsidRDefault="00DF5BC2">
      <w:pPr>
        <w:jc w:val="center"/>
        <w:divId w:val="480735322"/>
        <w:rPr>
          <w:rFonts w:eastAsia="Times New Roman"/>
        </w:rPr>
      </w:pPr>
      <w:r>
        <w:rPr>
          <w:rFonts w:eastAsia="Times New Roman"/>
          <w:color w:val="000000"/>
          <w:sz w:val="20"/>
          <w:szCs w:val="20"/>
        </w:rPr>
        <w:t>F-38</w:t>
      </w:r>
    </w:p>
    <w:p w:rsidR="00000000" w:rsidRDefault="00DF5BC2">
      <w:pPr>
        <w:rPr>
          <w:rFonts w:eastAsia="Times New Roman"/>
        </w:rPr>
      </w:pPr>
      <w:r>
        <w:rPr>
          <w:rFonts w:eastAsia="Times New Roman"/>
        </w:rPr>
        <w:pict>
          <v:rect id="_x0000_i1152" style="width:0;height:1.5pt" o:hralign="center" o:hrstd="t" o:hr="t" fillcolor="#a0a0a0" stroked="f"/>
        </w:pict>
      </w:r>
    </w:p>
    <w:p w:rsidR="00000000" w:rsidRDefault="00DF5BC2">
      <w:pPr>
        <w:divId w:val="1108357343"/>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772359549"/>
        <w:rPr>
          <w:rFonts w:eastAsia="Times New Roman"/>
        </w:rPr>
      </w:pPr>
      <w:r>
        <w:rPr>
          <w:rFonts w:eastAsia="Times New Roman"/>
          <w:b/>
          <w:bCs/>
          <w:color w:val="000000"/>
          <w:sz w:val="20"/>
          <w:szCs w:val="20"/>
        </w:rPr>
        <w:t>UGI Corporation and Subsidiaries</w:t>
      </w:r>
    </w:p>
    <w:p w:rsidR="00000000" w:rsidRDefault="00DF5BC2">
      <w:pPr>
        <w:divId w:val="723986495"/>
        <w:rPr>
          <w:rFonts w:eastAsia="Times New Roman"/>
        </w:rPr>
      </w:pPr>
      <w:r>
        <w:rPr>
          <w:rFonts w:eastAsia="Times New Roman"/>
          <w:b/>
          <w:bCs/>
          <w:color w:val="000000"/>
          <w:sz w:val="20"/>
          <w:szCs w:val="20"/>
        </w:rPr>
        <w:t>Notes to Consolidated Financial Statements</w:t>
      </w:r>
    </w:p>
    <w:p w:rsidR="00000000" w:rsidRDefault="00DF5BC2">
      <w:pPr>
        <w:divId w:val="330984096"/>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jc w:val="both"/>
        <w:rPr>
          <w:rFonts w:eastAsia="Times New Roman"/>
        </w:rPr>
      </w:pPr>
      <w:r>
        <w:rPr>
          <w:rFonts w:eastAsia="Times New Roman"/>
          <w:color w:val="000000"/>
          <w:sz w:val="20"/>
          <w:szCs w:val="20"/>
        </w:rPr>
        <w:t>Common collective trust funds in the U.S. Pension Plans primarily include investments in U.S., Non-U.S. and global (a mix of U.S. and Non-U.S.) equities, fixed income and short-term investments. The fair values of common collective trust funds a</w:t>
      </w:r>
      <w:r>
        <w:rPr>
          <w:rFonts w:eastAsia="Times New Roman"/>
          <w:color w:val="000000"/>
          <w:sz w:val="20"/>
          <w:szCs w:val="20"/>
        </w:rPr>
        <w:t xml:space="preserve">nd cash equivalents are valued at the NAV of units of the collective trusts. The NAVs, as provided by the trustee, are used as a practical expedient to estimate fair value based on the fair values of the underlying investments held by the funds less their </w:t>
      </w:r>
      <w:r>
        <w:rPr>
          <w:rFonts w:eastAsia="Times New Roman"/>
          <w:color w:val="000000"/>
          <w:sz w:val="20"/>
          <w:szCs w:val="20"/>
        </w:rPr>
        <w:t>liabilities. The fair values of the U.S. Pension Plans trust assets by asset class as of September 30,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6000"/>
        <w:gridCol w:w="37"/>
        <w:gridCol w:w="120"/>
        <w:gridCol w:w="921"/>
        <w:gridCol w:w="36"/>
        <w:gridCol w:w="36"/>
        <w:gridCol w:w="36"/>
        <w:gridCol w:w="36"/>
        <w:gridCol w:w="120"/>
        <w:gridCol w:w="888"/>
        <w:gridCol w:w="36"/>
      </w:tblGrid>
      <w:tr w:rsidR="00000000">
        <w:trPr>
          <w:divId w:val="379785738"/>
        </w:trPr>
        <w:tc>
          <w:tcPr>
            <w:tcW w:w="50" w:type="pct"/>
            <w:vAlign w:val="center"/>
            <w:hideMark/>
          </w:tcPr>
          <w:p w:rsidR="00000000" w:rsidRDefault="00DF5BC2">
            <w:pPr>
              <w:jc w:val="both"/>
              <w:rPr>
                <w:rFonts w:eastAsia="Times New Roman"/>
              </w:rPr>
            </w:pPr>
          </w:p>
        </w:tc>
        <w:tc>
          <w:tcPr>
            <w:tcW w:w="363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3797857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U.S. Pension Plans: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Domestic equity investments: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UGI Corporation Common Stock</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797857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Total domestic equity investments (a)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79785738"/>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Common collective trust funds: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3797857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U.S. equity index investments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797857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Non-U.S. equity index investments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797857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Global equity index investments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797857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Bond index investments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797857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r>
              <w:rPr>
                <w:rFonts w:eastAsia="Times New Roman"/>
                <w:color w:val="000000"/>
                <w:sz w:val="20"/>
                <w:szCs w:val="20"/>
              </w:rPr>
              <w:t> Cash equivalents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797857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Total common collective trust funds (b)</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797857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Alternative investments (b)</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3797857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tbl>
      <w:tblPr>
        <w:tblW w:w="4941" w:type="pct"/>
        <w:tblCellMar>
          <w:top w:w="15" w:type="dxa"/>
          <w:left w:w="15" w:type="dxa"/>
          <w:bottom w:w="15" w:type="dxa"/>
          <w:right w:w="15" w:type="dxa"/>
        </w:tblCellMar>
        <w:tblLook w:val="04A0" w:firstRow="1" w:lastRow="0" w:firstColumn="1" w:lastColumn="0" w:noHBand="0" w:noVBand="1"/>
      </w:tblPr>
      <w:tblGrid>
        <w:gridCol w:w="144"/>
        <w:gridCol w:w="2616"/>
        <w:gridCol w:w="144"/>
        <w:gridCol w:w="144"/>
        <w:gridCol w:w="965"/>
        <w:gridCol w:w="144"/>
        <w:gridCol w:w="144"/>
        <w:gridCol w:w="144"/>
        <w:gridCol w:w="144"/>
        <w:gridCol w:w="144"/>
        <w:gridCol w:w="965"/>
        <w:gridCol w:w="144"/>
        <w:gridCol w:w="144"/>
        <w:gridCol w:w="144"/>
        <w:gridCol w:w="144"/>
        <w:gridCol w:w="144"/>
        <w:gridCol w:w="965"/>
        <w:gridCol w:w="144"/>
        <w:gridCol w:w="144"/>
        <w:gridCol w:w="144"/>
        <w:gridCol w:w="144"/>
        <w:gridCol w:w="144"/>
        <w:gridCol w:w="940"/>
        <w:gridCol w:w="144"/>
        <w:gridCol w:w="144"/>
        <w:gridCol w:w="144"/>
        <w:gridCol w:w="144"/>
        <w:gridCol w:w="144"/>
        <w:gridCol w:w="965"/>
        <w:gridCol w:w="144"/>
      </w:tblGrid>
      <w:tr w:rsidR="00000000">
        <w:tc>
          <w:tcPr>
            <w:tcW w:w="50" w:type="pct"/>
            <w:vAlign w:val="center"/>
            <w:hideMark/>
          </w:tcPr>
          <w:p w:rsidR="00000000" w:rsidRDefault="00DF5BC2">
            <w:pPr>
              <w:rPr>
                <w:rFonts w:eastAsia="Times New Roman"/>
              </w:rPr>
            </w:pPr>
          </w:p>
        </w:tc>
        <w:tc>
          <w:tcPr>
            <w:tcW w:w="159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7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divId w:val="25371913"/>
        <w:rPr>
          <w:rFonts w:eastAsia="Times New Roman"/>
        </w:rPr>
      </w:pPr>
      <w:r>
        <w:rPr>
          <w:rFonts w:eastAsia="Times New Roman"/>
          <w:color w:val="000000"/>
          <w:sz w:val="20"/>
          <w:szCs w:val="20"/>
        </w:rPr>
        <w:t>(a)    </w:t>
      </w:r>
      <w:r>
        <w:rPr>
          <w:rFonts w:eastAsia="Times New Roman"/>
          <w:color w:val="000000"/>
          <w:sz w:val="20"/>
          <w:szCs w:val="20"/>
        </w:rPr>
        <w:t>Level 1 investments within the fair value hierarchy</w:t>
      </w:r>
    </w:p>
    <w:p w:rsidR="00000000" w:rsidRDefault="00DF5BC2">
      <w:pPr>
        <w:divId w:val="1554655254"/>
        <w:rPr>
          <w:rFonts w:eastAsia="Times New Roman"/>
        </w:rPr>
      </w:pPr>
      <w:r>
        <w:rPr>
          <w:rFonts w:eastAsia="Times New Roman"/>
          <w:color w:val="000000"/>
          <w:sz w:val="20"/>
          <w:szCs w:val="20"/>
        </w:rPr>
        <w:t>(b)    Assets measured at NAV and therefore excluded from the fair value hierarchy.</w:t>
      </w:r>
    </w:p>
    <w:p w:rsidR="00000000" w:rsidRDefault="00DF5BC2">
      <w:pPr>
        <w:ind w:hanging="360"/>
        <w:divId w:val="1908804209"/>
        <w:rPr>
          <w:rFonts w:eastAsia="Times New Roman"/>
        </w:rPr>
      </w:pPr>
    </w:p>
    <w:p w:rsidR="00000000" w:rsidRDefault="00DF5BC2">
      <w:pPr>
        <w:jc w:val="both"/>
        <w:rPr>
          <w:rFonts w:eastAsia="Times New Roman"/>
        </w:rPr>
      </w:pPr>
      <w:r>
        <w:rPr>
          <w:rFonts w:eastAsia="Times New Roman"/>
          <w:color w:val="000000"/>
          <w:sz w:val="20"/>
          <w:szCs w:val="20"/>
        </w:rPr>
        <w:t>The expected long-term rates of return on U.S. Pension Plans’ trust assets have been developed using a best estimate o</w:t>
      </w:r>
      <w:r>
        <w:rPr>
          <w:rFonts w:eastAsia="Times New Roman"/>
          <w:color w:val="000000"/>
          <w:sz w:val="20"/>
          <w:szCs w:val="20"/>
        </w:rPr>
        <w:t>f expected returns, volatilities and correlations for each asset class. The estimates are based on historical capital market performance data and future expectations provided by independent consultants. Future expectations are determined by using simulatio</w:t>
      </w:r>
      <w:r>
        <w:rPr>
          <w:rFonts w:eastAsia="Times New Roman"/>
          <w:color w:val="000000"/>
          <w:sz w:val="20"/>
          <w:szCs w:val="20"/>
        </w:rPr>
        <w:t>ns that provide a wide range of scenarios of future market performance. The market conditions in these simulations consider the long-term relationships between equities and fixed income as well as current market conditions at the start of the simulation. T</w:t>
      </w:r>
      <w:r>
        <w:rPr>
          <w:rFonts w:eastAsia="Times New Roman"/>
          <w:color w:val="000000"/>
          <w:sz w:val="20"/>
          <w:szCs w:val="20"/>
        </w:rPr>
        <w:t>he expected rate begins with a risk-free rate of return with other factors being added such as inflation, duration, credit spreads and equity risk premiums. The rates of return derived from this process are applied to our target asset allocation to develop</w:t>
      </w:r>
      <w:r>
        <w:rPr>
          <w:rFonts w:eastAsia="Times New Roman"/>
          <w:color w:val="000000"/>
          <w:sz w:val="20"/>
          <w:szCs w:val="20"/>
        </w:rPr>
        <w:t xml:space="preserve"> a reasonable return assumption.</w:t>
      </w:r>
    </w:p>
    <w:p w:rsidR="00000000" w:rsidRDefault="00DF5BC2">
      <w:pPr>
        <w:jc w:val="both"/>
        <w:divId w:val="300309259"/>
        <w:rPr>
          <w:rFonts w:eastAsia="Times New Roman"/>
        </w:rPr>
      </w:pPr>
      <w:r>
        <w:rPr>
          <w:rFonts w:eastAsia="Times New Roman"/>
          <w:b/>
          <w:bCs/>
          <w:color w:val="000000"/>
          <w:sz w:val="20"/>
          <w:szCs w:val="20"/>
        </w:rPr>
        <w:t>Defined Contribution Plans</w:t>
      </w:r>
    </w:p>
    <w:p w:rsidR="00000000" w:rsidRDefault="00DF5BC2">
      <w:pPr>
        <w:jc w:val="both"/>
        <w:divId w:val="1732265391"/>
        <w:rPr>
          <w:rFonts w:eastAsia="Times New Roman"/>
        </w:rPr>
      </w:pPr>
      <w:r>
        <w:rPr>
          <w:rFonts w:eastAsia="Times New Roman"/>
          <w:color w:val="000000"/>
          <w:sz w:val="20"/>
          <w:szCs w:val="20"/>
        </w:rPr>
        <w:t>We sponsor 401(k) savings plans for eligible employees of UGI and certain of UGI’s domestic subsidiaries. Generally, participants in these plans may contribute a portion of their compensation on e</w:t>
      </w:r>
      <w:r>
        <w:rPr>
          <w:rFonts w:eastAsia="Times New Roman"/>
          <w:color w:val="000000"/>
          <w:sz w:val="20"/>
          <w:szCs w:val="20"/>
        </w:rPr>
        <w:t>ither a before-tax basis, or on both a before-tax and after-tax basis. These plans also provide for employer matching contributions at various rates. The cost of benefits under the savings plans totaled $21 in Fiscal 2021, $21 in Fiscal 2020 and $19 in Fis</w:t>
      </w:r>
      <w:r>
        <w:rPr>
          <w:rFonts w:eastAsia="Times New Roman"/>
          <w:color w:val="000000"/>
          <w:sz w:val="20"/>
          <w:szCs w:val="20"/>
        </w:rPr>
        <w:t>cal 2019. The Company also sponsors certain nonqualified supplemental defined contribution executive retirement plans. These plans generally provide supplemental benefits to certain executives that would otherwise be provided under retirement plans but are</w:t>
      </w:r>
      <w:r>
        <w:rPr>
          <w:rFonts w:eastAsia="Times New Roman"/>
          <w:color w:val="000000"/>
          <w:sz w:val="20"/>
          <w:szCs w:val="20"/>
        </w:rPr>
        <w:t xml:space="preserve"> prohibited due to limitations imposed by the IRC. The Company makes payments to self-directed grantor trusts with respect to these supplemental defined contribution plans. Such payments during Fiscal 2021, Fiscal 2020 and Fiscal 2019 were not material. At</w:t>
      </w:r>
      <w:r>
        <w:rPr>
          <w:rFonts w:eastAsia="Times New Roman"/>
          <w:color w:val="000000"/>
          <w:sz w:val="20"/>
          <w:szCs w:val="20"/>
        </w:rPr>
        <w:t xml:space="preserve"> September 30, 2021 and 2020, the total fair values of these grantor trust investment assets, which amounts are included in “Other assets” on the Consolidated Balance Sheets, were $9 and $7, respectively.</w:t>
      </w:r>
    </w:p>
    <w:p w:rsidR="00000000" w:rsidRDefault="00DF5BC2">
      <w:pPr>
        <w:jc w:val="both"/>
        <w:rPr>
          <w:rFonts w:eastAsia="Times New Roman"/>
        </w:rPr>
      </w:pPr>
    </w:p>
    <w:p w:rsidR="00000000" w:rsidRDefault="00DF5BC2">
      <w:pPr>
        <w:jc w:val="center"/>
        <w:divId w:val="1951932015"/>
        <w:rPr>
          <w:rFonts w:eastAsia="Times New Roman"/>
        </w:rPr>
      </w:pPr>
      <w:r>
        <w:rPr>
          <w:rFonts w:eastAsia="Times New Roman"/>
          <w:color w:val="000000"/>
          <w:sz w:val="20"/>
          <w:szCs w:val="20"/>
        </w:rPr>
        <w:t>F-39</w:t>
      </w:r>
    </w:p>
    <w:p w:rsidR="00000000" w:rsidRDefault="00DF5BC2">
      <w:pPr>
        <w:rPr>
          <w:rFonts w:eastAsia="Times New Roman"/>
        </w:rPr>
      </w:pPr>
      <w:r>
        <w:rPr>
          <w:rFonts w:eastAsia="Times New Roman"/>
        </w:rPr>
        <w:pict>
          <v:rect id="_x0000_i1153" style="width:0;height:1.5pt" o:hralign="center" o:hrstd="t" o:hr="t" fillcolor="#a0a0a0" stroked="f"/>
        </w:pict>
      </w:r>
    </w:p>
    <w:p w:rsidR="00000000" w:rsidRDefault="00DF5BC2">
      <w:pPr>
        <w:divId w:val="273051498"/>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406142581"/>
        <w:rPr>
          <w:rFonts w:eastAsia="Times New Roman"/>
        </w:rPr>
      </w:pPr>
      <w:r>
        <w:rPr>
          <w:rFonts w:eastAsia="Times New Roman"/>
          <w:b/>
          <w:bCs/>
          <w:color w:val="000000"/>
          <w:sz w:val="20"/>
          <w:szCs w:val="20"/>
        </w:rPr>
        <w:t>UGI Corporation and Subsidiaries</w:t>
      </w:r>
    </w:p>
    <w:p w:rsidR="00000000" w:rsidRDefault="00DF5BC2">
      <w:pPr>
        <w:divId w:val="2116902821"/>
        <w:rPr>
          <w:rFonts w:eastAsia="Times New Roman"/>
        </w:rPr>
      </w:pPr>
      <w:r>
        <w:rPr>
          <w:rFonts w:eastAsia="Times New Roman"/>
          <w:b/>
          <w:bCs/>
          <w:color w:val="000000"/>
          <w:sz w:val="20"/>
          <w:szCs w:val="20"/>
        </w:rPr>
        <w:t>Notes to Consolidated Financial Statements</w:t>
      </w:r>
    </w:p>
    <w:p w:rsidR="00000000" w:rsidRDefault="00DF5BC2">
      <w:pPr>
        <w:divId w:val="1721594780"/>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b/>
          <w:bCs/>
          <w:color w:val="000000"/>
          <w:sz w:val="20"/>
          <w:szCs w:val="20"/>
          <w:u w:val="single"/>
        </w:rPr>
        <w:t>Note 9 — Utility Regulatory Asset</w:t>
      </w:r>
      <w:r>
        <w:rPr>
          <w:rFonts w:eastAsia="Times New Roman"/>
          <w:b/>
          <w:bCs/>
          <w:color w:val="000000"/>
          <w:sz w:val="20"/>
          <w:szCs w:val="20"/>
          <w:u w:val="single"/>
        </w:rPr>
        <w:t xml:space="preserve">s and Liabilities and Regulatory Matters </w:t>
      </w:r>
    </w:p>
    <w:p w:rsidR="00000000" w:rsidRDefault="00DF5BC2">
      <w:pPr>
        <w:jc w:val="both"/>
        <w:divId w:val="355928680"/>
        <w:rPr>
          <w:rFonts w:eastAsia="Times New Roman"/>
        </w:rPr>
      </w:pPr>
      <w:r>
        <w:rPr>
          <w:rFonts w:eastAsia="Times New Roman"/>
          <w:color w:val="000000"/>
          <w:sz w:val="20"/>
          <w:szCs w:val="20"/>
        </w:rPr>
        <w:t>The following regulatory assets and liabilities associated with our UGI Utilities reportable segment are included in our Consolidated Balance Sheets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trPr>
          <w:divId w:val="2134402001"/>
        </w:trPr>
        <w:tc>
          <w:tcPr>
            <w:tcW w:w="50" w:type="pct"/>
            <w:vAlign w:val="center"/>
            <w:hideMark/>
          </w:tcPr>
          <w:p w:rsidR="00000000" w:rsidRDefault="00DF5BC2">
            <w:pPr>
              <w:jc w:val="both"/>
              <w:rPr>
                <w:rFonts w:eastAsia="Times New Roman"/>
              </w:rPr>
            </w:pPr>
          </w:p>
        </w:tc>
        <w:tc>
          <w:tcPr>
            <w:tcW w:w="363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2134402001"/>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2134402001"/>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Regulatory assets (a):</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134402001"/>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Income taxes recoverable</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Underfunded pension and postretirement plans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Environmental costs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Deferred fuel and power costs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Removal costs, net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regulatory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Regulatory liabilities (a):</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2134402001"/>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Postretirement benefit overcollections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134402001"/>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Deferred fuel and power refunds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State income tax benefits — distribution system repairs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PAPUC Temporary Rates Order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Excess federal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134402001"/>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regulatory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 xml:space="preserve">(a)    Current regulatory assets are recorded in “Other current assets” </w:t>
      </w:r>
      <w:r>
        <w:rPr>
          <w:rFonts w:eastAsia="Times New Roman"/>
          <w:color w:val="000000"/>
          <w:sz w:val="20"/>
          <w:szCs w:val="20"/>
        </w:rPr>
        <w:t>on the Consolidated Balance Sheets. Regulatory liabilities are recorded in “Other current liabilities” and “Other noncurrent liabilities” on the Consolidated Balance Sheets.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Other than removal costs, UGI Utilities currently does not recover a rate of return on the regulatory assets included in the table above.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Income taxes recoverable</w:t>
      </w:r>
      <w:r>
        <w:rPr>
          <w:rFonts w:eastAsia="Times New Roman"/>
          <w:b/>
          <w:bCs/>
          <w:color w:val="000000"/>
          <w:sz w:val="20"/>
          <w:szCs w:val="20"/>
        </w:rPr>
        <w:t>.</w:t>
      </w:r>
      <w:r>
        <w:rPr>
          <w:rFonts w:eastAsia="Times New Roman"/>
          <w:color w:val="000000"/>
          <w:sz w:val="20"/>
          <w:szCs w:val="20"/>
        </w:rPr>
        <w:t xml:space="preserve"> This regulatory asset is the result of recording deferred tax liabilities pertaining to te</w:t>
      </w:r>
      <w:r>
        <w:rPr>
          <w:rFonts w:eastAsia="Times New Roman"/>
          <w:color w:val="000000"/>
          <w:sz w:val="20"/>
          <w:szCs w:val="20"/>
        </w:rPr>
        <w:t>mporary tax differences principally as a result of the pass through to ratepayers of the tax benefit on accelerated tax depreciation for state income tax purposes, and the flow through of accelerated tax depreciation for federal income tax purposes for cer</w:t>
      </w:r>
      <w:r>
        <w:rPr>
          <w:rFonts w:eastAsia="Times New Roman"/>
          <w:color w:val="000000"/>
          <w:sz w:val="20"/>
          <w:szCs w:val="20"/>
        </w:rPr>
        <w:t>tain years prior to 1981. These deferred taxes have been reduced by deferred tax assets pertaining to utility deferred investment tax credits. UGI Utilities has recorded regulatory income tax assets related to these deferred tax liabilities representing fu</w:t>
      </w:r>
      <w:r>
        <w:rPr>
          <w:rFonts w:eastAsia="Times New Roman"/>
          <w:color w:val="000000"/>
          <w:sz w:val="20"/>
          <w:szCs w:val="20"/>
        </w:rPr>
        <w:t>ture revenues recoverable through the ratemaking process over the average remaining depreciable lives of the associated property ranging from 1 to approximately 65 years.</w:t>
      </w:r>
    </w:p>
    <w:p w:rsidR="00000000" w:rsidRDefault="00DF5BC2">
      <w:pPr>
        <w:jc w:val="both"/>
        <w:divId w:val="2124684709"/>
        <w:rPr>
          <w:rFonts w:eastAsia="Times New Roman"/>
        </w:rPr>
      </w:pPr>
      <w:r>
        <w:rPr>
          <w:rFonts w:eastAsia="Times New Roman"/>
          <w:b/>
          <w:bCs/>
          <w:i/>
          <w:iCs/>
          <w:color w:val="000000"/>
          <w:sz w:val="20"/>
          <w:szCs w:val="20"/>
        </w:rPr>
        <w:t>Underfunded pension and other postretirement plans</w:t>
      </w:r>
      <w:r>
        <w:rPr>
          <w:rFonts w:eastAsia="Times New Roman"/>
          <w:b/>
          <w:bCs/>
          <w:color w:val="000000"/>
          <w:sz w:val="20"/>
          <w:szCs w:val="20"/>
        </w:rPr>
        <w:t>.</w:t>
      </w:r>
      <w:r>
        <w:rPr>
          <w:rFonts w:eastAsia="Times New Roman"/>
          <w:color w:val="000000"/>
          <w:sz w:val="20"/>
          <w:szCs w:val="20"/>
        </w:rPr>
        <w:t xml:space="preserve"> This regulatory asset represents </w:t>
      </w:r>
      <w:r>
        <w:rPr>
          <w:rFonts w:eastAsia="Times New Roman"/>
          <w:color w:val="000000"/>
          <w:sz w:val="20"/>
          <w:szCs w:val="20"/>
        </w:rPr>
        <w:t xml:space="preserve">the portion of net actuarial losses and prior service costs (credits) associated with pension and other postretirement benefits which are probable of being recovered through future rates based upon established regulatory practices. These regulatory assets </w:t>
      </w:r>
      <w:r>
        <w:rPr>
          <w:rFonts w:eastAsia="Times New Roman"/>
          <w:color w:val="000000"/>
          <w:sz w:val="20"/>
          <w:szCs w:val="20"/>
        </w:rPr>
        <w:t>are adjusted annually or more frequently under certain circumstances when the funded status of the plans is remeasured in accordance with GAAP. These costs are amortized over the average remaining future service lives of plan participants.</w:t>
      </w:r>
    </w:p>
    <w:p w:rsidR="00000000" w:rsidRDefault="00DF5BC2">
      <w:pPr>
        <w:jc w:val="both"/>
        <w:divId w:val="1334575117"/>
        <w:rPr>
          <w:rFonts w:eastAsia="Times New Roman"/>
        </w:rPr>
      </w:pPr>
      <w:r>
        <w:rPr>
          <w:rFonts w:eastAsia="Times New Roman"/>
          <w:b/>
          <w:bCs/>
          <w:i/>
          <w:iCs/>
          <w:color w:val="000000"/>
          <w:sz w:val="20"/>
          <w:szCs w:val="20"/>
        </w:rPr>
        <w:t>Environmental co</w:t>
      </w:r>
      <w:r>
        <w:rPr>
          <w:rFonts w:eastAsia="Times New Roman"/>
          <w:b/>
          <w:bCs/>
          <w:i/>
          <w:iCs/>
          <w:color w:val="000000"/>
          <w:sz w:val="20"/>
          <w:szCs w:val="20"/>
        </w:rPr>
        <w:t>sts</w:t>
      </w:r>
      <w:r>
        <w:rPr>
          <w:rFonts w:eastAsia="Times New Roman"/>
          <w:b/>
          <w:bCs/>
          <w:color w:val="000000"/>
          <w:sz w:val="20"/>
          <w:szCs w:val="20"/>
        </w:rPr>
        <w:t>.</w:t>
      </w:r>
      <w:r>
        <w:rPr>
          <w:rFonts w:eastAsia="Times New Roman"/>
          <w:color w:val="000000"/>
          <w:sz w:val="20"/>
          <w:szCs w:val="20"/>
        </w:rPr>
        <w:t xml:space="preserve"> Environmental costs principally represent estimated probable future environmental remediation and investigation costs that Gas Utility expects to incur, primarily at MGP sites in Pennsylvania, in conjunction with a remediation COA with the PADEP. Purs</w:t>
      </w:r>
      <w:r>
        <w:rPr>
          <w:rFonts w:eastAsia="Times New Roman"/>
          <w:color w:val="000000"/>
          <w:sz w:val="20"/>
          <w:szCs w:val="20"/>
        </w:rPr>
        <w:t>uant to base rate orders, Gas Utility receives ratemaking recognition of its estimated environmental investigation and remediation costs associated with its environmental sites. This ratemaking recognition balances the accumulated difference between histor</w:t>
      </w:r>
      <w:r>
        <w:rPr>
          <w:rFonts w:eastAsia="Times New Roman"/>
          <w:color w:val="000000"/>
          <w:sz w:val="20"/>
          <w:szCs w:val="20"/>
        </w:rPr>
        <w:t>ical costs and rate recoveries with an estimate of future costs associated with the sites. The period over which Gas Utility expects to recover these costs will depend upon future remediation activity. For additional information on environmental costs, see</w:t>
      </w:r>
      <w:r>
        <w:rPr>
          <w:rFonts w:eastAsia="Times New Roman"/>
          <w:color w:val="000000"/>
          <w:sz w:val="20"/>
          <w:szCs w:val="20"/>
        </w:rPr>
        <w:t xml:space="preserve"> Note 17.</w:t>
      </w:r>
    </w:p>
    <w:p w:rsidR="00000000" w:rsidRDefault="00DF5BC2">
      <w:pPr>
        <w:jc w:val="both"/>
        <w:divId w:val="142740158"/>
        <w:rPr>
          <w:rFonts w:eastAsia="Times New Roman"/>
        </w:rPr>
      </w:pPr>
      <w:r>
        <w:rPr>
          <w:rFonts w:eastAsia="Times New Roman"/>
          <w:b/>
          <w:bCs/>
          <w:i/>
          <w:iCs/>
          <w:color w:val="000000"/>
          <w:sz w:val="20"/>
          <w:szCs w:val="20"/>
        </w:rPr>
        <w:t>Removal costs, net</w:t>
      </w:r>
      <w:r>
        <w:rPr>
          <w:rFonts w:eastAsia="Times New Roman"/>
          <w:b/>
          <w:bCs/>
          <w:color w:val="000000"/>
          <w:sz w:val="20"/>
          <w:szCs w:val="20"/>
        </w:rPr>
        <w:t>.</w:t>
      </w:r>
      <w:r>
        <w:rPr>
          <w:rFonts w:eastAsia="Times New Roman"/>
          <w:color w:val="000000"/>
          <w:sz w:val="20"/>
          <w:szCs w:val="20"/>
        </w:rPr>
        <w:t xml:space="preserve"> This regulatory asset represents costs incurred, net of salvage, associated with the retirement of depreciable utility plant. As required by PAPUC ratemaking, removal costs include actual costs incurred associated with asset r</w:t>
      </w:r>
      <w:r>
        <w:rPr>
          <w:rFonts w:eastAsia="Times New Roman"/>
          <w:color w:val="000000"/>
          <w:sz w:val="20"/>
          <w:szCs w:val="20"/>
        </w:rPr>
        <w:t>etirement obligations. Consistent with prior ratemaking treatment, UGI Utilities, Inc. expects to recover these costs over five years.</w:t>
      </w:r>
    </w:p>
    <w:p w:rsidR="00000000" w:rsidRDefault="00DF5BC2">
      <w:pPr>
        <w:jc w:val="center"/>
        <w:divId w:val="549264164"/>
        <w:rPr>
          <w:rFonts w:eastAsia="Times New Roman"/>
        </w:rPr>
      </w:pPr>
      <w:r>
        <w:rPr>
          <w:rFonts w:eastAsia="Times New Roman"/>
          <w:color w:val="000000"/>
          <w:sz w:val="20"/>
          <w:szCs w:val="20"/>
        </w:rPr>
        <w:t>F-40</w:t>
      </w:r>
    </w:p>
    <w:p w:rsidR="00000000" w:rsidRDefault="00DF5BC2">
      <w:pPr>
        <w:rPr>
          <w:rFonts w:eastAsia="Times New Roman"/>
        </w:rPr>
      </w:pPr>
      <w:r>
        <w:rPr>
          <w:rFonts w:eastAsia="Times New Roman"/>
        </w:rPr>
        <w:pict>
          <v:rect id="_x0000_i1154" style="width:0;height:1.5pt" o:hralign="center" o:hrstd="t" o:hr="t" fillcolor="#a0a0a0" stroked="f"/>
        </w:pict>
      </w:r>
    </w:p>
    <w:p w:rsidR="00000000" w:rsidRDefault="00DF5BC2">
      <w:pPr>
        <w:divId w:val="1896547511"/>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996295841"/>
        <w:rPr>
          <w:rFonts w:eastAsia="Times New Roman"/>
        </w:rPr>
      </w:pPr>
      <w:r>
        <w:rPr>
          <w:rFonts w:eastAsia="Times New Roman"/>
          <w:b/>
          <w:bCs/>
          <w:color w:val="000000"/>
          <w:sz w:val="20"/>
          <w:szCs w:val="20"/>
        </w:rPr>
        <w:t>UGI Corporation and Subsidiaries</w:t>
      </w:r>
    </w:p>
    <w:p w:rsidR="00000000" w:rsidRDefault="00DF5BC2">
      <w:pPr>
        <w:divId w:val="1033843693"/>
        <w:rPr>
          <w:rFonts w:eastAsia="Times New Roman"/>
        </w:rPr>
      </w:pPr>
      <w:r>
        <w:rPr>
          <w:rFonts w:eastAsia="Times New Roman"/>
          <w:b/>
          <w:bCs/>
          <w:color w:val="000000"/>
          <w:sz w:val="20"/>
          <w:szCs w:val="20"/>
        </w:rPr>
        <w:t>Notes to Consolidated Financial Statements</w:t>
      </w:r>
    </w:p>
    <w:p w:rsidR="00000000" w:rsidRDefault="00DF5BC2">
      <w:pPr>
        <w:divId w:val="767505986"/>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1569916862"/>
        <w:rPr>
          <w:rFonts w:eastAsia="Times New Roman"/>
        </w:rPr>
      </w:pPr>
      <w:r>
        <w:rPr>
          <w:rFonts w:eastAsia="Times New Roman"/>
          <w:b/>
          <w:bCs/>
          <w:i/>
          <w:iCs/>
          <w:color w:val="000000"/>
          <w:sz w:val="20"/>
          <w:szCs w:val="20"/>
        </w:rPr>
        <w:t>Postretirement benefit ov</w:t>
      </w:r>
      <w:r>
        <w:rPr>
          <w:rFonts w:eastAsia="Times New Roman"/>
          <w:b/>
          <w:bCs/>
          <w:i/>
          <w:iCs/>
          <w:color w:val="000000"/>
          <w:sz w:val="20"/>
          <w:szCs w:val="20"/>
        </w:rPr>
        <w:t>ercollections</w:t>
      </w:r>
      <w:r>
        <w:rPr>
          <w:rFonts w:eastAsia="Times New Roman"/>
          <w:b/>
          <w:bCs/>
          <w:color w:val="000000"/>
          <w:sz w:val="20"/>
          <w:szCs w:val="20"/>
        </w:rPr>
        <w:t>.</w:t>
      </w:r>
      <w:r>
        <w:rPr>
          <w:rFonts w:eastAsia="Times New Roman"/>
          <w:color w:val="000000"/>
          <w:sz w:val="20"/>
          <w:szCs w:val="20"/>
        </w:rPr>
        <w:t xml:space="preserve"> This regulatory liability represents the difference between amounts recovered through rates by Gas Utility and Electric Utility and actual costs incurred in accordance with accounting for postretirement benefits. With respect to Gas Utility,</w:t>
      </w:r>
      <w:r>
        <w:rPr>
          <w:rFonts w:eastAsia="Times New Roman"/>
          <w:color w:val="000000"/>
          <w:sz w:val="20"/>
          <w:szCs w:val="20"/>
        </w:rPr>
        <w:t xml:space="preserve"> postretirement benefit overcollections are generally being refunded to customers over a ten-year period beginning October 19, 2016. With respect to Electric Utility, the overcollections are being refunded to ratepayers over a 20-year period effective Octo</w:t>
      </w:r>
      <w:r>
        <w:rPr>
          <w:rFonts w:eastAsia="Times New Roman"/>
          <w:color w:val="000000"/>
          <w:sz w:val="20"/>
          <w:szCs w:val="20"/>
        </w:rPr>
        <w:t>ber 27, 2018.</w:t>
      </w:r>
    </w:p>
    <w:p w:rsidR="00000000" w:rsidRDefault="00DF5BC2">
      <w:pPr>
        <w:jc w:val="both"/>
        <w:divId w:val="423309670"/>
        <w:rPr>
          <w:rFonts w:eastAsia="Times New Roman"/>
        </w:rPr>
      </w:pPr>
      <w:r>
        <w:rPr>
          <w:rFonts w:eastAsia="Times New Roman"/>
          <w:b/>
          <w:bCs/>
          <w:i/>
          <w:iCs/>
          <w:color w:val="000000"/>
          <w:sz w:val="20"/>
          <w:szCs w:val="20"/>
        </w:rPr>
        <w:t>Deferred fuel and power refunds.</w:t>
      </w:r>
      <w:r>
        <w:rPr>
          <w:rFonts w:eastAsia="Times New Roman"/>
          <w:color w:val="000000"/>
          <w:sz w:val="20"/>
          <w:szCs w:val="20"/>
        </w:rPr>
        <w:t xml:space="preserve"> UGI Utilities’ tariffs contain clauses that permit recovery of all prudently incurred purchased gas and power costs through the application of PGC rates, PGA rates and DS tariffs. These clauses provide for per</w:t>
      </w:r>
      <w:r>
        <w:rPr>
          <w:rFonts w:eastAsia="Times New Roman"/>
          <w:color w:val="000000"/>
          <w:sz w:val="20"/>
          <w:szCs w:val="20"/>
        </w:rPr>
        <w:t>iodic adjustments to PGC, PGA and DS rates for differences between the total amount of purchased gas and electric generation supply costs collected from customers and recoverable costs incurred. Net undercollected costs are classified as a regulatory asset</w:t>
      </w:r>
      <w:r>
        <w:rPr>
          <w:rFonts w:eastAsia="Times New Roman"/>
          <w:color w:val="000000"/>
          <w:sz w:val="20"/>
          <w:szCs w:val="20"/>
        </w:rPr>
        <w:t xml:space="preserve"> and net overcollections are classified as a regulatory liability.</w:t>
      </w:r>
    </w:p>
    <w:p w:rsidR="00000000" w:rsidRDefault="00DF5BC2">
      <w:pPr>
        <w:jc w:val="both"/>
        <w:divId w:val="705521604"/>
        <w:rPr>
          <w:rFonts w:eastAsia="Times New Roman"/>
        </w:rPr>
      </w:pPr>
      <w:r>
        <w:rPr>
          <w:rFonts w:eastAsia="Times New Roman"/>
          <w:color w:val="000000"/>
          <w:sz w:val="20"/>
          <w:szCs w:val="20"/>
        </w:rPr>
        <w:t>Gas Utility uses derivative instruments to reduce volatility in the cost of gas it purchases for retail core-market customers. Realized and unrealized gains or losses on natural gas derivat</w:t>
      </w:r>
      <w:r>
        <w:rPr>
          <w:rFonts w:eastAsia="Times New Roman"/>
          <w:color w:val="000000"/>
          <w:sz w:val="20"/>
          <w:szCs w:val="20"/>
        </w:rPr>
        <w:t>ive instruments are included in deferred fuel and power costs or refunds. Net unrealized gains (losses) on such contracts at September 30, 2021 and 2020 were $35 and $8, respectively.</w:t>
      </w:r>
    </w:p>
    <w:p w:rsidR="00000000" w:rsidRDefault="00DF5BC2">
      <w:pPr>
        <w:jc w:val="both"/>
        <w:divId w:val="1976058370"/>
        <w:rPr>
          <w:rFonts w:eastAsia="Times New Roman"/>
        </w:rPr>
      </w:pPr>
      <w:r>
        <w:rPr>
          <w:rFonts w:eastAsia="Times New Roman"/>
          <w:b/>
          <w:bCs/>
          <w:i/>
          <w:iCs/>
          <w:color w:val="000000"/>
          <w:sz w:val="20"/>
          <w:szCs w:val="20"/>
        </w:rPr>
        <w:t>State income tax benefits — distribution system repairs.</w:t>
      </w:r>
      <w:r>
        <w:rPr>
          <w:rFonts w:eastAsia="Times New Roman"/>
          <w:color w:val="000000"/>
          <w:sz w:val="20"/>
          <w:szCs w:val="20"/>
        </w:rPr>
        <w:t xml:space="preserve"> This regulatory</w:t>
      </w:r>
      <w:r>
        <w:rPr>
          <w:rFonts w:eastAsia="Times New Roman"/>
          <w:color w:val="000000"/>
          <w:sz w:val="20"/>
          <w:szCs w:val="20"/>
        </w:rPr>
        <w:t xml:space="preserve"> liability represents Pennsylvania state income tax benefits, net of federal benefit, resulting from the deduction for income tax purposes of repair and maintenance costs associated with UGI Utilities, Inc.’s assets that are capitalized for regulatory and </w:t>
      </w:r>
      <w:r>
        <w:rPr>
          <w:rFonts w:eastAsia="Times New Roman"/>
          <w:color w:val="000000"/>
          <w:sz w:val="20"/>
          <w:szCs w:val="20"/>
        </w:rPr>
        <w:t>U.S. GAAP reporting. The tax benefits associated with these repair and maintenance deductions will be reflected as a reduction to income tax expense over the remaining tax lives of the related book assets.</w:t>
      </w:r>
    </w:p>
    <w:p w:rsidR="00000000" w:rsidRDefault="00DF5BC2">
      <w:pPr>
        <w:jc w:val="both"/>
        <w:divId w:val="1890416927"/>
        <w:rPr>
          <w:rFonts w:eastAsia="Times New Roman"/>
        </w:rPr>
      </w:pPr>
      <w:r>
        <w:rPr>
          <w:rFonts w:eastAsia="Times New Roman"/>
          <w:b/>
          <w:bCs/>
          <w:i/>
          <w:iCs/>
          <w:color w:val="000000"/>
          <w:sz w:val="20"/>
          <w:szCs w:val="20"/>
        </w:rPr>
        <w:t>PAPUC Temporary Rates Order.</w:t>
      </w:r>
      <w:r>
        <w:rPr>
          <w:rFonts w:eastAsia="Times New Roman"/>
          <w:color w:val="000000"/>
          <w:sz w:val="20"/>
          <w:szCs w:val="20"/>
        </w:rPr>
        <w:t xml:space="preserve"> On May 17, 2018, the </w:t>
      </w:r>
      <w:r>
        <w:rPr>
          <w:rFonts w:eastAsia="Times New Roman"/>
          <w:color w:val="000000"/>
          <w:sz w:val="20"/>
          <w:szCs w:val="20"/>
        </w:rPr>
        <w:t>PAPUC ordered each regulated utility currently not in a general base rate case proceeding, including Gas Utility, to reduce their rates to credit customers any tax savings as a result of the TCJA through the establishment of a negative surcharge. These neg</w:t>
      </w:r>
      <w:r>
        <w:rPr>
          <w:rFonts w:eastAsia="Times New Roman"/>
          <w:color w:val="000000"/>
          <w:sz w:val="20"/>
          <w:szCs w:val="20"/>
        </w:rPr>
        <w:t>ative surcharges applied to bills rendered on or after July 1, 2018 and remained in effect until October 11, 2019, the effective date of Gas Utility’s new base rates, subject to a final reconciliation of any over- or under-crediting of the tax savings. The</w:t>
      </w:r>
      <w:r>
        <w:rPr>
          <w:rFonts w:eastAsia="Times New Roman"/>
          <w:color w:val="000000"/>
          <w:sz w:val="20"/>
          <w:szCs w:val="20"/>
        </w:rPr>
        <w:t xml:space="preserve"> remaining regulatory liability was returned to customers through an additional temporary negative surcharge from January 1, 2021 through October 10, 2021</w:t>
      </w:r>
    </w:p>
    <w:p w:rsidR="00000000" w:rsidRDefault="00DF5BC2">
      <w:pPr>
        <w:divId w:val="1365670055"/>
        <w:rPr>
          <w:rFonts w:eastAsia="Times New Roman"/>
        </w:rPr>
      </w:pPr>
    </w:p>
    <w:p w:rsidR="00000000" w:rsidRDefault="00DF5BC2">
      <w:pPr>
        <w:jc w:val="both"/>
        <w:rPr>
          <w:rFonts w:eastAsia="Times New Roman"/>
        </w:rPr>
      </w:pPr>
      <w:r>
        <w:rPr>
          <w:rFonts w:eastAsia="Times New Roman"/>
          <w:color w:val="000000"/>
          <w:sz w:val="20"/>
          <w:szCs w:val="20"/>
        </w:rPr>
        <w:t>In its May 17, 2018 Order, the PAPUC also required Pennsylvania utilities to establish a regulatory</w:t>
      </w:r>
      <w:r>
        <w:rPr>
          <w:rFonts w:eastAsia="Times New Roman"/>
          <w:color w:val="000000"/>
          <w:sz w:val="20"/>
          <w:szCs w:val="20"/>
        </w:rPr>
        <w:t xml:space="preserve"> liability for tax benefits that accrued during the period January 1, 2018 through June 30, 2018, resulting from the reduced federal tax rate. The rate treatment of this regulatory liability was addressed in Gas Utility’s base rate proceeding filed January</w:t>
      </w:r>
      <w:r>
        <w:rPr>
          <w:rFonts w:eastAsia="Times New Roman"/>
          <w:color w:val="000000"/>
          <w:sz w:val="20"/>
          <w:szCs w:val="20"/>
        </w:rPr>
        <w:t xml:space="preserve"> 28, 2019 (see “Base Rate Filings” below for further information). </w:t>
      </w:r>
    </w:p>
    <w:p w:rsidR="00000000" w:rsidRDefault="00DF5BC2">
      <w:pPr>
        <w:jc w:val="both"/>
        <w:rPr>
          <w:rFonts w:eastAsia="Times New Roman"/>
        </w:rPr>
      </w:pPr>
    </w:p>
    <w:p w:rsidR="00000000" w:rsidRDefault="00DF5BC2">
      <w:pPr>
        <w:jc w:val="both"/>
        <w:divId w:val="1243487850"/>
        <w:rPr>
          <w:rFonts w:eastAsia="Times New Roman"/>
        </w:rPr>
      </w:pPr>
      <w:r>
        <w:rPr>
          <w:rFonts w:eastAsia="Times New Roman"/>
          <w:color w:val="000000"/>
          <w:sz w:val="20"/>
          <w:szCs w:val="20"/>
        </w:rPr>
        <w:t>For Pennsylvania utilities that were in a general base rate proceeding, including Electric Utility, no negative surcharge applied. The tax benefits that accrued during the period January</w:t>
      </w:r>
      <w:r>
        <w:rPr>
          <w:rFonts w:eastAsia="Times New Roman"/>
          <w:color w:val="000000"/>
          <w:sz w:val="20"/>
          <w:szCs w:val="20"/>
        </w:rPr>
        <w:t xml:space="preserve"> 1, 2018 through October 26, 2018, the date before Electric Utility’s base rate case became effective were refunded to Electric Utility ratepayers through a one-time bill credit.</w:t>
      </w:r>
    </w:p>
    <w:p w:rsidR="00000000" w:rsidRDefault="00DF5BC2">
      <w:pPr>
        <w:jc w:val="both"/>
        <w:divId w:val="1644197700"/>
        <w:rPr>
          <w:rFonts w:eastAsia="Times New Roman"/>
        </w:rPr>
      </w:pPr>
      <w:r>
        <w:rPr>
          <w:rFonts w:eastAsia="Times New Roman"/>
          <w:b/>
          <w:bCs/>
          <w:i/>
          <w:iCs/>
          <w:color w:val="000000"/>
          <w:sz w:val="20"/>
          <w:szCs w:val="20"/>
        </w:rPr>
        <w:t>Excess federal deferred income taxes.</w:t>
      </w:r>
      <w:r>
        <w:rPr>
          <w:rFonts w:eastAsia="Times New Roman"/>
          <w:color w:val="000000"/>
          <w:sz w:val="20"/>
          <w:szCs w:val="20"/>
        </w:rPr>
        <w:t xml:space="preserve"> This regulatory liability is the result</w:t>
      </w:r>
      <w:r>
        <w:rPr>
          <w:rFonts w:eastAsia="Times New Roman"/>
          <w:color w:val="000000"/>
          <w:sz w:val="20"/>
          <w:szCs w:val="20"/>
        </w:rPr>
        <w:t xml:space="preserve"> of remeasuring UGI Utilities’ federal deferred income tax liabilities on utility plant due to the enactment of the TCJA on December 22, 2017. In order for our utility assets to continue to be eligible for accelerated tax depreciation, current law requires</w:t>
      </w:r>
      <w:r>
        <w:rPr>
          <w:rFonts w:eastAsia="Times New Roman"/>
          <w:color w:val="000000"/>
          <w:sz w:val="20"/>
          <w:szCs w:val="20"/>
        </w:rPr>
        <w:t xml:space="preserve"> that excess federal deferred income taxes resulting from the remeasurement be amortized no more rapidly than over the remaining lives of the assets that gave rise to the excess federal deferred income taxes, ranging from 1 year to approximately 65 years. </w:t>
      </w:r>
      <w:r>
        <w:rPr>
          <w:rFonts w:eastAsia="Times New Roman"/>
          <w:color w:val="000000"/>
          <w:sz w:val="20"/>
          <w:szCs w:val="20"/>
        </w:rPr>
        <w:t>This regulatory liability has been increased to reflect the tax benefit generated by the amortization of the excess deferred federal income taxes and is being amortized and credited to tax expense.</w:t>
      </w:r>
    </w:p>
    <w:p w:rsidR="00000000" w:rsidRDefault="00DF5BC2">
      <w:pPr>
        <w:jc w:val="both"/>
        <w:divId w:val="390618584"/>
        <w:rPr>
          <w:rFonts w:eastAsia="Times New Roman"/>
        </w:rPr>
      </w:pPr>
      <w:r>
        <w:rPr>
          <w:rFonts w:eastAsia="Times New Roman"/>
          <w:b/>
          <w:bCs/>
          <w:i/>
          <w:iCs/>
          <w:color w:val="000000"/>
          <w:sz w:val="20"/>
          <w:szCs w:val="20"/>
        </w:rPr>
        <w:t>Other</w:t>
      </w:r>
      <w:r>
        <w:rPr>
          <w:rFonts w:eastAsia="Times New Roman"/>
          <w:b/>
          <w:bCs/>
          <w:color w:val="000000"/>
          <w:sz w:val="20"/>
          <w:szCs w:val="20"/>
        </w:rPr>
        <w:t>.</w:t>
      </w:r>
      <w:r>
        <w:rPr>
          <w:rFonts w:eastAsia="Times New Roman"/>
          <w:color w:val="000000"/>
          <w:sz w:val="20"/>
          <w:szCs w:val="20"/>
        </w:rPr>
        <w:t xml:space="preserve"> Other regulatory assets and liabilities comprise a </w:t>
      </w:r>
      <w:r>
        <w:rPr>
          <w:rFonts w:eastAsia="Times New Roman"/>
          <w:color w:val="000000"/>
          <w:sz w:val="20"/>
          <w:szCs w:val="20"/>
        </w:rPr>
        <w:t>number of deferred items including, among others, certain fair value adjustments related to the Mountaineer Acquisition incremental expenses attributable to the ongoing COVID-19 pandemic, certain information technology costs, energy efficiency conservation</w:t>
      </w:r>
      <w:r>
        <w:rPr>
          <w:rFonts w:eastAsia="Times New Roman"/>
          <w:color w:val="000000"/>
          <w:sz w:val="20"/>
          <w:szCs w:val="20"/>
        </w:rPr>
        <w:t xml:space="preserve"> costs and rate case expenses.</w:t>
      </w:r>
    </w:p>
    <w:p w:rsidR="00000000" w:rsidRDefault="00DF5BC2">
      <w:pPr>
        <w:jc w:val="both"/>
        <w:divId w:val="1417357249"/>
        <w:rPr>
          <w:rFonts w:eastAsia="Times New Roman"/>
        </w:rPr>
      </w:pPr>
      <w:r>
        <w:rPr>
          <w:rFonts w:eastAsia="Times New Roman"/>
          <w:b/>
          <w:bCs/>
          <w:color w:val="000000"/>
          <w:sz w:val="20"/>
          <w:szCs w:val="20"/>
        </w:rPr>
        <w:t>Other Regulatory Matters</w:t>
      </w:r>
    </w:p>
    <w:p w:rsidR="00000000" w:rsidRDefault="00DF5BC2">
      <w:pPr>
        <w:jc w:val="both"/>
        <w:divId w:val="803500106"/>
        <w:rPr>
          <w:rFonts w:eastAsia="Times New Roman"/>
        </w:rPr>
      </w:pPr>
      <w:r>
        <w:rPr>
          <w:rFonts w:eastAsia="Times New Roman"/>
          <w:b/>
          <w:bCs/>
          <w:i/>
          <w:iCs/>
          <w:color w:val="000000"/>
          <w:sz w:val="20"/>
          <w:szCs w:val="20"/>
        </w:rPr>
        <w:t>Base Rate Filings. </w:t>
      </w:r>
      <w:r>
        <w:rPr>
          <w:rFonts w:eastAsia="Times New Roman"/>
          <w:color w:val="000000"/>
          <w:sz w:val="20"/>
          <w:szCs w:val="20"/>
        </w:rPr>
        <w:t>On February 8, 2021, Electric Utility filed a rate request with the PAPUC to increase its annual base distribution revenues by $9. On October 28, 2021, the PAPUC issued a final Orde</w:t>
      </w:r>
      <w:r>
        <w:rPr>
          <w:rFonts w:eastAsia="Times New Roman"/>
          <w:color w:val="000000"/>
          <w:sz w:val="20"/>
          <w:szCs w:val="20"/>
        </w:rPr>
        <w:t>r approving a settlement that permitted Electric Utility, effective November 9, 2021, to increase its base distribution revenues by $6.</w:t>
      </w:r>
    </w:p>
    <w:p w:rsidR="00000000" w:rsidRDefault="00DF5BC2">
      <w:pPr>
        <w:jc w:val="center"/>
        <w:divId w:val="1941524947"/>
        <w:rPr>
          <w:rFonts w:eastAsia="Times New Roman"/>
        </w:rPr>
      </w:pPr>
      <w:r>
        <w:rPr>
          <w:rFonts w:eastAsia="Times New Roman"/>
          <w:color w:val="000000"/>
          <w:sz w:val="20"/>
          <w:szCs w:val="20"/>
        </w:rPr>
        <w:t>F-41</w:t>
      </w:r>
    </w:p>
    <w:p w:rsidR="00000000" w:rsidRDefault="00DF5BC2">
      <w:pPr>
        <w:rPr>
          <w:rFonts w:eastAsia="Times New Roman"/>
        </w:rPr>
      </w:pPr>
      <w:r>
        <w:rPr>
          <w:rFonts w:eastAsia="Times New Roman"/>
        </w:rPr>
        <w:pict>
          <v:rect id="_x0000_i1155" style="width:0;height:1.5pt" o:hralign="center" o:hrstd="t" o:hr="t" fillcolor="#a0a0a0" stroked="f"/>
        </w:pict>
      </w:r>
    </w:p>
    <w:p w:rsidR="00000000" w:rsidRDefault="00DF5BC2">
      <w:pPr>
        <w:divId w:val="92217865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605113545"/>
        <w:rPr>
          <w:rFonts w:eastAsia="Times New Roman"/>
        </w:rPr>
      </w:pPr>
      <w:r>
        <w:rPr>
          <w:rFonts w:eastAsia="Times New Roman"/>
          <w:b/>
          <w:bCs/>
          <w:color w:val="000000"/>
          <w:sz w:val="20"/>
          <w:szCs w:val="20"/>
        </w:rPr>
        <w:t>UGI Corporation and Subsidiaries</w:t>
      </w:r>
    </w:p>
    <w:p w:rsidR="00000000" w:rsidRDefault="00DF5BC2">
      <w:pPr>
        <w:divId w:val="1735424312"/>
        <w:rPr>
          <w:rFonts w:eastAsia="Times New Roman"/>
        </w:rPr>
      </w:pPr>
      <w:r>
        <w:rPr>
          <w:rFonts w:eastAsia="Times New Roman"/>
          <w:b/>
          <w:bCs/>
          <w:color w:val="000000"/>
          <w:sz w:val="20"/>
          <w:szCs w:val="20"/>
        </w:rPr>
        <w:t>Notes to Consolidated Financial Statements</w:t>
      </w:r>
    </w:p>
    <w:p w:rsidR="00000000" w:rsidRDefault="00DF5BC2">
      <w:pPr>
        <w:divId w:val="240603775"/>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jc w:val="both"/>
        <w:divId w:val="329792907"/>
        <w:rPr>
          <w:rFonts w:eastAsia="Times New Roman"/>
        </w:rPr>
      </w:pPr>
      <w:r>
        <w:rPr>
          <w:rFonts w:eastAsia="Times New Roman"/>
          <w:color w:val="000000"/>
          <w:sz w:val="20"/>
          <w:szCs w:val="20"/>
        </w:rPr>
        <w:t>On January 28, 2020, Gas Utility filed a request with the PAPUC to increase its annual base distribution operating revenues by $75 annually. On October 8, 2020, the PAPUC issued a final Order approving a settlement that permits Gas Utility to in</w:t>
      </w:r>
      <w:r>
        <w:rPr>
          <w:rFonts w:eastAsia="Times New Roman"/>
          <w:color w:val="000000"/>
          <w:sz w:val="20"/>
          <w:szCs w:val="20"/>
        </w:rPr>
        <w:t>crease its annual base distribution rates by $20, through a phased approach, with $10 beginning January 1, 2021 and an additional $10 beginning July 1, 2021. Additionally, Gas Utility was authorized to implement a DSIC once Gas Utility total property, plan</w:t>
      </w:r>
      <w:r>
        <w:rPr>
          <w:rFonts w:eastAsia="Times New Roman"/>
          <w:color w:val="000000"/>
          <w:sz w:val="20"/>
          <w:szCs w:val="20"/>
        </w:rPr>
        <w:t>t and equipment less accumulated depreciation reaches $2,875. This threshold was achieved in December 2020 and Gas Utility implemented a DSIC effective April 1, 2021. The PAPUC’s final Order also includes enhanced COVID-19 customer assistance measures, inc</w:t>
      </w:r>
      <w:r>
        <w:rPr>
          <w:rFonts w:eastAsia="Times New Roman"/>
          <w:color w:val="000000"/>
          <w:sz w:val="20"/>
          <w:szCs w:val="20"/>
        </w:rPr>
        <w:t xml:space="preserve">luding the establishment of an Emergency Relief Program for a defined set of payment troubled customers (“ERP”). Additionally, the PAPUC’s final order permits Gas Utility to establish a regulatory asset for certain incremental expenses attributable to the </w:t>
      </w:r>
      <w:r>
        <w:rPr>
          <w:rFonts w:eastAsia="Times New Roman"/>
          <w:color w:val="000000"/>
          <w:sz w:val="20"/>
          <w:szCs w:val="20"/>
        </w:rPr>
        <w:t xml:space="preserve">ongoing COVID-19 pandemic, most notably expenses related to the ERP and uncollectible accounts expense, through the effective date of rates in the next Gas Utility base rate case, to be recovered and amortized over a 10-year period. In accordance with the </w:t>
      </w:r>
      <w:r>
        <w:rPr>
          <w:rFonts w:eastAsia="Times New Roman"/>
          <w:color w:val="000000"/>
          <w:sz w:val="20"/>
          <w:szCs w:val="20"/>
        </w:rPr>
        <w:t>terms of the Joint Petition, Gas Utility is not be permitted to file a rate case prior to January 1, 2022.</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January 28, 2019, Gas Utility filed a rate request with the PAPUC to increase the base operating revenues for residential, commercial, and industrial customers throughout its Pennsylvania service territory by an aggregate $71. On October 4, 2019, the PA</w:t>
      </w:r>
      <w:r>
        <w:rPr>
          <w:rFonts w:eastAsia="Times New Roman"/>
          <w:color w:val="000000"/>
          <w:sz w:val="20"/>
          <w:szCs w:val="20"/>
        </w:rPr>
        <w:t>PUC issued a final Order approving a settlement that permitted Gas Utility, effective October 11, 2019, to increase its base distribution revenues by $30 under a single consolidated tariff, approved a plan for uniform class rates, and permitted Gas Utility</w:t>
      </w:r>
      <w:r>
        <w:rPr>
          <w:rFonts w:eastAsia="Times New Roman"/>
          <w:color w:val="000000"/>
          <w:sz w:val="20"/>
          <w:szCs w:val="20"/>
        </w:rPr>
        <w:t xml:space="preserve"> to extend its Energy Efficiency and Conservation and Growth Extension Tariff programs by an additional term of five years. The PAPUC’s final Order approved a negative surcharge, to return to customers $24 of tax benefits experienced by Gas Utility over th</w:t>
      </w:r>
      <w:r>
        <w:rPr>
          <w:rFonts w:eastAsia="Times New Roman"/>
          <w:color w:val="000000"/>
          <w:sz w:val="20"/>
          <w:szCs w:val="20"/>
        </w:rPr>
        <w:t>e period January 1, 2018 to June 30, 2018, plus applicable interest, in accordance with the May 17, 2018 PAPUC Order, which became effective for a twelve-month period beginning on October 11, 2019, the effective date of Gas Utility’s new base rates, subjec</w:t>
      </w:r>
      <w:r>
        <w:rPr>
          <w:rFonts w:eastAsia="Times New Roman"/>
          <w:color w:val="000000"/>
          <w:sz w:val="20"/>
          <w:szCs w:val="20"/>
        </w:rPr>
        <w:t xml:space="preserve">t to final reconciliation of any over- or under-crediting of the tax savings.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10 — Inventories </w:t>
      </w:r>
    </w:p>
    <w:p w:rsidR="00000000" w:rsidRDefault="00DF5BC2">
      <w:pPr>
        <w:jc w:val="both"/>
        <w:divId w:val="331378894"/>
        <w:rPr>
          <w:rFonts w:eastAsia="Times New Roman"/>
        </w:rPr>
      </w:pPr>
      <w:r>
        <w:rPr>
          <w:rFonts w:eastAsia="Times New Roman"/>
          <w:color w:val="000000"/>
          <w:sz w:val="20"/>
          <w:szCs w:val="20"/>
        </w:rPr>
        <w:t>Inventories comprise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7"/>
        <w:gridCol w:w="120"/>
        <w:gridCol w:w="921"/>
        <w:gridCol w:w="36"/>
        <w:gridCol w:w="36"/>
        <w:gridCol w:w="36"/>
        <w:gridCol w:w="36"/>
        <w:gridCol w:w="120"/>
        <w:gridCol w:w="887"/>
        <w:gridCol w:w="36"/>
      </w:tblGrid>
      <w:tr w:rsidR="00000000">
        <w:trPr>
          <w:divId w:val="701901337"/>
        </w:trPr>
        <w:tc>
          <w:tcPr>
            <w:tcW w:w="50" w:type="pct"/>
            <w:vAlign w:val="center"/>
            <w:hideMark/>
          </w:tcPr>
          <w:p w:rsidR="00000000" w:rsidRDefault="00DF5BC2">
            <w:pPr>
              <w:jc w:val="both"/>
              <w:rPr>
                <w:rFonts w:eastAsia="Times New Roman"/>
              </w:rPr>
            </w:pPr>
          </w:p>
        </w:tc>
        <w:tc>
          <w:tcPr>
            <w:tcW w:w="363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701901337"/>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701901337"/>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Non-utility LPG and natural gas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01901337"/>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Utility natural gas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01901337"/>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Energy certificates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01901337"/>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Materials, supplies and other</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01901337"/>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firstLine="495"/>
        <w:jc w:val="both"/>
        <w:rPr>
          <w:rFonts w:eastAsia="Times New Roman"/>
        </w:rPr>
      </w:pPr>
    </w:p>
    <w:p w:rsidR="00000000" w:rsidRDefault="00DF5BC2">
      <w:pPr>
        <w:jc w:val="center"/>
        <w:divId w:val="417947360"/>
        <w:rPr>
          <w:rFonts w:eastAsia="Times New Roman"/>
        </w:rPr>
      </w:pPr>
      <w:r>
        <w:rPr>
          <w:rFonts w:eastAsia="Times New Roman"/>
          <w:color w:val="000000"/>
          <w:sz w:val="20"/>
          <w:szCs w:val="20"/>
        </w:rPr>
        <w:t>F-42</w:t>
      </w:r>
    </w:p>
    <w:p w:rsidR="00000000" w:rsidRDefault="00DF5BC2">
      <w:pPr>
        <w:rPr>
          <w:rFonts w:eastAsia="Times New Roman"/>
        </w:rPr>
      </w:pPr>
      <w:r>
        <w:rPr>
          <w:rFonts w:eastAsia="Times New Roman"/>
        </w:rPr>
        <w:pict>
          <v:rect id="_x0000_i1156" style="width:0;height:1.5pt" o:hralign="center" o:hrstd="t" o:hr="t" fillcolor="#a0a0a0" stroked="f"/>
        </w:pict>
      </w:r>
    </w:p>
    <w:p w:rsidR="00000000" w:rsidRDefault="00DF5BC2">
      <w:pPr>
        <w:divId w:val="120798313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92627260"/>
        <w:rPr>
          <w:rFonts w:eastAsia="Times New Roman"/>
        </w:rPr>
      </w:pPr>
      <w:r>
        <w:rPr>
          <w:rFonts w:eastAsia="Times New Roman"/>
          <w:b/>
          <w:bCs/>
          <w:color w:val="000000"/>
          <w:sz w:val="20"/>
          <w:szCs w:val="20"/>
        </w:rPr>
        <w:t>UGI Corporation and Subsidiaries</w:t>
      </w:r>
    </w:p>
    <w:p w:rsidR="00000000" w:rsidRDefault="00DF5BC2">
      <w:pPr>
        <w:divId w:val="1892572590"/>
        <w:rPr>
          <w:rFonts w:eastAsia="Times New Roman"/>
        </w:rPr>
      </w:pPr>
      <w:r>
        <w:rPr>
          <w:rFonts w:eastAsia="Times New Roman"/>
          <w:b/>
          <w:bCs/>
          <w:color w:val="000000"/>
          <w:sz w:val="20"/>
          <w:szCs w:val="20"/>
        </w:rPr>
        <w:t>Notes to Consolidated Financial Statements</w:t>
      </w:r>
    </w:p>
    <w:p w:rsidR="00000000" w:rsidRDefault="00DF5BC2">
      <w:pPr>
        <w:divId w:val="2041975014"/>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b/>
          <w:bCs/>
          <w:color w:val="000000"/>
          <w:sz w:val="20"/>
          <w:szCs w:val="20"/>
          <w:u w:val="single"/>
        </w:rPr>
        <w:t xml:space="preserve">Note 11 — Property, Plant and Equipment </w:t>
      </w:r>
    </w:p>
    <w:p w:rsidR="00000000" w:rsidRDefault="00DF5BC2">
      <w:pPr>
        <w:jc w:val="both"/>
        <w:divId w:val="750128090"/>
        <w:rPr>
          <w:rFonts w:eastAsia="Times New Roman"/>
        </w:rPr>
      </w:pPr>
      <w:r>
        <w:rPr>
          <w:rFonts w:eastAsia="Times New Roman"/>
          <w:color w:val="000000"/>
          <w:sz w:val="20"/>
          <w:szCs w:val="20"/>
        </w:rPr>
        <w:t>Property, plant and equipment comprise the following at September 30:</w:t>
      </w:r>
    </w:p>
    <w:tbl>
      <w:tblPr>
        <w:tblW w:w="4970" w:type="pct"/>
        <w:tblCellMar>
          <w:top w:w="15" w:type="dxa"/>
          <w:left w:w="15" w:type="dxa"/>
          <w:bottom w:w="15" w:type="dxa"/>
          <w:right w:w="15" w:type="dxa"/>
        </w:tblCellMar>
        <w:tblLook w:val="04A0" w:firstRow="1" w:lastRow="0" w:firstColumn="1" w:lastColumn="0" w:noHBand="0" w:noVBand="1"/>
      </w:tblPr>
      <w:tblGrid>
        <w:gridCol w:w="46"/>
        <w:gridCol w:w="4330"/>
        <w:gridCol w:w="37"/>
        <w:gridCol w:w="120"/>
        <w:gridCol w:w="927"/>
        <w:gridCol w:w="36"/>
        <w:gridCol w:w="36"/>
        <w:gridCol w:w="36"/>
        <w:gridCol w:w="36"/>
        <w:gridCol w:w="120"/>
        <w:gridCol w:w="897"/>
        <w:gridCol w:w="36"/>
        <w:gridCol w:w="36"/>
        <w:gridCol w:w="36"/>
        <w:gridCol w:w="36"/>
        <w:gridCol w:w="45"/>
        <w:gridCol w:w="1410"/>
        <w:gridCol w:w="36"/>
      </w:tblGrid>
      <w:tr w:rsidR="00000000">
        <w:trPr>
          <w:divId w:val="866527235"/>
        </w:trPr>
        <w:tc>
          <w:tcPr>
            <w:tcW w:w="50" w:type="pct"/>
            <w:vAlign w:val="center"/>
            <w:hideMark/>
          </w:tcPr>
          <w:p w:rsidR="00000000" w:rsidRDefault="00DF5BC2">
            <w:pPr>
              <w:jc w:val="both"/>
              <w:rPr>
                <w:rFonts w:eastAsia="Times New Roman"/>
              </w:rPr>
            </w:pPr>
          </w:p>
        </w:tc>
        <w:tc>
          <w:tcPr>
            <w:tcW w:w="264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9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Estimated Useful Life</w:t>
            </w:r>
          </w:p>
        </w:tc>
      </w:tr>
      <w:tr w:rsidR="00000000">
        <w:trPr>
          <w:divId w:val="866527235"/>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Distribution</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4,306 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3,630 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Transmission</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General and other</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Work in process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Utility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Height w:val="300"/>
        </w:trPr>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Non-utility:</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Land</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10 - 40 years</w:t>
            </w:r>
          </w:p>
        </w:tc>
      </w:tr>
      <w:tr w:rsidR="00000000">
        <w:trPr>
          <w:divId w:val="86652723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Transportation equipment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3 - 10 years</w:t>
            </w:r>
          </w:p>
        </w:tc>
      </w:tr>
      <w:tr w:rsidR="00000000">
        <w:trPr>
          <w:divId w:val="86652723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Equipment, primarily cylinders and tanks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3,785 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3,712 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5 - 30 years</w:t>
            </w:r>
          </w:p>
        </w:tc>
      </w:tr>
      <w:tr w:rsidR="00000000">
        <w:trPr>
          <w:divId w:val="86652723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Electric generation</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25 - 40 years</w:t>
            </w:r>
          </w:p>
        </w:tc>
      </w:tr>
      <w:tr w:rsidR="00000000">
        <w:trPr>
          <w:divId w:val="86652723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Pipeline and related assets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1,098 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25 - 40 years</w:t>
            </w:r>
          </w:p>
        </w:tc>
      </w:tr>
      <w:tr w:rsidR="00000000">
        <w:trPr>
          <w:divId w:val="86652723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 xml:space="preserve">1 - 12 </w:t>
            </w:r>
            <w:r>
              <w:rPr>
                <w:rFonts w:eastAsia="Times New Roman"/>
                <w:color w:val="000000"/>
                <w:sz w:val="20"/>
                <w:szCs w:val="20"/>
              </w:rPr>
              <w:t>years</w:t>
            </w:r>
          </w:p>
        </w:tc>
      </w:tr>
      <w:tr w:rsidR="00000000">
        <w:trPr>
          <w:divId w:val="86652723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non-utility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66527235"/>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property, plant and equipment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10,658 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divId w:val="210776003"/>
        <w:rPr>
          <w:rFonts w:eastAsia="Times New Roman"/>
        </w:rPr>
      </w:pPr>
    </w:p>
    <w:p w:rsidR="00000000" w:rsidRDefault="00DF5BC2">
      <w:pPr>
        <w:jc w:val="both"/>
        <w:rPr>
          <w:rFonts w:eastAsia="Times New Roman"/>
        </w:rPr>
      </w:pPr>
      <w:r>
        <w:rPr>
          <w:rFonts w:eastAsia="Times New Roman"/>
          <w:color w:val="000000"/>
          <w:sz w:val="20"/>
          <w:szCs w:val="20"/>
        </w:rPr>
        <w:t>The average composite depreciation rates at our regulated natural gas utilities (inclusive of Gas Utility and Mountaineer) and Electric Utility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163"/>
        <w:gridCol w:w="36"/>
        <w:gridCol w:w="37"/>
        <w:gridCol w:w="1466"/>
        <w:gridCol w:w="187"/>
        <w:gridCol w:w="37"/>
        <w:gridCol w:w="1466"/>
        <w:gridCol w:w="187"/>
        <w:gridCol w:w="37"/>
        <w:gridCol w:w="1466"/>
        <w:gridCol w:w="187"/>
      </w:tblGrid>
      <w:tr w:rsidR="00000000">
        <w:tc>
          <w:tcPr>
            <w:tcW w:w="50" w:type="pct"/>
            <w:vAlign w:val="center"/>
            <w:hideMark/>
          </w:tcPr>
          <w:p w:rsidR="00000000" w:rsidRDefault="00DF5BC2">
            <w:pPr>
              <w:jc w:val="both"/>
              <w:rPr>
                <w:rFonts w:eastAsia="Times New Roman"/>
              </w:rPr>
            </w:pPr>
          </w:p>
        </w:tc>
        <w:tc>
          <w:tcPr>
            <w:tcW w:w="196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3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3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3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Regulated natural gas utilities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Electric Utility</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w:t>
            </w:r>
          </w:p>
        </w:tc>
      </w:tr>
    </w:tbl>
    <w:p w:rsidR="00000000" w:rsidRDefault="00DF5BC2">
      <w:pPr>
        <w:jc w:val="both"/>
        <w:rPr>
          <w:rFonts w:eastAsia="Times New Roman"/>
        </w:rPr>
      </w:pPr>
    </w:p>
    <w:p w:rsidR="00000000" w:rsidRDefault="00DF5BC2">
      <w:pPr>
        <w:divId w:val="911618212"/>
        <w:rPr>
          <w:rFonts w:eastAsia="Times New Roman"/>
        </w:rPr>
      </w:pPr>
      <w:r>
        <w:rPr>
          <w:rFonts w:eastAsia="Times New Roman"/>
          <w:color w:val="000000"/>
          <w:sz w:val="20"/>
          <w:szCs w:val="20"/>
        </w:rPr>
        <w:t>Depreciation expense totaled $437, $416 and $389 for Fiscal 202</w:t>
      </w:r>
      <w:r>
        <w:rPr>
          <w:rFonts w:eastAsia="Times New Roman"/>
          <w:color w:val="000000"/>
          <w:sz w:val="20"/>
          <w:szCs w:val="20"/>
        </w:rPr>
        <w:t>1, Fiscal 2020 and Fiscal 2019, respectively.</w:t>
      </w:r>
    </w:p>
    <w:p w:rsidR="00000000" w:rsidRDefault="00DF5BC2">
      <w:pPr>
        <w:divId w:val="522401011"/>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12 — Goodwill and Intangible Assets </w:t>
      </w:r>
    </w:p>
    <w:p w:rsidR="00000000" w:rsidRDefault="00DF5BC2">
      <w:pPr>
        <w:jc w:val="both"/>
        <w:divId w:val="1458451844"/>
        <w:rPr>
          <w:rFonts w:eastAsia="Times New Roman"/>
        </w:rPr>
      </w:pPr>
      <w:r>
        <w:rPr>
          <w:rFonts w:eastAsia="Times New Roman"/>
          <w:color w:val="000000"/>
          <w:sz w:val="20"/>
          <w:szCs w:val="20"/>
        </w:rPr>
        <w:t>Changes in the carrying amount of goodwill by reportable segment are as follows:</w:t>
      </w:r>
    </w:p>
    <w:tbl>
      <w:tblPr>
        <w:tblW w:w="4992" w:type="pct"/>
        <w:tblCellMar>
          <w:top w:w="15" w:type="dxa"/>
          <w:left w:w="15" w:type="dxa"/>
          <w:bottom w:w="15" w:type="dxa"/>
          <w:right w:w="15" w:type="dxa"/>
        </w:tblCellMar>
        <w:tblLook w:val="04A0" w:firstRow="1" w:lastRow="0" w:firstColumn="1" w:lastColumn="0" w:noHBand="0" w:noVBand="1"/>
      </w:tblPr>
      <w:tblGrid>
        <w:gridCol w:w="38"/>
        <w:gridCol w:w="2607"/>
        <w:gridCol w:w="37"/>
        <w:gridCol w:w="121"/>
        <w:gridCol w:w="906"/>
        <w:gridCol w:w="36"/>
        <w:gridCol w:w="36"/>
        <w:gridCol w:w="36"/>
        <w:gridCol w:w="36"/>
        <w:gridCol w:w="121"/>
        <w:gridCol w:w="970"/>
        <w:gridCol w:w="36"/>
        <w:gridCol w:w="36"/>
        <w:gridCol w:w="36"/>
        <w:gridCol w:w="36"/>
        <w:gridCol w:w="121"/>
        <w:gridCol w:w="828"/>
        <w:gridCol w:w="36"/>
        <w:gridCol w:w="36"/>
        <w:gridCol w:w="36"/>
        <w:gridCol w:w="36"/>
        <w:gridCol w:w="121"/>
        <w:gridCol w:w="833"/>
        <w:gridCol w:w="36"/>
        <w:gridCol w:w="36"/>
        <w:gridCol w:w="36"/>
        <w:gridCol w:w="36"/>
        <w:gridCol w:w="120"/>
        <w:gridCol w:w="858"/>
        <w:gridCol w:w="36"/>
      </w:tblGrid>
      <w:tr w:rsidR="00000000">
        <w:trPr>
          <w:divId w:val="1601327453"/>
        </w:trPr>
        <w:tc>
          <w:tcPr>
            <w:tcW w:w="50" w:type="pct"/>
            <w:vAlign w:val="center"/>
            <w:hideMark/>
          </w:tcPr>
          <w:p w:rsidR="00000000" w:rsidRDefault="00DF5BC2">
            <w:pPr>
              <w:jc w:val="both"/>
              <w:rPr>
                <w:rFonts w:eastAsia="Times New Roman"/>
              </w:rPr>
            </w:pPr>
          </w:p>
        </w:tc>
        <w:tc>
          <w:tcPr>
            <w:tcW w:w="161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601327453"/>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Propane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UGI International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Midstream &amp; Marketing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UGI Utilities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Total</w:t>
            </w:r>
          </w:p>
        </w:tc>
      </w:tr>
      <w:tr w:rsidR="00000000">
        <w:trPr>
          <w:divId w:val="160132745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September 30,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01327453"/>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60132745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Dispositions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0132745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Purchase accounting adjustments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0132745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translation</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0132745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September 30,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0132745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Acquisitions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01327453"/>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60132745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Purchase accounting adjustments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01327453"/>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60132745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translation</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601327453"/>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September 30,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3,770 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center"/>
        <w:divId w:val="2015452392"/>
        <w:rPr>
          <w:rFonts w:eastAsia="Times New Roman"/>
        </w:rPr>
      </w:pPr>
      <w:r>
        <w:rPr>
          <w:rFonts w:eastAsia="Times New Roman"/>
          <w:color w:val="000000"/>
          <w:sz w:val="20"/>
          <w:szCs w:val="20"/>
        </w:rPr>
        <w:t>F-43</w:t>
      </w:r>
    </w:p>
    <w:p w:rsidR="00000000" w:rsidRDefault="00DF5BC2">
      <w:pPr>
        <w:rPr>
          <w:rFonts w:eastAsia="Times New Roman"/>
        </w:rPr>
      </w:pPr>
      <w:r>
        <w:rPr>
          <w:rFonts w:eastAsia="Times New Roman"/>
        </w:rPr>
        <w:pict>
          <v:rect id="_x0000_i1157" style="width:0;height:1.5pt" o:hralign="center" o:hrstd="t" o:hr="t" fillcolor="#a0a0a0" stroked="f"/>
        </w:pict>
      </w:r>
    </w:p>
    <w:p w:rsidR="00000000" w:rsidRDefault="00DF5BC2">
      <w:pPr>
        <w:divId w:val="195123397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376854412"/>
        <w:rPr>
          <w:rFonts w:eastAsia="Times New Roman"/>
        </w:rPr>
      </w:pPr>
      <w:r>
        <w:rPr>
          <w:rFonts w:eastAsia="Times New Roman"/>
          <w:b/>
          <w:bCs/>
          <w:color w:val="000000"/>
          <w:sz w:val="20"/>
          <w:szCs w:val="20"/>
        </w:rPr>
        <w:t>UGI Corporation and Subsidiaries</w:t>
      </w:r>
    </w:p>
    <w:p w:rsidR="00000000" w:rsidRDefault="00DF5BC2">
      <w:pPr>
        <w:divId w:val="822962711"/>
        <w:rPr>
          <w:rFonts w:eastAsia="Times New Roman"/>
        </w:rPr>
      </w:pPr>
      <w:r>
        <w:rPr>
          <w:rFonts w:eastAsia="Times New Roman"/>
          <w:b/>
          <w:bCs/>
          <w:color w:val="000000"/>
          <w:sz w:val="20"/>
          <w:szCs w:val="20"/>
        </w:rPr>
        <w:t>Notes to Consolidated Finan</w:t>
      </w:r>
      <w:r>
        <w:rPr>
          <w:rFonts w:eastAsia="Times New Roman"/>
          <w:b/>
          <w:bCs/>
          <w:color w:val="000000"/>
          <w:sz w:val="20"/>
          <w:szCs w:val="20"/>
        </w:rPr>
        <w:t>cial Statements</w:t>
      </w:r>
    </w:p>
    <w:p w:rsidR="00000000" w:rsidRDefault="00DF5BC2">
      <w:pPr>
        <w:divId w:val="202445316"/>
        <w:rPr>
          <w:rFonts w:eastAsia="Times New Roman"/>
        </w:rPr>
      </w:pPr>
      <w:r>
        <w:rPr>
          <w:rFonts w:eastAsia="Times New Roman"/>
          <w:color w:val="000000"/>
          <w:sz w:val="20"/>
          <w:szCs w:val="20"/>
        </w:rPr>
        <w:t>(Currency in millions, except per share amounts and where indicated otherwise)</w:t>
      </w:r>
    </w:p>
    <w:p w:rsidR="00000000" w:rsidRDefault="00DF5BC2">
      <w:pPr>
        <w:divId w:val="1257061864"/>
        <w:rPr>
          <w:rFonts w:eastAsia="Times New Roman"/>
        </w:rPr>
      </w:pPr>
    </w:p>
    <w:p w:rsidR="00000000" w:rsidRDefault="00DF5BC2">
      <w:pPr>
        <w:divId w:val="375811964"/>
        <w:rPr>
          <w:rFonts w:eastAsia="Times New Roman"/>
        </w:rPr>
      </w:pPr>
      <w:r>
        <w:rPr>
          <w:rFonts w:eastAsia="Times New Roman"/>
          <w:color w:val="000000"/>
          <w:sz w:val="20"/>
          <w:szCs w:val="20"/>
        </w:rPr>
        <w:t>Intangible assets comprise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6"/>
        <w:gridCol w:w="120"/>
        <w:gridCol w:w="922"/>
        <w:gridCol w:w="36"/>
        <w:gridCol w:w="36"/>
        <w:gridCol w:w="36"/>
        <w:gridCol w:w="36"/>
        <w:gridCol w:w="120"/>
        <w:gridCol w:w="887"/>
        <w:gridCol w:w="36"/>
      </w:tblGrid>
      <w:tr w:rsidR="00000000">
        <w:trPr>
          <w:divId w:val="1468429917"/>
        </w:trPr>
        <w:tc>
          <w:tcPr>
            <w:tcW w:w="50" w:type="pct"/>
            <w:vAlign w:val="center"/>
            <w:hideMark/>
          </w:tcPr>
          <w:p w:rsidR="00000000" w:rsidRDefault="00DF5BC2">
            <w:pPr>
              <w:rPr>
                <w:rFonts w:eastAsia="Times New Roman"/>
              </w:rPr>
            </w:pPr>
          </w:p>
        </w:tc>
        <w:tc>
          <w:tcPr>
            <w:tcW w:w="363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468429917"/>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1468429917"/>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Customer relationships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68429917"/>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Trademarks and tradenames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68429917"/>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Noncompete agreements and other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68429917"/>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Accumulated amortization</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68429917"/>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Intangible assets, net (definite-lived)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68429917"/>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Trademarks and tradenames (indefinite-lived)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49</w:t>
            </w:r>
          </w:p>
        </w:tc>
      </w:tr>
      <w:tr w:rsidR="00000000">
        <w:trPr>
          <w:divId w:val="1468429917"/>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intangible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1798647539"/>
        <w:rPr>
          <w:rFonts w:eastAsia="Times New Roman"/>
        </w:rPr>
      </w:pPr>
    </w:p>
    <w:p w:rsidR="00000000" w:rsidRDefault="00DF5BC2">
      <w:pPr>
        <w:jc w:val="both"/>
        <w:rPr>
          <w:rFonts w:eastAsia="Times New Roman"/>
        </w:rPr>
      </w:pPr>
      <w:r>
        <w:rPr>
          <w:rFonts w:eastAsia="Times New Roman"/>
          <w:color w:val="000000"/>
          <w:sz w:val="20"/>
          <w:szCs w:val="20"/>
        </w:rPr>
        <w:t xml:space="preserve">Changes in amounts above include the effects of currency translation. During the fourth quarter of Fiscal 2021, the Company recognized a $20 non-cash, pre-tax impairment charge related to a customer relationship intangible at DVEP resulting from a decline </w:t>
      </w:r>
      <w:r>
        <w:rPr>
          <w:rFonts w:eastAsia="Times New Roman"/>
          <w:color w:val="000000"/>
          <w:sz w:val="20"/>
          <w:szCs w:val="20"/>
        </w:rPr>
        <w:t xml:space="preserve">in anticipated volumes attributable to a historical customer. The charge is reflected in “Operating and administrative expenses” on the Consolidated Statements of Income.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Amortization expense of intangible assets was $76, $83 and $59 for Fiscal 2021, Fiscal 2020 and Fiscal 2019, respectively. Estimated amortization expense of intangible assets during the next five fiscal years is as follows: Fiscal 2022 — $61; Fiscal 2023 —</w:t>
      </w:r>
      <w:r>
        <w:rPr>
          <w:rFonts w:eastAsia="Times New Roman"/>
          <w:color w:val="000000"/>
          <w:sz w:val="20"/>
          <w:szCs w:val="20"/>
        </w:rPr>
        <w:t xml:space="preserve"> $57; Fiscal 2024 — $55; Fiscal 2025 — $53; Fiscal 2026 — $52.</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Note 13 — Equity</w:t>
      </w:r>
    </w:p>
    <w:p w:rsidR="00000000" w:rsidRDefault="00DF5BC2">
      <w:pPr>
        <w:jc w:val="both"/>
        <w:divId w:val="764106944"/>
        <w:rPr>
          <w:rFonts w:eastAsia="Times New Roman"/>
        </w:rPr>
      </w:pPr>
      <w:r>
        <w:rPr>
          <w:rFonts w:eastAsia="Times New Roman"/>
          <w:color w:val="000000"/>
          <w:sz w:val="20"/>
          <w:szCs w:val="20"/>
        </w:rPr>
        <w:t>On January 25, 2018, UGI’s Board of Directors authorized the repurchase of up to 8,000,000 shares of UGI Corporation Common Stock over a four-year period. Pursuant to these a</w:t>
      </w:r>
      <w:r>
        <w:rPr>
          <w:rFonts w:eastAsia="Times New Roman"/>
          <w:color w:val="000000"/>
          <w:sz w:val="20"/>
          <w:szCs w:val="20"/>
        </w:rPr>
        <w:t>uthorizations, during Fiscal 2020 and Fiscal 2019, the Company purchased and placed in treasury stock 950,000 and 300,000 shares at a total cost of $38 and $17, respectively. There were no such repurchases during Fiscal 2021.</w:t>
      </w:r>
    </w:p>
    <w:p w:rsidR="00000000" w:rsidRDefault="00DF5BC2">
      <w:pPr>
        <w:jc w:val="center"/>
        <w:divId w:val="1921791398"/>
        <w:rPr>
          <w:rFonts w:eastAsia="Times New Roman"/>
        </w:rPr>
      </w:pPr>
      <w:r>
        <w:rPr>
          <w:rFonts w:eastAsia="Times New Roman"/>
          <w:color w:val="000000"/>
          <w:sz w:val="20"/>
          <w:szCs w:val="20"/>
        </w:rPr>
        <w:t>F-44</w:t>
      </w:r>
    </w:p>
    <w:p w:rsidR="00000000" w:rsidRDefault="00DF5BC2">
      <w:pPr>
        <w:rPr>
          <w:rFonts w:eastAsia="Times New Roman"/>
        </w:rPr>
      </w:pPr>
      <w:r>
        <w:rPr>
          <w:rFonts w:eastAsia="Times New Roman"/>
        </w:rPr>
        <w:pict>
          <v:rect id="_x0000_i1158" style="width:0;height:1.5pt" o:hralign="center" o:hrstd="t" o:hr="t" fillcolor="#a0a0a0" stroked="f"/>
        </w:pict>
      </w:r>
    </w:p>
    <w:p w:rsidR="00000000" w:rsidRDefault="00DF5BC2">
      <w:pPr>
        <w:divId w:val="569464092"/>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610667844"/>
        <w:rPr>
          <w:rFonts w:eastAsia="Times New Roman"/>
        </w:rPr>
      </w:pPr>
      <w:r>
        <w:rPr>
          <w:rFonts w:eastAsia="Times New Roman"/>
          <w:b/>
          <w:bCs/>
          <w:color w:val="000000"/>
          <w:sz w:val="20"/>
          <w:szCs w:val="20"/>
        </w:rPr>
        <w:t>UGI Corporation and Subsidiaries</w:t>
      </w:r>
    </w:p>
    <w:p w:rsidR="00000000" w:rsidRDefault="00DF5BC2">
      <w:pPr>
        <w:divId w:val="104858853"/>
        <w:rPr>
          <w:rFonts w:eastAsia="Times New Roman"/>
        </w:rPr>
      </w:pPr>
      <w:r>
        <w:rPr>
          <w:rFonts w:eastAsia="Times New Roman"/>
          <w:b/>
          <w:bCs/>
          <w:color w:val="000000"/>
          <w:sz w:val="20"/>
          <w:szCs w:val="20"/>
        </w:rPr>
        <w:t>Notes to Consolidated Financial Statements</w:t>
      </w:r>
    </w:p>
    <w:p w:rsidR="00000000" w:rsidRDefault="00DF5BC2">
      <w:pPr>
        <w:divId w:val="1074277668"/>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2073887305"/>
        <w:rPr>
          <w:rFonts w:eastAsia="Times New Roman"/>
        </w:rPr>
      </w:pPr>
      <w:r>
        <w:rPr>
          <w:rFonts w:eastAsia="Times New Roman"/>
          <w:color w:val="000000"/>
          <w:sz w:val="20"/>
          <w:szCs w:val="20"/>
        </w:rPr>
        <w:t>UGI Preferred Stock and Common Stock share activity for Fiscal 2021, Fiscal 2020 and Fiscal 2019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087"/>
        <w:gridCol w:w="38"/>
        <w:gridCol w:w="125"/>
        <w:gridCol w:w="1448"/>
        <w:gridCol w:w="36"/>
        <w:gridCol w:w="36"/>
        <w:gridCol w:w="36"/>
        <w:gridCol w:w="36"/>
        <w:gridCol w:w="85"/>
        <w:gridCol w:w="985"/>
        <w:gridCol w:w="37"/>
        <w:gridCol w:w="37"/>
        <w:gridCol w:w="37"/>
        <w:gridCol w:w="37"/>
        <w:gridCol w:w="76"/>
        <w:gridCol w:w="878"/>
        <w:gridCol w:w="37"/>
        <w:gridCol w:w="37"/>
        <w:gridCol w:w="37"/>
        <w:gridCol w:w="36"/>
        <w:gridCol w:w="85"/>
        <w:gridCol w:w="985"/>
        <w:gridCol w:w="36"/>
      </w:tblGrid>
      <w:tr w:rsidR="00000000">
        <w:trPr>
          <w:divId w:val="965235226"/>
        </w:trPr>
        <w:tc>
          <w:tcPr>
            <w:tcW w:w="50" w:type="pct"/>
            <w:vAlign w:val="center"/>
            <w:hideMark/>
          </w:tcPr>
          <w:p w:rsidR="00000000" w:rsidRDefault="00DF5BC2">
            <w:pPr>
              <w:jc w:val="both"/>
              <w:rPr>
                <w:rFonts w:eastAsia="Times New Roman"/>
              </w:rPr>
            </w:pPr>
          </w:p>
        </w:tc>
        <w:tc>
          <w:tcPr>
            <w:tcW w:w="22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965235226"/>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Preferred Stock</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Common Stock</w:t>
            </w:r>
          </w:p>
        </w:tc>
      </w:tr>
      <w:tr w:rsidR="00000000">
        <w:trPr>
          <w:divId w:val="965235226"/>
        </w:trPr>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Issued/Outstanding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Issued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Outstanding</w:t>
            </w:r>
          </w:p>
        </w:tc>
      </w:tr>
      <w:tr w:rsidR="00000000">
        <w:trPr>
          <w:divId w:val="96523522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at September 30,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174,142,997 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(394,022)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173,748,975 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965235226"/>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548,285 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430,847 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979,132 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AmeriGas Merger</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34,612,847 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34,612,847 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Sale of reacquired common stock</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15,759 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15,759 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(300,000)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(300,000)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(51,924)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(51,924)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at September 30,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209,304,129 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(299,340)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209,004,789 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965235226"/>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209,915 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180,050 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389,965 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965235226"/>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96523522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Repurchases of common stock</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(950,000)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(950,000)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(90,316)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(90,316)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at Balance at September 30,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209,514,044 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(1,159,606)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208,354,438 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965235226"/>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Equity Unit offering</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220,000 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329,252 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554,315 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883,567 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965235226"/>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965235226"/>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Reacquired common stock – </w:t>
            </w: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(21,870)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(21,870)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965235226"/>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Balance at September 30, 2021</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220,000 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209,843,296 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(627,161)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209,216,135 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1588034070"/>
        <w:rPr>
          <w:rFonts w:eastAsia="Times New Roman"/>
        </w:rPr>
      </w:pPr>
      <w:r>
        <w:rPr>
          <w:rFonts w:eastAsia="Times New Roman"/>
          <w:color w:val="000000"/>
          <w:sz w:val="20"/>
          <w:szCs w:val="20"/>
        </w:rPr>
        <w:t>UGI also has 5,000,000 shares of UGI Series Preference Stock authorized for issuance. UGI had no shares of UGI Series Preference Stock outs</w:t>
      </w:r>
      <w:r>
        <w:rPr>
          <w:rFonts w:eastAsia="Times New Roman"/>
          <w:color w:val="000000"/>
          <w:sz w:val="20"/>
          <w:szCs w:val="20"/>
        </w:rPr>
        <w:t>tanding at September 30, 2021 or 2020.</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Issuance of Equity Units</w:t>
      </w:r>
    </w:p>
    <w:p w:rsidR="00000000" w:rsidRDefault="00DF5BC2">
      <w:pPr>
        <w:jc w:val="both"/>
        <w:divId w:val="1334067429"/>
        <w:rPr>
          <w:rFonts w:eastAsia="Times New Roman"/>
        </w:rPr>
      </w:pPr>
      <w:r>
        <w:rPr>
          <w:rFonts w:eastAsia="Times New Roman"/>
          <w:color w:val="000000"/>
          <w:sz w:val="20"/>
          <w:szCs w:val="20"/>
        </w:rPr>
        <w:t>On May 25, 2021, the Company issued 2.2 million Equity Units with a total notional value of $220. Each Equity Unit has a stated amount of $100 and consists of i) a 10% undivided beneficial o</w:t>
      </w:r>
      <w:r>
        <w:rPr>
          <w:rFonts w:eastAsia="Times New Roman"/>
          <w:color w:val="000000"/>
          <w:sz w:val="20"/>
          <w:szCs w:val="20"/>
        </w:rPr>
        <w:t>wnership interest in one share of Convertible Preferred Stock with a liquidation preference of $1,000 per share and ii) a 2024 Purchase Contract. The Company received approximately $213 of proceeds from the issuance of the Equity Units, net of offering exp</w:t>
      </w:r>
      <w:r>
        <w:rPr>
          <w:rFonts w:eastAsia="Times New Roman"/>
          <w:color w:val="000000"/>
          <w:sz w:val="20"/>
          <w:szCs w:val="20"/>
        </w:rPr>
        <w:t>enses and underwriting costs and commissions, and issued 220,000 shares of Convertible Preferred Stock, recording $213 in “Preferred stock” on the accompanying Consolidated Balance Sheet. The proceeds were used to pay a portion of the purchase price for th</w:t>
      </w:r>
      <w:r>
        <w:rPr>
          <w:rFonts w:eastAsia="Times New Roman"/>
          <w:color w:val="000000"/>
          <w:sz w:val="20"/>
          <w:szCs w:val="20"/>
        </w:rPr>
        <w:t>e Mountaineer Acquisition and related fees and expenses, and for general corporate purposes.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Convertible Preferred Stock.</w:t>
      </w:r>
      <w:r>
        <w:rPr>
          <w:rFonts w:eastAsia="Times New Roman"/>
          <w:color w:val="000000"/>
          <w:sz w:val="20"/>
          <w:szCs w:val="20"/>
        </w:rPr>
        <w:t xml:space="preserve"> Holders of the Convertible Preferred Stock will generally have no voting rights, except under the limited circumstances as described</w:t>
      </w:r>
      <w:r>
        <w:rPr>
          <w:rFonts w:eastAsia="Times New Roman"/>
          <w:color w:val="000000"/>
          <w:sz w:val="20"/>
          <w:szCs w:val="20"/>
        </w:rPr>
        <w:t xml:space="preserve"> in the Equity Unit Agreements, and will be entitled to receive cumulative dividends at an initial annual rate of 0.125% when, as, and if declared by the UGI Board of Directors, payable quarterly in arrears on March 1, June 1, September 1 and December 1, c</w:t>
      </w:r>
      <w:r>
        <w:rPr>
          <w:rFonts w:eastAsia="Times New Roman"/>
          <w:color w:val="000000"/>
          <w:sz w:val="20"/>
          <w:szCs w:val="20"/>
        </w:rPr>
        <w:t>ommencing September 1, 2021. The Company may elect to pay such dividends in cash, shares of UGI’s common stock or a combination of cash and shares of UGI’s common stock. Unless all accumulated and unpaid dividends on the Convertible Preferred Stock for pri</w:t>
      </w:r>
      <w:r>
        <w:rPr>
          <w:rFonts w:eastAsia="Times New Roman"/>
          <w:color w:val="000000"/>
          <w:sz w:val="20"/>
          <w:szCs w:val="20"/>
        </w:rPr>
        <w:t>or completed dividend periods have been declared and paid, the Company may not make any distributions on, or repurchase, any of its capital stock ranking equal or junior to the Convertible Preferred Stock as to dividends or upon liquidation, subject to cer</w:t>
      </w:r>
      <w:r>
        <w:rPr>
          <w:rFonts w:eastAsia="Times New Roman"/>
          <w:color w:val="000000"/>
          <w:sz w:val="20"/>
          <w:szCs w:val="20"/>
        </w:rPr>
        <w:t>tain exceptions.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Convertible Preferred Stock has no maturity date and will remain outstanding unless converted by holders or redeemed by the Company. The Company has the option to redeem all or a portion of the Convertible Preferred Stock at any time</w:t>
      </w:r>
      <w:r>
        <w:rPr>
          <w:rFonts w:eastAsia="Times New Roman"/>
          <w:color w:val="000000"/>
          <w:sz w:val="20"/>
          <w:szCs w:val="20"/>
        </w:rPr>
        <w:t>, and from time to time, on or after September 3, 2024, for cash at a redemption price equal to the liquidation preference of the Convertible Preferred Stock being redeemed plus any accumulated and unpaid dividends. Each share of Convertible Preferred Stoc</w:t>
      </w:r>
      <w:r>
        <w:rPr>
          <w:rFonts w:eastAsia="Times New Roman"/>
          <w:color w:val="000000"/>
          <w:sz w:val="20"/>
          <w:szCs w:val="20"/>
        </w:rPr>
        <w:t xml:space="preserve">k may be converted at the option of the holders on and after June 1, 2024, only after it has been separated from the Equity Units and, </w:t>
      </w:r>
    </w:p>
    <w:p w:rsidR="00000000" w:rsidRDefault="00DF5BC2">
      <w:pPr>
        <w:jc w:val="center"/>
        <w:divId w:val="843742956"/>
        <w:rPr>
          <w:rFonts w:eastAsia="Times New Roman"/>
        </w:rPr>
      </w:pPr>
      <w:r>
        <w:rPr>
          <w:rFonts w:eastAsia="Times New Roman"/>
          <w:color w:val="000000"/>
          <w:sz w:val="20"/>
          <w:szCs w:val="20"/>
        </w:rPr>
        <w:t>F-45</w:t>
      </w:r>
    </w:p>
    <w:p w:rsidR="00000000" w:rsidRDefault="00DF5BC2">
      <w:pPr>
        <w:rPr>
          <w:rFonts w:eastAsia="Times New Roman"/>
        </w:rPr>
      </w:pPr>
      <w:r>
        <w:rPr>
          <w:rFonts w:eastAsia="Times New Roman"/>
        </w:rPr>
        <w:pict>
          <v:rect id="_x0000_i1159" style="width:0;height:1.5pt" o:hralign="center" o:hrstd="t" o:hr="t" fillcolor="#a0a0a0" stroked="f"/>
        </w:pict>
      </w:r>
    </w:p>
    <w:p w:rsidR="00000000" w:rsidRDefault="00DF5BC2">
      <w:pPr>
        <w:divId w:val="358702223"/>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825779288"/>
        <w:rPr>
          <w:rFonts w:eastAsia="Times New Roman"/>
        </w:rPr>
      </w:pPr>
      <w:r>
        <w:rPr>
          <w:rFonts w:eastAsia="Times New Roman"/>
          <w:b/>
          <w:bCs/>
          <w:color w:val="000000"/>
          <w:sz w:val="20"/>
          <w:szCs w:val="20"/>
        </w:rPr>
        <w:t>UG</w:t>
      </w:r>
      <w:r>
        <w:rPr>
          <w:rFonts w:eastAsia="Times New Roman"/>
          <w:b/>
          <w:bCs/>
          <w:color w:val="000000"/>
          <w:sz w:val="20"/>
          <w:szCs w:val="20"/>
        </w:rPr>
        <w:t>I Corporation and Subsidiaries</w:t>
      </w:r>
    </w:p>
    <w:p w:rsidR="00000000" w:rsidRDefault="00DF5BC2">
      <w:pPr>
        <w:divId w:val="1809130526"/>
        <w:rPr>
          <w:rFonts w:eastAsia="Times New Roman"/>
        </w:rPr>
      </w:pPr>
      <w:r>
        <w:rPr>
          <w:rFonts w:eastAsia="Times New Roman"/>
          <w:b/>
          <w:bCs/>
          <w:color w:val="000000"/>
          <w:sz w:val="20"/>
          <w:szCs w:val="20"/>
        </w:rPr>
        <w:t>Notes to Consolidated Financial Statements</w:t>
      </w:r>
    </w:p>
    <w:p w:rsidR="00000000" w:rsidRDefault="00DF5BC2">
      <w:pPr>
        <w:divId w:val="829519389"/>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color w:val="000000"/>
          <w:sz w:val="20"/>
          <w:szCs w:val="20"/>
        </w:rPr>
        <w:t>prior to June 1, 2024, only under limited circumstances in connection with a fundamental change, as def</w:t>
      </w:r>
      <w:r>
        <w:rPr>
          <w:rFonts w:eastAsia="Times New Roman"/>
          <w:color w:val="000000"/>
          <w:sz w:val="20"/>
          <w:szCs w:val="20"/>
        </w:rPr>
        <w:t>ined in the Equity Unit Agreements. The Company will settle conversions by paying or delivering (i) one share of UGI’s 0.125% Series B preferred stock (or, for conversions in connection with a redemption of the Convertible Preferred Stock, up to $1,000 per</w:t>
      </w:r>
      <w:r>
        <w:rPr>
          <w:rFonts w:eastAsia="Times New Roman"/>
          <w:color w:val="000000"/>
          <w:sz w:val="20"/>
          <w:szCs w:val="20"/>
        </w:rPr>
        <w:t xml:space="preserve"> share in cash plus all accumulated but unpaid dividends to, but excluding, the payment date immediately preceding the relevant conversion date) per share of Convertible Preferred Stock being converted; and (ii) to the extent the conversion value exceeds t</w:t>
      </w:r>
      <w:r>
        <w:rPr>
          <w:rFonts w:eastAsia="Times New Roman"/>
          <w:color w:val="000000"/>
          <w:sz w:val="20"/>
          <w:szCs w:val="20"/>
        </w:rPr>
        <w:t>he liquidation preference of the Convertible Preferred Stock, shares of UGI’s common stock. The conversion rate is initially 19.0215 shares of UGI’s common stock per one share of Convertible Preferred Stock, which is equivalent to an initial conversion pri</w:t>
      </w:r>
      <w:r>
        <w:rPr>
          <w:rFonts w:eastAsia="Times New Roman"/>
          <w:color w:val="000000"/>
          <w:sz w:val="20"/>
          <w:szCs w:val="20"/>
        </w:rPr>
        <w:t>ce of approximately $52.57 per share of UGI’s common stock. At September 30, 2021, there were 220,000 shares of Series B preferred stock authorized for issuance pursuant to the settlement terms discussed above.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Convertible Preferred Stock can be remarketed during either (i) an optional remarketing period beginning on, and including, March 1, 2024 and ending on, and including, May 13, 2024 or (ii) a final remarketing period beginning on, and including, May 23,</w:t>
      </w:r>
      <w:r>
        <w:rPr>
          <w:rFonts w:eastAsia="Times New Roman"/>
          <w:color w:val="000000"/>
          <w:sz w:val="20"/>
          <w:szCs w:val="20"/>
        </w:rPr>
        <w:t xml:space="preserve"> 2024 and ending on, and including, May 30, 2024. In connection with a successful remarketing, the conversion rate and dividend rate of the Convertible Preferred Stock may be increased, and the earliest redemption date for the Convertible Preferred Stock m</w:t>
      </w:r>
      <w:r>
        <w:rPr>
          <w:rFonts w:eastAsia="Times New Roman"/>
          <w:color w:val="000000"/>
          <w:sz w:val="20"/>
          <w:szCs w:val="20"/>
        </w:rPr>
        <w:t>ay be changed to a later date that is on or before August 29, 2025.</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2024 Purchase Contracts.</w:t>
      </w:r>
      <w:r>
        <w:rPr>
          <w:rFonts w:eastAsia="Times New Roman"/>
          <w:color w:val="000000"/>
          <w:sz w:val="20"/>
          <w:szCs w:val="20"/>
        </w:rPr>
        <w:t xml:space="preserve"> The 2024 Purchase Contracts obligate the holders to pay $100 </w:t>
      </w:r>
      <w:r>
        <w:rPr>
          <w:rFonts w:eastAsia="Times New Roman"/>
          <w:color w:val="000000"/>
          <w:sz w:val="20"/>
          <w:szCs w:val="20"/>
        </w:rPr>
        <w:t>to UGI to purchase a variable number of shares of UGI’s common stock on the purchase contract settlement date, which is scheduled to occur on June 1, 2024. The number of shares of UGI’s common stock to be issued upon settlement of each 2024 Purchase Contra</w:t>
      </w:r>
      <w:r>
        <w:rPr>
          <w:rFonts w:eastAsia="Times New Roman"/>
          <w:color w:val="000000"/>
          <w:sz w:val="20"/>
          <w:szCs w:val="20"/>
        </w:rPr>
        <w:t>ct on the purchase contract settlement date will be equal to $100 divided by the market value per share of UGI’s common stock, which will be determined over a market value averaging period preceding the settlement date, subject to a maximum settlement rate</w:t>
      </w:r>
      <w:r>
        <w:rPr>
          <w:rFonts w:eastAsia="Times New Roman"/>
          <w:color w:val="000000"/>
          <w:sz w:val="20"/>
          <w:szCs w:val="20"/>
        </w:rPr>
        <w:t xml:space="preserve"> of 2.2826 shares of UGI’s common stock per 2024 Purchase Contract, subject to adjustment. The initial maximum settlement rate of the 2024 Purchase Contracts is approximately equal to $100 divided by the last reported sale price of $43.81 per share of UGI’</w:t>
      </w:r>
      <w:r>
        <w:rPr>
          <w:rFonts w:eastAsia="Times New Roman"/>
          <w:color w:val="000000"/>
          <w:sz w:val="20"/>
          <w:szCs w:val="20"/>
        </w:rPr>
        <w:t>s common stock on May 17, 2021. Absent any fundamental changes, as defined in the Equity Unit Agreements, the holders can settle the 2024 Purchase Contracts early, subject to certain exceptions and conditions. Upon early settlement of any 2024 Purchase Con</w:t>
      </w:r>
      <w:r>
        <w:rPr>
          <w:rFonts w:eastAsia="Times New Roman"/>
          <w:color w:val="000000"/>
          <w:sz w:val="20"/>
          <w:szCs w:val="20"/>
        </w:rPr>
        <w:t>tracts, other than in connection with a fundamental change, the Company will deliver the number of shares of UGI’s common stock equal to 85% of the number of shares of UGI’s common stock that would have otherwise been deliverable.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Company will pay ho</w:t>
      </w:r>
      <w:r>
        <w:rPr>
          <w:rFonts w:eastAsia="Times New Roman"/>
          <w:color w:val="000000"/>
          <w:sz w:val="20"/>
          <w:szCs w:val="20"/>
        </w:rPr>
        <w:t>lders of the 2024 Purchase Contracts quarterly contract adjustment payments at an annual rate of 7.125%, payable quarterly in arrears on March 1, June 1, September 1 and December 1, commencing September 1, 2021. The Company may elect to pay such contract a</w:t>
      </w:r>
      <w:r>
        <w:rPr>
          <w:rFonts w:eastAsia="Times New Roman"/>
          <w:color w:val="000000"/>
          <w:sz w:val="20"/>
          <w:szCs w:val="20"/>
        </w:rPr>
        <w:t>djustment payments in cash, shares of UGI’s common stock or a combination of cash and shares of UGI’s common stock. The Company may defer the contract adjustment payments for one or more consecutive periods but generally not beyond the purchase contract se</w:t>
      </w:r>
      <w:r>
        <w:rPr>
          <w:rFonts w:eastAsia="Times New Roman"/>
          <w:color w:val="000000"/>
          <w:sz w:val="20"/>
          <w:szCs w:val="20"/>
        </w:rPr>
        <w:t>ttlement date. If contract adjustment payments are deferred, the Company will be subject to certain dividend, distribution, and other restrictions related to its capital stock as defined in the Equity Unit Agreements.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present value of the quarterly c</w:t>
      </w:r>
      <w:r>
        <w:rPr>
          <w:rFonts w:eastAsia="Times New Roman"/>
          <w:color w:val="000000"/>
          <w:sz w:val="20"/>
          <w:szCs w:val="20"/>
        </w:rPr>
        <w:t>ontract adjustment payments liability was $45 upon issuance of the Equity Units and is recorded in “Other current liabilities” and “Other noncurrent liabilities” on the Consolidated Balance Sheet. Such liability reduced “UGI Common Stock” on the Consolidat</w:t>
      </w:r>
      <w:r>
        <w:rPr>
          <w:rFonts w:eastAsia="Times New Roman"/>
          <w:color w:val="000000"/>
          <w:sz w:val="20"/>
          <w:szCs w:val="20"/>
        </w:rPr>
        <w:t>ed Balance Sheet at inception. As each quarterly contract adjustment payment is made, the related liability is reduced and the difference between the cash payment and the present value will accrete to “Interest expense” on the Consolidated Statements of In</w:t>
      </w:r>
      <w:r>
        <w:rPr>
          <w:rFonts w:eastAsia="Times New Roman"/>
          <w:color w:val="000000"/>
          <w:sz w:val="20"/>
          <w:szCs w:val="20"/>
        </w:rPr>
        <w:t>come. This accretion was not material during Fiscal 2021.</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Note 14 — Equity-Based Compensation</w:t>
      </w:r>
    </w:p>
    <w:p w:rsidR="00000000" w:rsidRDefault="00DF5BC2">
      <w:pPr>
        <w:jc w:val="both"/>
        <w:divId w:val="639043929"/>
        <w:rPr>
          <w:rFonts w:eastAsia="Times New Roman"/>
        </w:rPr>
      </w:pPr>
      <w:r>
        <w:rPr>
          <w:rFonts w:eastAsia="Times New Roman"/>
          <w:color w:val="000000"/>
          <w:sz w:val="20"/>
          <w:szCs w:val="20"/>
        </w:rPr>
        <w:t>The Company grants equity-based awards to employees and non-employee directors comprising UGI stock options, UGI Common Stock-based equity instruments and, prio</w:t>
      </w:r>
      <w:r>
        <w:rPr>
          <w:rFonts w:eastAsia="Times New Roman"/>
          <w:color w:val="000000"/>
          <w:sz w:val="20"/>
          <w:szCs w:val="20"/>
        </w:rPr>
        <w:t>r to the AmeriGas Merger, AmeriGas Partners Common Unit-based equity instruments. We recognized total pre-tax equity-based compensation expense of $21 ($15 after-tax), $15 ($11 after-tax) and $18 ($13 after-tax) in Fiscal 2021, Fiscal 2020 and Fiscal 2019,</w:t>
      </w:r>
      <w:r>
        <w:rPr>
          <w:rFonts w:eastAsia="Times New Roman"/>
          <w:color w:val="000000"/>
          <w:sz w:val="20"/>
          <w:szCs w:val="20"/>
        </w:rPr>
        <w:t xml:space="preserve"> respectively.</w:t>
      </w:r>
    </w:p>
    <w:p w:rsidR="00000000" w:rsidRDefault="00DF5BC2">
      <w:pPr>
        <w:divId w:val="916480024"/>
        <w:rPr>
          <w:rFonts w:eastAsia="Times New Roman"/>
        </w:rPr>
      </w:pPr>
    </w:p>
    <w:p w:rsidR="00000000" w:rsidRDefault="00DF5BC2">
      <w:pPr>
        <w:jc w:val="both"/>
        <w:rPr>
          <w:rFonts w:eastAsia="Times New Roman"/>
        </w:rPr>
      </w:pPr>
      <w:r>
        <w:rPr>
          <w:rFonts w:eastAsia="Times New Roman"/>
          <w:b/>
          <w:bCs/>
          <w:i/>
          <w:iCs/>
          <w:color w:val="000000"/>
          <w:sz w:val="20"/>
          <w:szCs w:val="20"/>
        </w:rPr>
        <w:t>UGI Equity-Based Compensation Plans and Awards.</w:t>
      </w:r>
      <w:r>
        <w:rPr>
          <w:rFonts w:eastAsia="Times New Roman"/>
          <w:color w:val="000000"/>
          <w:sz w:val="20"/>
          <w:szCs w:val="20"/>
        </w:rPr>
        <w:t xml:space="preserve"> On January 29, 2021, the Company’s shareholders approved the 2021 IAP. Under the 2021 IAP, awards representing up to 20,500,000 shares of UGI Common Stock may be granted. UGI Unit Awards gran</w:t>
      </w:r>
      <w:r>
        <w:rPr>
          <w:rFonts w:eastAsia="Times New Roman"/>
          <w:color w:val="000000"/>
          <w:sz w:val="20"/>
          <w:szCs w:val="20"/>
        </w:rPr>
        <w:t>ted to employees and non-employee directors, including dividend equivalents, are settled in shares of UGI Common Stock and cash.</w:t>
      </w:r>
      <w:r>
        <w:rPr>
          <w:rFonts w:eastAsia="Times New Roman"/>
          <w:color w:val="000000"/>
        </w:rPr>
        <w:t xml:space="preserve"> </w:t>
      </w:r>
      <w:r>
        <w:rPr>
          <w:rFonts w:eastAsia="Times New Roman"/>
          <w:color w:val="000000"/>
          <w:sz w:val="20"/>
          <w:szCs w:val="20"/>
        </w:rPr>
        <w:t>The 2021 IAP supersedes and replaces the 2013 OICP for awards granted on or after February 1, 2021. The terms and conditions of</w:t>
      </w:r>
      <w:r>
        <w:rPr>
          <w:rFonts w:eastAsia="Times New Roman"/>
          <w:color w:val="000000"/>
          <w:sz w:val="20"/>
          <w:szCs w:val="20"/>
        </w:rPr>
        <w:t xml:space="preserve"> the 2013 OICP will continue to govern any outstanding awards granted thereunder. Similar to the 2013 OICP, under the 2021 IAP, we may grant options to acquire shares of UGI Common Stock, SARs, UGI Units (comprising “Stock Units” and “UGI Performance Units</w:t>
      </w:r>
      <w:r>
        <w:rPr>
          <w:rFonts w:eastAsia="Times New Roman"/>
          <w:color w:val="000000"/>
          <w:sz w:val="20"/>
          <w:szCs w:val="20"/>
        </w:rPr>
        <w:t>”), other equity-based awards and cash to key employees and non-</w:t>
      </w:r>
    </w:p>
    <w:p w:rsidR="00000000" w:rsidRDefault="00DF5BC2">
      <w:pPr>
        <w:jc w:val="center"/>
        <w:divId w:val="463739873"/>
        <w:rPr>
          <w:rFonts w:eastAsia="Times New Roman"/>
        </w:rPr>
      </w:pPr>
      <w:r>
        <w:rPr>
          <w:rFonts w:eastAsia="Times New Roman"/>
          <w:color w:val="000000"/>
          <w:sz w:val="20"/>
          <w:szCs w:val="20"/>
        </w:rPr>
        <w:t>F-46</w:t>
      </w:r>
    </w:p>
    <w:p w:rsidR="00000000" w:rsidRDefault="00DF5BC2">
      <w:pPr>
        <w:rPr>
          <w:rFonts w:eastAsia="Times New Roman"/>
        </w:rPr>
      </w:pPr>
      <w:r>
        <w:rPr>
          <w:rFonts w:eastAsia="Times New Roman"/>
        </w:rPr>
        <w:pict>
          <v:rect id="_x0000_i1160" style="width:0;height:1.5pt" o:hralign="center" o:hrstd="t" o:hr="t" fillcolor="#a0a0a0" stroked="f"/>
        </w:pict>
      </w:r>
    </w:p>
    <w:p w:rsidR="00000000" w:rsidRDefault="00DF5BC2">
      <w:pPr>
        <w:divId w:val="501165218"/>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736973561"/>
        <w:rPr>
          <w:rFonts w:eastAsia="Times New Roman"/>
        </w:rPr>
      </w:pPr>
      <w:r>
        <w:rPr>
          <w:rFonts w:eastAsia="Times New Roman"/>
          <w:b/>
          <w:bCs/>
          <w:color w:val="000000"/>
          <w:sz w:val="20"/>
          <w:szCs w:val="20"/>
        </w:rPr>
        <w:t>UGI Corporation and Subsidiaries</w:t>
      </w:r>
    </w:p>
    <w:p w:rsidR="00000000" w:rsidRDefault="00DF5BC2">
      <w:pPr>
        <w:divId w:val="2060279749"/>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rsidR="00000000" w:rsidRDefault="00DF5BC2">
      <w:pPr>
        <w:divId w:val="1052458272"/>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color w:val="000000"/>
          <w:sz w:val="20"/>
          <w:szCs w:val="20"/>
        </w:rPr>
        <w:t>employee directors. The exercise price for options may not be less than the fair market value on the grant date. Awards granted under the 2021 IAP may vest immediately or rata</w:t>
      </w:r>
      <w:r>
        <w:rPr>
          <w:rFonts w:eastAsia="Times New Roman"/>
          <w:color w:val="000000"/>
          <w:sz w:val="20"/>
          <w:szCs w:val="20"/>
        </w:rPr>
        <w:t>bly over a period of years, and stock options can be exercised no later than ten years from the grant date. Except in the event of retirement, death or disability, each grant, unless paid, will terminate when the participant ceases to be employed. There ar</w:t>
      </w:r>
      <w:r>
        <w:rPr>
          <w:rFonts w:eastAsia="Times New Roman"/>
          <w:color w:val="000000"/>
          <w:sz w:val="20"/>
          <w:szCs w:val="20"/>
        </w:rPr>
        <w:t>e certain change of control and retirement eligibility conditions that, if met, generally result in accelerated vesting or elimination of further service requirements.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There were 20,037,430 shares of Common Stock available for future grants under the 202</w:t>
      </w:r>
      <w:r>
        <w:rPr>
          <w:rFonts w:eastAsia="Times New Roman"/>
          <w:color w:val="000000"/>
          <w:sz w:val="20"/>
          <w:szCs w:val="20"/>
        </w:rPr>
        <w:t>1 IAP at September 30, 2021</w:t>
      </w:r>
      <w:r>
        <w:rPr>
          <w:rFonts w:eastAsia="Times New Roman"/>
          <w:color w:val="000000"/>
        </w:rPr>
        <w:t>.</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UGI Stock Option Awards</w:t>
      </w:r>
      <w:r>
        <w:rPr>
          <w:rFonts w:eastAsia="Times New Roman"/>
          <w:b/>
          <w:bCs/>
          <w:color w:val="000000"/>
          <w:sz w:val="20"/>
          <w:szCs w:val="20"/>
        </w:rPr>
        <w:t>.</w:t>
      </w:r>
      <w:r>
        <w:rPr>
          <w:rFonts w:eastAsia="Times New Roman"/>
          <w:color w:val="000000"/>
          <w:sz w:val="20"/>
          <w:szCs w:val="20"/>
        </w:rPr>
        <w:t xml:space="preserve"> We measure the fair value of stock options using a Black-Scholes option pricing model that uses certain key assumptions for such options related to the expected life, volatility, dividend yield and th</w:t>
      </w:r>
      <w:r>
        <w:rPr>
          <w:rFonts w:eastAsia="Times New Roman"/>
          <w:color w:val="000000"/>
          <w:sz w:val="20"/>
          <w:szCs w:val="20"/>
        </w:rPr>
        <w:t>e Company’s risk-free rate at the valuation date.</w:t>
      </w:r>
      <w:r>
        <w:rPr>
          <w:rFonts w:eastAsia="Times New Roman"/>
          <w:color w:val="000000"/>
        </w:rPr>
        <w:t xml:space="preserve"> </w:t>
      </w:r>
      <w:r>
        <w:rPr>
          <w:rFonts w:eastAsia="Times New Roman"/>
          <w:color w:val="000000"/>
          <w:sz w:val="20"/>
          <w:szCs w:val="20"/>
        </w:rPr>
        <w:t>The per share weighted average fair value of stock options granted under our option plans was $6.05, $5.58 and $8.70 in Fiscal 2021, Fiscal 2020 and Fiscal 2019, respectively. As of September 30, 2021, ther</w:t>
      </w:r>
      <w:r>
        <w:rPr>
          <w:rFonts w:eastAsia="Times New Roman"/>
          <w:color w:val="000000"/>
          <w:sz w:val="20"/>
          <w:szCs w:val="20"/>
        </w:rPr>
        <w:t>e was $7 of unrecognized compensation cost associated with unvested stock options that is expected to be recognized over a weighted-average period of 2.0 years. There were 10,204,836 stock options outstanding at September 30, 2021, of which, 7,445,827 stoc</w:t>
      </w:r>
      <w:r>
        <w:rPr>
          <w:rFonts w:eastAsia="Times New Roman"/>
          <w:color w:val="000000"/>
          <w:sz w:val="20"/>
          <w:szCs w:val="20"/>
        </w:rPr>
        <w:t>k options were exercisable with a weighted-average option price of $38.42.</w:t>
      </w:r>
    </w:p>
    <w:tbl>
      <w:tblPr>
        <w:tblW w:w="4992" w:type="pct"/>
        <w:tblCellMar>
          <w:top w:w="15" w:type="dxa"/>
          <w:left w:w="15" w:type="dxa"/>
          <w:bottom w:w="15" w:type="dxa"/>
          <w:right w:w="15" w:type="dxa"/>
        </w:tblCellMar>
        <w:tblLook w:val="04A0" w:firstRow="1" w:lastRow="0" w:firstColumn="1" w:lastColumn="0" w:noHBand="0" w:noVBand="1"/>
      </w:tblPr>
      <w:tblGrid>
        <w:gridCol w:w="59"/>
        <w:gridCol w:w="3578"/>
        <w:gridCol w:w="36"/>
        <w:gridCol w:w="60"/>
        <w:gridCol w:w="990"/>
        <w:gridCol w:w="36"/>
        <w:gridCol w:w="36"/>
        <w:gridCol w:w="36"/>
        <w:gridCol w:w="36"/>
        <w:gridCol w:w="44"/>
        <w:gridCol w:w="990"/>
        <w:gridCol w:w="36"/>
        <w:gridCol w:w="36"/>
        <w:gridCol w:w="36"/>
        <w:gridCol w:w="36"/>
        <w:gridCol w:w="44"/>
        <w:gridCol w:w="990"/>
        <w:gridCol w:w="36"/>
        <w:gridCol w:w="36"/>
        <w:gridCol w:w="36"/>
        <w:gridCol w:w="36"/>
        <w:gridCol w:w="44"/>
        <w:gridCol w:w="990"/>
        <w:gridCol w:w="36"/>
      </w:tblGrid>
      <w:tr w:rsidR="00000000">
        <w:tc>
          <w:tcPr>
            <w:tcW w:w="50" w:type="pct"/>
            <w:vAlign w:val="center"/>
            <w:hideMark/>
          </w:tcPr>
          <w:p w:rsidR="00000000" w:rsidRDefault="00DF5BC2">
            <w:pPr>
              <w:jc w:val="both"/>
              <w:rPr>
                <w:rFonts w:eastAsia="Times New Roman"/>
              </w:rPr>
            </w:pPr>
          </w:p>
        </w:tc>
        <w:tc>
          <w:tcPr>
            <w:tcW w:w="217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1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1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1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1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vanish/>
        </w:rPr>
      </w:pPr>
    </w:p>
    <w:tbl>
      <w:tblPr>
        <w:tblW w:w="4970" w:type="pct"/>
        <w:tblCellMar>
          <w:top w:w="15" w:type="dxa"/>
          <w:left w:w="15" w:type="dxa"/>
          <w:bottom w:w="15" w:type="dxa"/>
          <w:right w:w="15" w:type="dxa"/>
        </w:tblCellMar>
        <w:tblLook w:val="04A0" w:firstRow="1" w:lastRow="0" w:firstColumn="1" w:lastColumn="0" w:noHBand="0" w:noVBand="1"/>
      </w:tblPr>
      <w:tblGrid>
        <w:gridCol w:w="58"/>
        <w:gridCol w:w="3713"/>
        <w:gridCol w:w="36"/>
        <w:gridCol w:w="59"/>
        <w:gridCol w:w="722"/>
        <w:gridCol w:w="36"/>
        <w:gridCol w:w="36"/>
        <w:gridCol w:w="36"/>
        <w:gridCol w:w="36"/>
        <w:gridCol w:w="42"/>
        <w:gridCol w:w="722"/>
        <w:gridCol w:w="36"/>
        <w:gridCol w:w="36"/>
        <w:gridCol w:w="36"/>
        <w:gridCol w:w="36"/>
        <w:gridCol w:w="42"/>
        <w:gridCol w:w="722"/>
        <w:gridCol w:w="36"/>
        <w:gridCol w:w="36"/>
        <w:gridCol w:w="36"/>
        <w:gridCol w:w="36"/>
        <w:gridCol w:w="42"/>
        <w:gridCol w:w="722"/>
        <w:gridCol w:w="36"/>
        <w:gridCol w:w="36"/>
        <w:gridCol w:w="36"/>
        <w:gridCol w:w="36"/>
        <w:gridCol w:w="42"/>
        <w:gridCol w:w="722"/>
        <w:gridCol w:w="36"/>
      </w:tblGrid>
      <w:tr w:rsidR="00000000">
        <w:tc>
          <w:tcPr>
            <w:tcW w:w="50" w:type="pct"/>
            <w:vAlign w:val="center"/>
            <w:hideMark/>
          </w:tcPr>
          <w:p w:rsidR="00000000" w:rsidRDefault="00DF5BC2">
            <w:pPr>
              <w:jc w:val="both"/>
              <w:rPr>
                <w:rFonts w:eastAsia="Times New Roman"/>
              </w:rPr>
            </w:pPr>
          </w:p>
        </w:tc>
        <w:tc>
          <w:tcPr>
            <w:tcW w:w="22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5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5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5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5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5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vanish/>
        </w:rPr>
      </w:pPr>
    </w:p>
    <w:tbl>
      <w:tblPr>
        <w:tblW w:w="4934" w:type="pct"/>
        <w:tblCellMar>
          <w:top w:w="15" w:type="dxa"/>
          <w:left w:w="15" w:type="dxa"/>
          <w:bottom w:w="15" w:type="dxa"/>
          <w:right w:w="15" w:type="dxa"/>
        </w:tblCellMar>
        <w:tblLook w:val="04A0" w:firstRow="1" w:lastRow="0" w:firstColumn="1" w:lastColumn="0" w:noHBand="0" w:noVBand="1"/>
      </w:tblPr>
      <w:tblGrid>
        <w:gridCol w:w="60"/>
        <w:gridCol w:w="4612"/>
        <w:gridCol w:w="36"/>
        <w:gridCol w:w="60"/>
        <w:gridCol w:w="1004"/>
        <w:gridCol w:w="36"/>
        <w:gridCol w:w="36"/>
        <w:gridCol w:w="36"/>
        <w:gridCol w:w="36"/>
        <w:gridCol w:w="46"/>
        <w:gridCol w:w="1004"/>
        <w:gridCol w:w="36"/>
        <w:gridCol w:w="36"/>
        <w:gridCol w:w="36"/>
        <w:gridCol w:w="36"/>
        <w:gridCol w:w="46"/>
        <w:gridCol w:w="1004"/>
        <w:gridCol w:w="36"/>
      </w:tblGrid>
      <w:tr w:rsidR="00000000">
        <w:tc>
          <w:tcPr>
            <w:tcW w:w="50" w:type="pct"/>
            <w:vAlign w:val="center"/>
            <w:hideMark/>
          </w:tcPr>
          <w:p w:rsidR="00000000" w:rsidRDefault="00DF5BC2">
            <w:pPr>
              <w:jc w:val="both"/>
              <w:rPr>
                <w:rFonts w:eastAsia="Times New Roman"/>
              </w:rPr>
            </w:pPr>
          </w:p>
        </w:tc>
        <w:tc>
          <w:tcPr>
            <w:tcW w:w="28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rPr>
      </w:pPr>
      <w:r>
        <w:rPr>
          <w:rFonts w:eastAsia="Times New Roman"/>
          <w:b/>
          <w:bCs/>
          <w:i/>
          <w:iCs/>
          <w:color w:val="000000"/>
          <w:sz w:val="20"/>
          <w:szCs w:val="20"/>
        </w:rPr>
        <w:t>UGI Unit Awards</w:t>
      </w:r>
      <w:r>
        <w:rPr>
          <w:rFonts w:eastAsia="Times New Roman"/>
          <w:b/>
          <w:bCs/>
          <w:color w:val="000000"/>
          <w:sz w:val="20"/>
          <w:szCs w:val="20"/>
        </w:rPr>
        <w:t>.</w:t>
      </w:r>
      <w:r>
        <w:rPr>
          <w:rFonts w:eastAsia="Times New Roman"/>
          <w:color w:val="000000"/>
          <w:sz w:val="20"/>
          <w:szCs w:val="20"/>
        </w:rPr>
        <w:t xml:space="preserve"> </w:t>
      </w:r>
      <w:r>
        <w:rPr>
          <w:rFonts w:eastAsia="Times New Roman"/>
          <w:color w:val="000000"/>
          <w:sz w:val="20"/>
          <w:szCs w:val="20"/>
        </w:rPr>
        <w:t>UGI Stock Unit and UGI Performance Unit awards entitle the grantee to shares of UGI Common Stock or cash once the service condition is met and, with respect to UGI Performance Unit awards, subject to market performance conditions. UGI Performance Unit gran</w:t>
      </w:r>
      <w:r>
        <w:rPr>
          <w:rFonts w:eastAsia="Times New Roman"/>
          <w:color w:val="000000"/>
          <w:sz w:val="20"/>
          <w:szCs w:val="20"/>
        </w:rPr>
        <w:t xml:space="preserve">t recipients are awarded a target number of UGI Performance Units. The number of UGI Performance Units ultimately paid at the end of the performance period (generally three years) may be higher or lower than the target amount, or even zero, based on UGI’s </w:t>
      </w:r>
      <w:r>
        <w:rPr>
          <w:rFonts w:eastAsia="Times New Roman"/>
          <w:color w:val="000000"/>
          <w:sz w:val="20"/>
          <w:szCs w:val="20"/>
        </w:rPr>
        <w:t>TSR percentile rank relative to the UGI comparator group. Grantees may receive 0% to 200% of the target award granted.</w:t>
      </w:r>
    </w:p>
    <w:p w:rsidR="00000000" w:rsidRDefault="00DF5BC2">
      <w:pPr>
        <w:jc w:val="both"/>
        <w:divId w:val="112478178"/>
        <w:rPr>
          <w:rFonts w:eastAsia="Times New Roman"/>
        </w:rPr>
      </w:pPr>
    </w:p>
    <w:p w:rsidR="00000000" w:rsidRDefault="00DF5BC2">
      <w:pPr>
        <w:jc w:val="both"/>
        <w:rPr>
          <w:rFonts w:eastAsia="Times New Roman"/>
        </w:rPr>
      </w:pPr>
      <w:r>
        <w:rPr>
          <w:rFonts w:eastAsia="Times New Roman"/>
          <w:color w:val="000000"/>
          <w:sz w:val="20"/>
          <w:szCs w:val="20"/>
        </w:rPr>
        <w:t>The fair value of UGI Stock Units on the grant date is equal to the market price of UGI Stock on the grant date plus the fair value of dividend equivalents if applicable. The fair value of UGI Performance Units is estimated using a Monte Carlo valuation mo</w:t>
      </w:r>
      <w:r>
        <w:rPr>
          <w:rFonts w:eastAsia="Times New Roman"/>
          <w:color w:val="000000"/>
          <w:sz w:val="20"/>
          <w:szCs w:val="20"/>
        </w:rPr>
        <w:t>del. The fair value associated with the target award is accounted for as equity and the fair value of the award over the target, as well as all dividend equivalents, is accounted for as a liability.</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weighted-average grant date fair value of UGI Stock</w:t>
      </w:r>
      <w:r>
        <w:rPr>
          <w:rFonts w:eastAsia="Times New Roman"/>
          <w:color w:val="000000"/>
          <w:sz w:val="20"/>
          <w:szCs w:val="20"/>
        </w:rPr>
        <w:t xml:space="preserve"> Units and UGI Performance Units granted to employees during Fiscal 2021, Fiscal 2020, and Fiscal 2019 was $41.41, $41.47 and $55.40, respectively. </w:t>
      </w:r>
    </w:p>
    <w:p w:rsidR="00000000" w:rsidRDefault="00DF5BC2">
      <w:pPr>
        <w:jc w:val="both"/>
        <w:divId w:val="1214461246"/>
        <w:rPr>
          <w:rFonts w:eastAsia="Times New Roman"/>
        </w:rPr>
      </w:pPr>
      <w:r>
        <w:rPr>
          <w:rFonts w:eastAsia="Times New Roman"/>
          <w:color w:val="000000"/>
          <w:sz w:val="20"/>
          <w:szCs w:val="20"/>
        </w:rPr>
        <w:t xml:space="preserve">As of September 30, 2021, there was a total of $19 unrecognized compensation cost associated with UGI Unit </w:t>
      </w:r>
      <w:r>
        <w:rPr>
          <w:rFonts w:eastAsia="Times New Roman"/>
          <w:color w:val="000000"/>
          <w:sz w:val="20"/>
          <w:szCs w:val="20"/>
        </w:rPr>
        <w:t>awards outstanding that is expected to be recognized over a weighted-average period of 1.9 years. As of September 30, 2021, there were 1,124,369 UGI Unit awards outstanding with a weighted-average grant-date fair value of $33.41 per share.</w:t>
      </w:r>
    </w:p>
    <w:tbl>
      <w:tblPr>
        <w:tblW w:w="4992" w:type="pct"/>
        <w:tblCellMar>
          <w:top w:w="15" w:type="dxa"/>
          <w:left w:w="15" w:type="dxa"/>
          <w:bottom w:w="15" w:type="dxa"/>
          <w:right w:w="15" w:type="dxa"/>
        </w:tblCellMar>
        <w:tblLook w:val="04A0" w:firstRow="1" w:lastRow="0" w:firstColumn="1" w:lastColumn="0" w:noHBand="0" w:noVBand="1"/>
      </w:tblPr>
      <w:tblGrid>
        <w:gridCol w:w="61"/>
        <w:gridCol w:w="4892"/>
        <w:gridCol w:w="36"/>
        <w:gridCol w:w="61"/>
        <w:gridCol w:w="942"/>
        <w:gridCol w:w="36"/>
        <w:gridCol w:w="36"/>
        <w:gridCol w:w="36"/>
        <w:gridCol w:w="36"/>
        <w:gridCol w:w="46"/>
        <w:gridCol w:w="942"/>
        <w:gridCol w:w="36"/>
        <w:gridCol w:w="36"/>
        <w:gridCol w:w="36"/>
        <w:gridCol w:w="36"/>
        <w:gridCol w:w="46"/>
        <w:gridCol w:w="943"/>
        <w:gridCol w:w="36"/>
      </w:tblGrid>
      <w:tr w:rsidR="00000000">
        <w:tc>
          <w:tcPr>
            <w:tcW w:w="50" w:type="pct"/>
            <w:vAlign w:val="center"/>
            <w:hideMark/>
          </w:tcPr>
          <w:p w:rsidR="00000000" w:rsidRDefault="00DF5BC2">
            <w:pPr>
              <w:jc w:val="both"/>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4807"/>
        <w:gridCol w:w="36"/>
        <w:gridCol w:w="63"/>
        <w:gridCol w:w="1528"/>
        <w:gridCol w:w="36"/>
        <w:gridCol w:w="36"/>
        <w:gridCol w:w="36"/>
        <w:gridCol w:w="36"/>
        <w:gridCol w:w="52"/>
        <w:gridCol w:w="1577"/>
        <w:gridCol w:w="36"/>
      </w:tblGrid>
      <w:tr w:rsidR="00000000">
        <w:tc>
          <w:tcPr>
            <w:tcW w:w="50" w:type="pct"/>
            <w:vAlign w:val="center"/>
            <w:hideMark/>
          </w:tcPr>
          <w:p w:rsidR="00000000" w:rsidRDefault="00DF5BC2">
            <w:pPr>
              <w:jc w:val="both"/>
              <w:rPr>
                <w:rFonts w:eastAsia="Times New Roman"/>
              </w:rPr>
            </w:pPr>
          </w:p>
        </w:tc>
        <w:tc>
          <w:tcPr>
            <w:tcW w:w="29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3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61"/>
        <w:gridCol w:w="4892"/>
        <w:gridCol w:w="36"/>
        <w:gridCol w:w="61"/>
        <w:gridCol w:w="942"/>
        <w:gridCol w:w="36"/>
        <w:gridCol w:w="36"/>
        <w:gridCol w:w="36"/>
        <w:gridCol w:w="36"/>
        <w:gridCol w:w="46"/>
        <w:gridCol w:w="942"/>
        <w:gridCol w:w="36"/>
        <w:gridCol w:w="36"/>
        <w:gridCol w:w="36"/>
        <w:gridCol w:w="36"/>
        <w:gridCol w:w="46"/>
        <w:gridCol w:w="943"/>
        <w:gridCol w:w="36"/>
      </w:tblGrid>
      <w:tr w:rsidR="00000000">
        <w:tc>
          <w:tcPr>
            <w:tcW w:w="50" w:type="pct"/>
            <w:vAlign w:val="center"/>
            <w:hideMark/>
          </w:tcPr>
          <w:p w:rsidR="00000000" w:rsidRDefault="00DF5BC2">
            <w:pPr>
              <w:jc w:val="both"/>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rPr>
          <w:rFonts w:eastAsia="Times New Roman"/>
        </w:rPr>
      </w:pPr>
      <w:r>
        <w:rPr>
          <w:rFonts w:eastAsia="Times New Roman"/>
          <w:b/>
          <w:bCs/>
          <w:color w:val="000000"/>
          <w:sz w:val="20"/>
          <w:szCs w:val="20"/>
          <w:u w:val="single"/>
        </w:rPr>
        <w:t xml:space="preserve">Note 15 — Partnership Distributions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accordance with the Partnership Agreement, the Partnership makes distributions to its partners approximately 45 days after the end of each fiscal quarter in a total amount equal to its Available Cash (as defined in the Partnership Agreement) for such qu</w:t>
      </w:r>
      <w:r>
        <w:rPr>
          <w:rFonts w:eastAsia="Times New Roman"/>
          <w:color w:val="000000"/>
          <w:sz w:val="20"/>
          <w:szCs w:val="20"/>
        </w:rPr>
        <w:t>arter. The General Partner may establish reserves for the proper conduct of the Partnership’s business and for distributions during the next four quarters.</w:t>
      </w:r>
    </w:p>
    <w:p w:rsidR="00000000" w:rsidRDefault="00DF5BC2">
      <w:pPr>
        <w:jc w:val="both"/>
        <w:divId w:val="1946839680"/>
        <w:rPr>
          <w:rFonts w:eastAsia="Times New Roman"/>
        </w:rPr>
      </w:pPr>
      <w:r>
        <w:rPr>
          <w:rFonts w:eastAsia="Times New Roman"/>
          <w:color w:val="000000"/>
          <w:sz w:val="20"/>
          <w:szCs w:val="20"/>
        </w:rPr>
        <w:t xml:space="preserve">Prior to the AmeriGas Merger, distributions of Available Cash were made 98% to limited partners and </w:t>
      </w:r>
      <w:r>
        <w:rPr>
          <w:rFonts w:eastAsia="Times New Roman"/>
          <w:color w:val="000000"/>
          <w:sz w:val="20"/>
          <w:szCs w:val="20"/>
        </w:rPr>
        <w:t>2% to the General Partner (representing a 1% General Partner interest in AmeriGas Partners and 1.01% interest in AmeriGas OLP) in accordance with available cash and target distribution tiers (as defined in the Partnership Agreement). When available cash ex</w:t>
      </w:r>
      <w:r>
        <w:rPr>
          <w:rFonts w:eastAsia="Times New Roman"/>
          <w:color w:val="000000"/>
          <w:sz w:val="20"/>
          <w:szCs w:val="20"/>
        </w:rPr>
        <w:t>ceeded a certain distribution tier in any quarter, the General Partner would receive a greater percentage of the total Partnership distribution (the “incentive distribution”) but only with respect to the amount by which the distribution exceeded the define</w:t>
      </w:r>
      <w:r>
        <w:rPr>
          <w:rFonts w:eastAsia="Times New Roman"/>
          <w:color w:val="000000"/>
          <w:sz w:val="20"/>
          <w:szCs w:val="20"/>
        </w:rPr>
        <w:t>d amount.</w:t>
      </w:r>
    </w:p>
    <w:p w:rsidR="00000000" w:rsidRDefault="00DF5BC2">
      <w:pPr>
        <w:jc w:val="both"/>
        <w:divId w:val="1532261304"/>
        <w:rPr>
          <w:rFonts w:eastAsia="Times New Roman"/>
        </w:rPr>
      </w:pPr>
      <w:r>
        <w:rPr>
          <w:rFonts w:eastAsia="Times New Roman"/>
          <w:color w:val="000000"/>
          <w:sz w:val="20"/>
          <w:szCs w:val="20"/>
        </w:rPr>
        <w:t>During Fiscal 2019 (prior to the AmeriGas Merger), the Partnership made quarterly distributions in excess of the defined amount. As a result, the General Partner received a greater percentage of the total Partnership distribution than its aggrega</w:t>
      </w:r>
      <w:r>
        <w:rPr>
          <w:rFonts w:eastAsia="Times New Roman"/>
          <w:color w:val="000000"/>
          <w:sz w:val="20"/>
          <w:szCs w:val="20"/>
        </w:rPr>
        <w:t xml:space="preserve">te 2% general partner interest in AmeriGas OLP and AmeriGas Partners. During Fiscal 2019, distributions received by the </w:t>
      </w:r>
    </w:p>
    <w:p w:rsidR="00000000" w:rsidRDefault="00DF5BC2">
      <w:pPr>
        <w:jc w:val="center"/>
        <w:divId w:val="306862325"/>
        <w:rPr>
          <w:rFonts w:eastAsia="Times New Roman"/>
        </w:rPr>
      </w:pPr>
      <w:r>
        <w:rPr>
          <w:rFonts w:eastAsia="Times New Roman"/>
          <w:color w:val="000000"/>
          <w:sz w:val="20"/>
          <w:szCs w:val="20"/>
        </w:rPr>
        <w:t>F-47</w:t>
      </w:r>
    </w:p>
    <w:p w:rsidR="00000000" w:rsidRDefault="00DF5BC2">
      <w:pPr>
        <w:rPr>
          <w:rFonts w:eastAsia="Times New Roman"/>
        </w:rPr>
      </w:pPr>
      <w:r>
        <w:rPr>
          <w:rFonts w:eastAsia="Times New Roman"/>
        </w:rPr>
        <w:pict>
          <v:rect id="_x0000_i1161" style="width:0;height:1.5pt" o:hralign="center" o:hrstd="t" o:hr="t" fillcolor="#a0a0a0" stroked="f"/>
        </w:pict>
      </w:r>
    </w:p>
    <w:p w:rsidR="00000000" w:rsidRDefault="00DF5BC2">
      <w:pPr>
        <w:divId w:val="685908451"/>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51332248"/>
        <w:rPr>
          <w:rFonts w:eastAsia="Times New Roman"/>
        </w:rPr>
      </w:pPr>
      <w:r>
        <w:rPr>
          <w:rFonts w:eastAsia="Times New Roman"/>
          <w:b/>
          <w:bCs/>
          <w:color w:val="000000"/>
          <w:sz w:val="20"/>
          <w:szCs w:val="20"/>
        </w:rPr>
        <w:t>UGI Corporation an</w:t>
      </w:r>
      <w:r>
        <w:rPr>
          <w:rFonts w:eastAsia="Times New Roman"/>
          <w:b/>
          <w:bCs/>
          <w:color w:val="000000"/>
          <w:sz w:val="20"/>
          <w:szCs w:val="20"/>
        </w:rPr>
        <w:t>d Subsidiaries</w:t>
      </w:r>
    </w:p>
    <w:p w:rsidR="00000000" w:rsidRDefault="00DF5BC2">
      <w:pPr>
        <w:divId w:val="1347361818"/>
        <w:rPr>
          <w:rFonts w:eastAsia="Times New Roman"/>
        </w:rPr>
      </w:pPr>
      <w:r>
        <w:rPr>
          <w:rFonts w:eastAsia="Times New Roman"/>
          <w:b/>
          <w:bCs/>
          <w:color w:val="000000"/>
          <w:sz w:val="20"/>
          <w:szCs w:val="20"/>
        </w:rPr>
        <w:t>Notes to Consolidated Financial Statements</w:t>
      </w:r>
    </w:p>
    <w:p w:rsidR="00000000" w:rsidRDefault="00DF5BC2">
      <w:pPr>
        <w:divId w:val="493452310"/>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294993843"/>
        <w:rPr>
          <w:rFonts w:eastAsia="Times New Roman"/>
        </w:rPr>
      </w:pPr>
      <w:r>
        <w:rPr>
          <w:rFonts w:eastAsia="Times New Roman"/>
          <w:color w:val="000000"/>
          <w:sz w:val="20"/>
          <w:szCs w:val="20"/>
        </w:rPr>
        <w:t>General Partner with respect to its aggregate 2% general partner ownership interests totaled $55, which included incent</w:t>
      </w:r>
      <w:r>
        <w:rPr>
          <w:rFonts w:eastAsia="Times New Roman"/>
          <w:color w:val="000000"/>
          <w:sz w:val="20"/>
          <w:szCs w:val="20"/>
        </w:rPr>
        <w:t>ive distributions of $45.</w:t>
      </w:r>
    </w:p>
    <w:p w:rsidR="00000000" w:rsidRDefault="00DF5BC2">
      <w:pPr>
        <w:divId w:val="1159345415"/>
        <w:rPr>
          <w:rFonts w:eastAsia="Times New Roman"/>
        </w:rPr>
      </w:pPr>
      <w:r>
        <w:rPr>
          <w:rFonts w:eastAsia="Times New Roman"/>
          <w:b/>
          <w:bCs/>
          <w:color w:val="000000"/>
          <w:sz w:val="20"/>
          <w:szCs w:val="20"/>
          <w:u w:val="single"/>
        </w:rPr>
        <w:t>Note 16 — Leases</w:t>
      </w:r>
      <w:r>
        <w:rPr>
          <w:rFonts w:eastAsia="Times New Roman"/>
          <w:color w:val="000000"/>
          <w:sz w:val="20"/>
          <w:szCs w:val="20"/>
        </w:rPr>
        <w:t xml:space="preserve"> </w:t>
      </w:r>
    </w:p>
    <w:p w:rsidR="00000000" w:rsidRDefault="00DF5BC2">
      <w:pPr>
        <w:divId w:val="1620184766"/>
        <w:rPr>
          <w:rFonts w:eastAsia="Times New Roman"/>
        </w:rPr>
      </w:pPr>
    </w:p>
    <w:p w:rsidR="00000000" w:rsidRDefault="00DF5BC2">
      <w:pPr>
        <w:jc w:val="both"/>
        <w:rPr>
          <w:rFonts w:eastAsia="Times New Roman"/>
        </w:rPr>
      </w:pPr>
      <w:r>
        <w:rPr>
          <w:rFonts w:eastAsia="Times New Roman"/>
          <w:b/>
          <w:bCs/>
          <w:color w:val="000000"/>
          <w:sz w:val="20"/>
          <w:szCs w:val="20"/>
        </w:rPr>
        <w:t>Lessee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lease various buildings and other facilities, real estate, vehicles, rail cars and other equipment, the majority of which are operating leases. We determine if a contract is or contains a lease by evaluating whether the contract explicitly or implicitly</w:t>
      </w:r>
      <w:r>
        <w:rPr>
          <w:rFonts w:eastAsia="Times New Roman"/>
          <w:color w:val="000000"/>
          <w:sz w:val="20"/>
          <w:szCs w:val="20"/>
        </w:rPr>
        <w:t xml:space="preserve"> identifies an asset, whether we have the right to obtain substantially all of the economic benefits of the identified leased asset and to direct its use.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ROU assets represent our right to use an underlying asset for the lease term and lease liabilities</w:t>
      </w:r>
      <w:r>
        <w:rPr>
          <w:rFonts w:eastAsia="Times New Roman"/>
          <w:color w:val="000000"/>
          <w:sz w:val="20"/>
          <w:szCs w:val="20"/>
        </w:rPr>
        <w:t xml:space="preserve"> represent our obligation to make lease payments arising from the lease. We recognize ROU assets at the lease commencement date at the value of the lease liability adjusted for any prepayments, lease incentives received, and initial direct costs incurred. </w:t>
      </w:r>
      <w:r>
        <w:rPr>
          <w:rFonts w:eastAsia="Times New Roman"/>
          <w:color w:val="000000"/>
          <w:sz w:val="20"/>
          <w:szCs w:val="20"/>
        </w:rPr>
        <w:t>Lease liabilities are recognized at the lease commencement date based on the present value of lease payments over the lease term. These payments are discounted using the discount rate implicit in the lease, when available. We apply an incremental borrowing</w:t>
      </w:r>
      <w:r>
        <w:rPr>
          <w:rFonts w:eastAsia="Times New Roman"/>
          <w:color w:val="000000"/>
          <w:sz w:val="20"/>
          <w:szCs w:val="20"/>
        </w:rPr>
        <w:t xml:space="preserve"> rate, which is developed utilizing a credit notching approach based on information available at the lease commencement date, to substantially all of our leases as the implicit rate is often not available.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Lease expense is recognized on a straight-line </w:t>
      </w:r>
      <w:r>
        <w:rPr>
          <w:rFonts w:eastAsia="Times New Roman"/>
          <w:color w:val="000000"/>
          <w:sz w:val="20"/>
          <w:szCs w:val="20"/>
        </w:rPr>
        <w:t xml:space="preserve">basis over the expected lease term. Renewal and termination options are not included in the lease term unless we are reasonably certain that such options will be exercised. Leases with an original lease term of one year or less, including consideration of </w:t>
      </w:r>
      <w:r>
        <w:rPr>
          <w:rFonts w:eastAsia="Times New Roman"/>
          <w:color w:val="000000"/>
          <w:sz w:val="20"/>
          <w:szCs w:val="20"/>
        </w:rPr>
        <w:t xml:space="preserve">any renewal options assumed to be exercised, are not included in the Consolidated Balance Sheets.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Certain lease arrangements, primarily fleet vehicle leases with lease terms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ten years, contain purchase options. The Company generally excludes p</w:t>
      </w:r>
      <w:r>
        <w:rPr>
          <w:rFonts w:eastAsia="Times New Roman"/>
          <w:color w:val="000000"/>
          <w:sz w:val="20"/>
          <w:szCs w:val="20"/>
        </w:rPr>
        <w:t xml:space="preserve">urchase options in evaluating its leases unless it is reasonably certain that such options will be exercised. Additionally, leases of fleet vehicles often contain residual value guarantees that are due at the end of the lease. Such amounts are included in </w:t>
      </w:r>
      <w:r>
        <w:rPr>
          <w:rFonts w:eastAsia="Times New Roman"/>
          <w:color w:val="000000"/>
          <w:sz w:val="20"/>
          <w:szCs w:val="20"/>
        </w:rPr>
        <w:t>the determination of lease liabilities when we are reasonably certain that they will be owed.</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Certain leasing arrangements require variable payments that are dependent on asset usage or are based on changes in index rates, such as the Consumer Price Inde</w:t>
      </w:r>
      <w:r>
        <w:rPr>
          <w:rFonts w:eastAsia="Times New Roman"/>
          <w:color w:val="000000"/>
          <w:sz w:val="20"/>
          <w:szCs w:val="20"/>
        </w:rPr>
        <w:t xml:space="preserve">x. The variable payments component of such leases cannot be determined at lease commencement and is not recognized in the measurement of ROU assets or lease liabilities, but is recognized in earnings in the period in which the obligation occurs. </w:t>
      </w:r>
    </w:p>
    <w:p w:rsidR="00000000" w:rsidRDefault="00DF5BC2">
      <w:pPr>
        <w:jc w:val="both"/>
        <w:rPr>
          <w:rFonts w:eastAsia="Times New Roman"/>
        </w:rPr>
      </w:pPr>
    </w:p>
    <w:p w:rsidR="00000000" w:rsidRDefault="00DF5BC2">
      <w:pPr>
        <w:jc w:val="center"/>
        <w:divId w:val="161050101"/>
        <w:rPr>
          <w:rFonts w:eastAsia="Times New Roman"/>
        </w:rPr>
      </w:pPr>
      <w:r>
        <w:rPr>
          <w:rFonts w:eastAsia="Times New Roman"/>
          <w:color w:val="000000"/>
          <w:sz w:val="20"/>
          <w:szCs w:val="20"/>
        </w:rPr>
        <w:t>F-48</w:t>
      </w:r>
    </w:p>
    <w:p w:rsidR="00000000" w:rsidRDefault="00DF5BC2">
      <w:pPr>
        <w:rPr>
          <w:rFonts w:eastAsia="Times New Roman"/>
        </w:rPr>
      </w:pPr>
      <w:r>
        <w:rPr>
          <w:rFonts w:eastAsia="Times New Roman"/>
        </w:rPr>
        <w:pict>
          <v:rect id="_x0000_i1162" style="width:0;height:1.5pt" o:hralign="center" o:hrstd="t" o:hr="t" fillcolor="#a0a0a0" stroked="f"/>
        </w:pict>
      </w:r>
    </w:p>
    <w:p w:rsidR="00000000" w:rsidRDefault="00DF5BC2">
      <w:pPr>
        <w:divId w:val="847212546"/>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346753028"/>
        <w:rPr>
          <w:rFonts w:eastAsia="Times New Roman"/>
        </w:rPr>
      </w:pPr>
      <w:r>
        <w:rPr>
          <w:rFonts w:eastAsia="Times New Roman"/>
          <w:b/>
          <w:bCs/>
          <w:color w:val="000000"/>
          <w:sz w:val="20"/>
          <w:szCs w:val="20"/>
        </w:rPr>
        <w:t>UGI Corporation and Subsidiaries</w:t>
      </w:r>
    </w:p>
    <w:p w:rsidR="00000000" w:rsidRDefault="00DF5BC2">
      <w:pPr>
        <w:divId w:val="306251259"/>
        <w:rPr>
          <w:rFonts w:eastAsia="Times New Roman"/>
        </w:rPr>
      </w:pPr>
      <w:r>
        <w:rPr>
          <w:rFonts w:eastAsia="Times New Roman"/>
          <w:b/>
          <w:bCs/>
          <w:color w:val="000000"/>
          <w:sz w:val="20"/>
          <w:szCs w:val="20"/>
        </w:rPr>
        <w:t>Notes to Consolidated Financial Statements</w:t>
      </w:r>
    </w:p>
    <w:p w:rsidR="00000000" w:rsidRDefault="00DF5BC2">
      <w:pPr>
        <w:divId w:val="1762219578"/>
        <w:rPr>
          <w:rFonts w:eastAsia="Times New Roman"/>
        </w:rPr>
      </w:pPr>
      <w:r>
        <w:rPr>
          <w:rFonts w:eastAsia="Times New Roman"/>
          <w:color w:val="000000"/>
          <w:sz w:val="20"/>
          <w:szCs w:val="20"/>
        </w:rPr>
        <w:t>(Currency in millions, except per share amounts and where indicated otherwise)</w:t>
      </w:r>
    </w:p>
    <w:p w:rsidR="00000000" w:rsidRDefault="00DF5BC2">
      <w:pPr>
        <w:divId w:val="301884735"/>
        <w:rPr>
          <w:rFonts w:eastAsia="Times New Roman"/>
        </w:rPr>
      </w:pPr>
      <w:r>
        <w:rPr>
          <w:rFonts w:eastAsia="Times New Roman"/>
          <w:color w:val="000000"/>
          <w:sz w:val="20"/>
          <w:szCs w:val="20"/>
        </w:rPr>
        <w:t>ROU assets and lease liabilities recorded in the Consolidated Balance Sheets as of September 30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688"/>
        <w:gridCol w:w="38"/>
        <w:gridCol w:w="120"/>
        <w:gridCol w:w="1292"/>
        <w:gridCol w:w="36"/>
        <w:gridCol w:w="36"/>
        <w:gridCol w:w="36"/>
        <w:gridCol w:w="36"/>
        <w:gridCol w:w="120"/>
        <w:gridCol w:w="1262"/>
        <w:gridCol w:w="36"/>
        <w:gridCol w:w="36"/>
        <w:gridCol w:w="43"/>
        <w:gridCol w:w="36"/>
        <w:gridCol w:w="47"/>
        <w:gridCol w:w="2361"/>
        <w:gridCol w:w="38"/>
      </w:tblGrid>
      <w:tr w:rsidR="00000000">
        <w:trPr>
          <w:divId w:val="1246919700"/>
          <w:jc w:val="center"/>
        </w:trPr>
        <w:tc>
          <w:tcPr>
            <w:tcW w:w="50" w:type="pct"/>
            <w:vAlign w:val="center"/>
            <w:hideMark/>
          </w:tcPr>
          <w:p w:rsidR="00000000" w:rsidRDefault="00DF5BC2">
            <w:pPr>
              <w:rPr>
                <w:rFonts w:eastAsia="Times New Roman"/>
              </w:rPr>
            </w:pPr>
          </w:p>
        </w:tc>
        <w:tc>
          <w:tcPr>
            <w:tcW w:w="164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0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0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4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246919700"/>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Location on the Balance Sheet</w:t>
            </w:r>
          </w:p>
        </w:tc>
      </w:tr>
      <w:tr w:rsidR="00000000">
        <w:trPr>
          <w:divId w:val="1246919700"/>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ROU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46919700"/>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lease ROU assets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asset</w:t>
            </w:r>
            <w:r>
              <w:rPr>
                <w:rFonts w:eastAsia="Times New Roman"/>
                <w:color w:val="000000"/>
                <w:sz w:val="20"/>
                <w:szCs w:val="20"/>
              </w:rPr>
              <w:t>s</w:t>
            </w:r>
          </w:p>
        </w:tc>
      </w:tr>
      <w:tr w:rsidR="00000000">
        <w:trPr>
          <w:divId w:val="1246919700"/>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Finance lease ROU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Property, plant and equipmen</w:t>
            </w:r>
            <w:r>
              <w:rPr>
                <w:rFonts w:eastAsia="Times New Roman"/>
                <w:color w:val="000000"/>
                <w:sz w:val="20"/>
                <w:szCs w:val="20"/>
              </w:rPr>
              <w:t>t</w:t>
            </w:r>
          </w:p>
        </w:tc>
      </w:tr>
      <w:tr w:rsidR="00000000">
        <w:trPr>
          <w:divId w:val="1246919700"/>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ROU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46919700"/>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46919700"/>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46919700"/>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lease liabilities — current</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r>
      <w:tr w:rsidR="00000000">
        <w:trPr>
          <w:divId w:val="1246919700"/>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lease liabilities — noncurrent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noncurrent liabilitie</w:t>
            </w:r>
            <w:r>
              <w:rPr>
                <w:rFonts w:eastAsia="Times New Roman"/>
                <w:color w:val="000000"/>
                <w:sz w:val="20"/>
                <w:szCs w:val="20"/>
              </w:rPr>
              <w:t>s</w:t>
            </w:r>
          </w:p>
        </w:tc>
      </w:tr>
      <w:tr w:rsidR="00000000">
        <w:trPr>
          <w:divId w:val="1246919700"/>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Finance lease liabilities — current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Current maturities of long-term deb</w:t>
            </w:r>
            <w:r>
              <w:rPr>
                <w:rFonts w:eastAsia="Times New Roman"/>
                <w:color w:val="000000"/>
                <w:sz w:val="20"/>
                <w:szCs w:val="20"/>
              </w:rPr>
              <w:t>t</w:t>
            </w:r>
          </w:p>
        </w:tc>
      </w:tr>
      <w:tr w:rsidR="00000000">
        <w:trPr>
          <w:divId w:val="1246919700"/>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Finance lease liabilities — noncurrent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Long-term deb</w:t>
            </w:r>
            <w:r>
              <w:rPr>
                <w:rFonts w:eastAsia="Times New Roman"/>
                <w:color w:val="000000"/>
                <w:sz w:val="20"/>
                <w:szCs w:val="20"/>
              </w:rPr>
              <w:t>t</w:t>
            </w:r>
          </w:p>
        </w:tc>
      </w:tr>
      <w:tr w:rsidR="00000000">
        <w:trPr>
          <w:divId w:val="1246919700"/>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bl>
    <w:p w:rsidR="00000000" w:rsidRDefault="00DF5BC2">
      <w:pPr>
        <w:divId w:val="1205021605"/>
        <w:rPr>
          <w:rFonts w:eastAsia="Times New Roman"/>
        </w:rPr>
      </w:pPr>
    </w:p>
    <w:p w:rsidR="00000000" w:rsidRDefault="00DF5BC2">
      <w:pPr>
        <w:divId w:val="1558975219"/>
        <w:rPr>
          <w:rFonts w:eastAsia="Times New Roman"/>
        </w:rPr>
      </w:pPr>
      <w:r>
        <w:rPr>
          <w:rFonts w:eastAsia="Times New Roman"/>
          <w:color w:val="000000"/>
          <w:sz w:val="20"/>
          <w:szCs w:val="20"/>
        </w:rPr>
        <w:t>The components of lease cost for Fiscal 2021 and Fiscal 2020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80"/>
        <w:gridCol w:w="37"/>
        <w:gridCol w:w="120"/>
        <w:gridCol w:w="1431"/>
        <w:gridCol w:w="36"/>
        <w:gridCol w:w="36"/>
        <w:gridCol w:w="36"/>
        <w:gridCol w:w="36"/>
        <w:gridCol w:w="120"/>
        <w:gridCol w:w="1398"/>
        <w:gridCol w:w="36"/>
      </w:tblGrid>
      <w:tr w:rsidR="00000000">
        <w:trPr>
          <w:divId w:val="1707557798"/>
          <w:jc w:val="center"/>
        </w:trPr>
        <w:tc>
          <w:tcPr>
            <w:tcW w:w="50" w:type="pct"/>
            <w:vAlign w:val="center"/>
            <w:hideMark/>
          </w:tcPr>
          <w:p w:rsidR="00000000" w:rsidRDefault="00DF5BC2">
            <w:pPr>
              <w:rPr>
                <w:rFonts w:eastAsia="Times New Roman"/>
              </w:rPr>
            </w:pPr>
          </w:p>
        </w:tc>
        <w:tc>
          <w:tcPr>
            <w:tcW w:w="302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8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707557798"/>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1707557798"/>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707557798"/>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707557798"/>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Amortization of ROU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707557798"/>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Interest on lease liabilities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707557798"/>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Variable lease cost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707557798"/>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Short-term lease cost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707557798"/>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lease cost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1219897224"/>
        <w:rPr>
          <w:rFonts w:eastAsia="Times New Roman"/>
        </w:rPr>
      </w:pPr>
    </w:p>
    <w:p w:rsidR="00000000" w:rsidRDefault="00DF5BC2">
      <w:pPr>
        <w:divId w:val="246422809"/>
        <w:rPr>
          <w:rFonts w:eastAsia="Times New Roman"/>
        </w:rPr>
      </w:pPr>
      <w:r>
        <w:rPr>
          <w:rFonts w:eastAsia="Times New Roman"/>
          <w:color w:val="000000"/>
          <w:sz w:val="20"/>
          <w:szCs w:val="20"/>
        </w:rPr>
        <w:t>The following table presents the cash and non-cash activity related to lease liabilities included in the Consolidated Statements of Cash Flows during Fiscal 2021 and Fiscal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79"/>
        <w:gridCol w:w="37"/>
        <w:gridCol w:w="121"/>
        <w:gridCol w:w="1431"/>
        <w:gridCol w:w="36"/>
        <w:gridCol w:w="36"/>
        <w:gridCol w:w="36"/>
        <w:gridCol w:w="36"/>
        <w:gridCol w:w="120"/>
        <w:gridCol w:w="1398"/>
        <w:gridCol w:w="36"/>
      </w:tblGrid>
      <w:tr w:rsidR="00000000">
        <w:trPr>
          <w:divId w:val="187453463"/>
          <w:jc w:val="center"/>
        </w:trPr>
        <w:tc>
          <w:tcPr>
            <w:tcW w:w="50" w:type="pct"/>
            <w:vAlign w:val="center"/>
            <w:hideMark/>
          </w:tcPr>
          <w:p w:rsidR="00000000" w:rsidRDefault="00DF5BC2">
            <w:pPr>
              <w:rPr>
                <w:rFonts w:eastAsia="Times New Roman"/>
              </w:rPr>
            </w:pPr>
          </w:p>
        </w:tc>
        <w:tc>
          <w:tcPr>
            <w:tcW w:w="302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8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87453463"/>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187453463"/>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paid related to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87453463"/>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cash flows — operating leases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87453463"/>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cash flows — finance leases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87453463"/>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Financing cash flows — finance leases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87453463"/>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87453463"/>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Non-cash lease liability activities: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87453463"/>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ROU assets obtained in exchange for operating lease liabilities (a)</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87453463"/>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ROU assets obtained in exchange for finance lease liabilities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divId w:val="408817861"/>
        <w:rPr>
          <w:rFonts w:eastAsia="Times New Roman"/>
        </w:rPr>
      </w:pPr>
      <w:r>
        <w:rPr>
          <w:rFonts w:eastAsia="Times New Roman"/>
          <w:color w:val="000000"/>
          <w:sz w:val="20"/>
          <w:szCs w:val="20"/>
        </w:rPr>
        <w:t>(a)    Fiscal 2020 includes the impact of the adoption of ASC842.</w:t>
      </w:r>
    </w:p>
    <w:p w:rsidR="00000000" w:rsidRDefault="00DF5BC2">
      <w:pPr>
        <w:jc w:val="both"/>
        <w:rPr>
          <w:rFonts w:eastAsia="Times New Roman"/>
        </w:rPr>
      </w:pPr>
    </w:p>
    <w:p w:rsidR="00000000" w:rsidRDefault="00DF5BC2">
      <w:pPr>
        <w:jc w:val="center"/>
        <w:divId w:val="1883900422"/>
        <w:rPr>
          <w:rFonts w:eastAsia="Times New Roman"/>
        </w:rPr>
      </w:pPr>
      <w:r>
        <w:rPr>
          <w:rFonts w:eastAsia="Times New Roman"/>
          <w:color w:val="000000"/>
          <w:sz w:val="20"/>
          <w:szCs w:val="20"/>
        </w:rPr>
        <w:t>F-49</w:t>
      </w:r>
    </w:p>
    <w:p w:rsidR="00000000" w:rsidRDefault="00DF5BC2">
      <w:pPr>
        <w:rPr>
          <w:rFonts w:eastAsia="Times New Roman"/>
        </w:rPr>
      </w:pPr>
      <w:r>
        <w:rPr>
          <w:rFonts w:eastAsia="Times New Roman"/>
        </w:rPr>
        <w:pict>
          <v:rect id="_x0000_i1163" style="width:0;height:1.5pt" o:hralign="center" o:hrstd="t" o:hr="t" fillcolor="#a0a0a0" stroked="f"/>
        </w:pict>
      </w:r>
    </w:p>
    <w:p w:rsidR="00000000" w:rsidRDefault="00DF5BC2">
      <w:pPr>
        <w:divId w:val="652372256"/>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297877991"/>
        <w:rPr>
          <w:rFonts w:eastAsia="Times New Roman"/>
        </w:rPr>
      </w:pPr>
      <w:r>
        <w:rPr>
          <w:rFonts w:eastAsia="Times New Roman"/>
          <w:b/>
          <w:bCs/>
          <w:color w:val="000000"/>
          <w:sz w:val="20"/>
          <w:szCs w:val="20"/>
        </w:rPr>
        <w:t>UGI Corporation and Subsidiaries</w:t>
      </w:r>
    </w:p>
    <w:p w:rsidR="00000000" w:rsidRDefault="00DF5BC2">
      <w:pPr>
        <w:divId w:val="1423645266"/>
        <w:rPr>
          <w:rFonts w:eastAsia="Times New Roman"/>
        </w:rPr>
      </w:pPr>
      <w:r>
        <w:rPr>
          <w:rFonts w:eastAsia="Times New Roman"/>
          <w:b/>
          <w:bCs/>
          <w:color w:val="000000"/>
          <w:sz w:val="20"/>
          <w:szCs w:val="20"/>
        </w:rPr>
        <w:t>Notes to Consolidated Financial Statements</w:t>
      </w:r>
    </w:p>
    <w:p w:rsidR="00000000" w:rsidRDefault="00DF5BC2">
      <w:pPr>
        <w:divId w:val="1469738122"/>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jc w:val="both"/>
        <w:rPr>
          <w:rFonts w:eastAsia="Times New Roman"/>
        </w:rPr>
      </w:pPr>
      <w:r>
        <w:rPr>
          <w:rFonts w:eastAsia="Times New Roman"/>
          <w:color w:val="000000"/>
          <w:sz w:val="20"/>
          <w:szCs w:val="20"/>
        </w:rPr>
        <w:t>The following table presents the weighted-average remaining lease term and weighted-average discount rate:</w:t>
      </w: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5002"/>
        <w:gridCol w:w="37"/>
        <w:gridCol w:w="63"/>
        <w:gridCol w:w="1453"/>
        <w:gridCol w:w="36"/>
        <w:gridCol w:w="36"/>
        <w:gridCol w:w="36"/>
        <w:gridCol w:w="36"/>
        <w:gridCol w:w="52"/>
        <w:gridCol w:w="1456"/>
        <w:gridCol w:w="36"/>
      </w:tblGrid>
      <w:tr w:rsidR="00000000">
        <w:trPr>
          <w:divId w:val="1857423520"/>
          <w:jc w:val="center"/>
        </w:trPr>
        <w:tc>
          <w:tcPr>
            <w:tcW w:w="50" w:type="pct"/>
            <w:vAlign w:val="center"/>
            <w:hideMark/>
          </w:tcPr>
          <w:p w:rsidR="00000000" w:rsidRDefault="00DF5BC2">
            <w:pPr>
              <w:jc w:val="both"/>
              <w:rPr>
                <w:rFonts w:eastAsia="Times New Roman"/>
              </w:rPr>
            </w:pPr>
          </w:p>
        </w:tc>
        <w:tc>
          <w:tcPr>
            <w:tcW w:w="302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8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8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85742352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Weighted-average remaining lease term (in years)</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1857423520"/>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6.3</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6.2</w:t>
            </w:r>
          </w:p>
        </w:tc>
      </w:tr>
      <w:tr w:rsidR="00000000">
        <w:trPr>
          <w:divId w:val="1857423520"/>
          <w:jc w:val="center"/>
        </w:trPr>
        <w:tc>
          <w:tcPr>
            <w:tcW w:w="0" w:type="auto"/>
            <w:gridSpan w:val="3"/>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Finance leases</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2.4</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2.4</w:t>
            </w:r>
          </w:p>
        </w:tc>
      </w:tr>
      <w:tr w:rsidR="00000000">
        <w:trPr>
          <w:divId w:val="1857423520"/>
          <w:trHeight w:val="120"/>
          <w:jc w:val="center"/>
        </w:trPr>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857423520"/>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Weighted-average discount rate (%)</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1857423520"/>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3.6%</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3.8%</w:t>
            </w:r>
          </w:p>
        </w:tc>
      </w:tr>
      <w:tr w:rsidR="00000000">
        <w:trPr>
          <w:divId w:val="1857423520"/>
          <w:jc w:val="center"/>
        </w:trPr>
        <w:tc>
          <w:tcPr>
            <w:tcW w:w="0" w:type="auto"/>
            <w:gridSpan w:val="3"/>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Finance leases</w:t>
            </w: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1.5%</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1.9%</w:t>
            </w:r>
          </w:p>
        </w:tc>
      </w:tr>
    </w:tbl>
    <w:p w:rsidR="00000000" w:rsidRDefault="00DF5BC2">
      <w:pPr>
        <w:jc w:val="both"/>
        <w:divId w:val="1947541738"/>
        <w:rPr>
          <w:rFonts w:eastAsia="Times New Roman"/>
        </w:rPr>
      </w:pPr>
      <w:r>
        <w:rPr>
          <w:rFonts w:eastAsia="Times New Roman"/>
          <w:color w:val="000000"/>
          <w:sz w:val="20"/>
          <w:szCs w:val="20"/>
        </w:rPr>
        <w:t>Expected annual lease payments based on maturities of operating and finance leases, as well as a reconciliation to the lease liabilities on the Consolidated Balance Sheet, as of September 30, 2021, were as follows:</w:t>
      </w:r>
    </w:p>
    <w:tbl>
      <w:tblPr>
        <w:tblW w:w="4956" w:type="pct"/>
        <w:jc w:val="center"/>
        <w:tblCellMar>
          <w:top w:w="15" w:type="dxa"/>
          <w:left w:w="15" w:type="dxa"/>
          <w:bottom w:w="15" w:type="dxa"/>
          <w:right w:w="15" w:type="dxa"/>
        </w:tblCellMar>
        <w:tblLook w:val="04A0" w:firstRow="1" w:lastRow="0" w:firstColumn="1" w:lastColumn="0" w:noHBand="0" w:noVBand="1"/>
      </w:tblPr>
      <w:tblGrid>
        <w:gridCol w:w="48"/>
        <w:gridCol w:w="1101"/>
        <w:gridCol w:w="36"/>
        <w:gridCol w:w="120"/>
        <w:gridCol w:w="551"/>
        <w:gridCol w:w="36"/>
        <w:gridCol w:w="36"/>
        <w:gridCol w:w="36"/>
        <w:gridCol w:w="36"/>
        <w:gridCol w:w="120"/>
        <w:gridCol w:w="490"/>
        <w:gridCol w:w="36"/>
        <w:gridCol w:w="36"/>
        <w:gridCol w:w="36"/>
        <w:gridCol w:w="36"/>
        <w:gridCol w:w="120"/>
        <w:gridCol w:w="443"/>
        <w:gridCol w:w="36"/>
        <w:gridCol w:w="36"/>
        <w:gridCol w:w="36"/>
        <w:gridCol w:w="36"/>
        <w:gridCol w:w="120"/>
        <w:gridCol w:w="467"/>
        <w:gridCol w:w="36"/>
        <w:gridCol w:w="36"/>
        <w:gridCol w:w="36"/>
        <w:gridCol w:w="36"/>
        <w:gridCol w:w="120"/>
        <w:gridCol w:w="479"/>
        <w:gridCol w:w="36"/>
        <w:gridCol w:w="36"/>
        <w:gridCol w:w="36"/>
        <w:gridCol w:w="36"/>
        <w:gridCol w:w="120"/>
        <w:gridCol w:w="479"/>
        <w:gridCol w:w="36"/>
        <w:gridCol w:w="36"/>
        <w:gridCol w:w="36"/>
        <w:gridCol w:w="36"/>
        <w:gridCol w:w="121"/>
        <w:gridCol w:w="639"/>
        <w:gridCol w:w="36"/>
        <w:gridCol w:w="36"/>
        <w:gridCol w:w="36"/>
        <w:gridCol w:w="36"/>
        <w:gridCol w:w="121"/>
        <w:gridCol w:w="555"/>
        <w:gridCol w:w="36"/>
        <w:gridCol w:w="36"/>
        <w:gridCol w:w="36"/>
        <w:gridCol w:w="36"/>
        <w:gridCol w:w="121"/>
        <w:gridCol w:w="674"/>
        <w:gridCol w:w="36"/>
      </w:tblGrid>
      <w:tr w:rsidR="00000000">
        <w:trPr>
          <w:jc w:val="center"/>
        </w:trPr>
        <w:tc>
          <w:tcPr>
            <w:tcW w:w="50" w:type="pct"/>
            <w:vAlign w:val="center"/>
            <w:hideMark/>
          </w:tcPr>
          <w:p w:rsidR="00000000" w:rsidRDefault="00DF5BC2">
            <w:pPr>
              <w:jc w:val="both"/>
              <w:rPr>
                <w:rFonts w:eastAsia="Times New Roman"/>
              </w:rPr>
            </w:pPr>
          </w:p>
        </w:tc>
        <w:tc>
          <w:tcPr>
            <w:tcW w:w="7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6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5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5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2022</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2023</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2024</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2025</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2026</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After 2026</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Total Lease Payments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Imputed Interest</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Lease Liabilities</w:t>
            </w:r>
          </w:p>
        </w:tc>
      </w:tr>
      <w:tr w:rsidR="00DF5BC2">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Operating leases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Finance leases</w:t>
            </w:r>
          </w:p>
        </w:tc>
        <w:tc>
          <w:tcPr>
            <w:tcW w:w="0" w:type="auto"/>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81 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98 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45 </w:t>
            </w:r>
          </w:p>
        </w:tc>
        <w:tc>
          <w:tcPr>
            <w:tcW w:w="0" w:type="auto"/>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divId w:val="1832870092"/>
        <w:rPr>
          <w:rFonts w:eastAsia="Times New Roman"/>
        </w:rPr>
      </w:pPr>
      <w:r>
        <w:rPr>
          <w:rFonts w:eastAsia="Times New Roman"/>
          <w:color w:val="000000"/>
          <w:sz w:val="20"/>
          <w:szCs w:val="20"/>
        </w:rPr>
        <w:t xml:space="preserve">Approximately 85% of the operating lease liabilities presented above relate to AmeriGas Propane. </w:t>
      </w:r>
    </w:p>
    <w:p w:rsidR="00000000" w:rsidRDefault="00DF5BC2">
      <w:pPr>
        <w:divId w:val="670379317"/>
        <w:rPr>
          <w:rFonts w:eastAsia="Times New Roman"/>
        </w:rPr>
      </w:pPr>
    </w:p>
    <w:p w:rsidR="00000000" w:rsidRDefault="00DF5BC2">
      <w:pPr>
        <w:jc w:val="both"/>
        <w:rPr>
          <w:rFonts w:eastAsia="Times New Roman"/>
        </w:rPr>
      </w:pPr>
      <w:r>
        <w:rPr>
          <w:rFonts w:eastAsia="Times New Roman"/>
          <w:color w:val="000000"/>
          <w:sz w:val="20"/>
          <w:szCs w:val="20"/>
        </w:rPr>
        <w:t xml:space="preserve">At September 30, 2021, operating and finance leases that had not </w:t>
      </w:r>
      <w:r>
        <w:rPr>
          <w:rFonts w:eastAsia="Times New Roman"/>
          <w:color w:val="000000"/>
          <w:sz w:val="20"/>
          <w:szCs w:val="20"/>
        </w:rPr>
        <w:t>yet commenced were not material.</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Lessor</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We enter into lessor arrangements for the purposes of storing, gathering or distributing natural gas and LPG. AmeriGas Propane and UGI International have lessor arrangements that grant customers the right to use small, medium and large storage tanks, which</w:t>
      </w:r>
      <w:r>
        <w:rPr>
          <w:rFonts w:eastAsia="Times New Roman"/>
          <w:color w:val="000000"/>
          <w:sz w:val="20"/>
          <w:szCs w:val="20"/>
        </w:rPr>
        <w:t xml:space="preserve"> we classify as operating leases. These agreements contain renewal options for periods up to nine years and certain agreements at UGI International contain a purchase option. Energy Services leases certain natural gas gathering assets to customers, which w</w:t>
      </w:r>
      <w:r>
        <w:rPr>
          <w:rFonts w:eastAsia="Times New Roman"/>
          <w:color w:val="000000"/>
          <w:sz w:val="20"/>
          <w:szCs w:val="20"/>
        </w:rPr>
        <w:t xml:space="preserve">e classify as operating leases. Lease income is generally recognized on a straight-line basis over the lease term and included in “Revenues” on the Consolidated Statements of Income (see Note 4).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17 — Commitments and Contingencies </w:t>
      </w:r>
    </w:p>
    <w:p w:rsidR="00000000" w:rsidRDefault="00DF5BC2">
      <w:pPr>
        <w:jc w:val="both"/>
        <w:divId w:val="1454131171"/>
        <w:rPr>
          <w:rFonts w:eastAsia="Times New Roman"/>
        </w:rPr>
      </w:pPr>
      <w:r>
        <w:rPr>
          <w:rFonts w:eastAsia="Times New Roman"/>
          <w:b/>
          <w:bCs/>
          <w:i/>
          <w:iCs/>
          <w:color w:val="000000"/>
          <w:sz w:val="20"/>
          <w:szCs w:val="20"/>
        </w:rPr>
        <w:t>Environmental Ma</w:t>
      </w:r>
      <w:r>
        <w:rPr>
          <w:rFonts w:eastAsia="Times New Roman"/>
          <w:b/>
          <w:bCs/>
          <w:i/>
          <w:iCs/>
          <w:color w:val="000000"/>
          <w:sz w:val="20"/>
          <w:szCs w:val="20"/>
        </w:rPr>
        <w:t>tters</w:t>
      </w:r>
    </w:p>
    <w:p w:rsidR="00000000" w:rsidRDefault="00DF5BC2">
      <w:pPr>
        <w:divId w:val="1546217830"/>
        <w:rPr>
          <w:rFonts w:eastAsia="Times New Roman"/>
        </w:rPr>
      </w:pPr>
    </w:p>
    <w:p w:rsidR="00000000" w:rsidRDefault="00DF5BC2">
      <w:pPr>
        <w:divId w:val="76093975"/>
        <w:rPr>
          <w:rFonts w:eastAsia="Times New Roman"/>
        </w:rPr>
      </w:pPr>
      <w:r>
        <w:rPr>
          <w:rFonts w:eastAsia="Times New Roman"/>
          <w:color w:val="000000"/>
          <w:sz w:val="20"/>
          <w:szCs w:val="20"/>
          <w:u w:val="single"/>
        </w:rPr>
        <w:t>UGI Utilities, Inc.</w:t>
      </w:r>
    </w:p>
    <w:p w:rsidR="00000000" w:rsidRDefault="00DF5BC2">
      <w:pPr>
        <w:divId w:val="1899583458"/>
        <w:rPr>
          <w:rFonts w:eastAsia="Times New Roman"/>
        </w:rPr>
      </w:pPr>
    </w:p>
    <w:p w:rsidR="00000000" w:rsidRDefault="00DF5BC2">
      <w:pPr>
        <w:jc w:val="both"/>
        <w:rPr>
          <w:rFonts w:eastAsia="Times New Roman"/>
        </w:rPr>
      </w:pPr>
      <w:r>
        <w:rPr>
          <w:rFonts w:eastAsia="Times New Roman"/>
          <w:color w:val="000000"/>
          <w:sz w:val="20"/>
          <w:szCs w:val="20"/>
        </w:rPr>
        <w:t>From the late 1800s through the mid-1900s, UGI Utilities, Inc. and its former subsidiaries owned and operated a number of MGPs prior to the general availability of natural gas. Some constituents of coal tars and other residues</w:t>
      </w:r>
      <w:r>
        <w:rPr>
          <w:rFonts w:eastAsia="Times New Roman"/>
          <w:color w:val="000000"/>
          <w:sz w:val="20"/>
          <w:szCs w:val="20"/>
        </w:rPr>
        <w:t xml:space="preserve"> of the manufactured gas process are today considered hazardous substances under the Superfund Law and may be present on the sites of former MGPs. Between 1882 and 1953, UGI Utilities, Inc. owned the stock of subsidiary gas companies in Pennsylvania and el</w:t>
      </w:r>
      <w:r>
        <w:rPr>
          <w:rFonts w:eastAsia="Times New Roman"/>
          <w:color w:val="000000"/>
          <w:sz w:val="20"/>
          <w:szCs w:val="20"/>
        </w:rPr>
        <w:t>sewhere and also operated the businesses of some gas companies under agreement. By the early 1950s, UGI Utilities, Inc. divested all of its utility operations other than certain gas and electric operations. Beginning in 2006 and 2008, UGI Utilities, Inc. a</w:t>
      </w:r>
      <w:r>
        <w:rPr>
          <w:rFonts w:eastAsia="Times New Roman"/>
          <w:color w:val="000000"/>
          <w:sz w:val="20"/>
          <w:szCs w:val="20"/>
        </w:rPr>
        <w:t>lso owned and operated two acquired subsidiaries, with similar histories of owning, and in some cases operating, MGPs in Pennsylvania.</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Prior to October 1, 2020, UGI Utilities, Inc. was subject to three COAs with the PADEP to address the remediation of sp</w:t>
      </w:r>
      <w:r>
        <w:rPr>
          <w:rFonts w:eastAsia="Times New Roman"/>
          <w:color w:val="000000"/>
          <w:sz w:val="20"/>
          <w:szCs w:val="20"/>
        </w:rPr>
        <w:t xml:space="preserve">ecified former MGP sites in Pennsylvania and in the case of one COA, the plugging of specified natural gas wells. Effective October 1, 2020, the three COAs were consolidated into one agreement that supersedes the existing agreements and which is scheduled </w:t>
      </w:r>
      <w:r>
        <w:rPr>
          <w:rFonts w:eastAsia="Times New Roman"/>
          <w:color w:val="000000"/>
          <w:sz w:val="20"/>
          <w:szCs w:val="20"/>
        </w:rPr>
        <w:t xml:space="preserve">to terminate at the end of 2031. In accordance with the consolidated COA, UGI Utilities, Inc. is required to either obtain a certain number of points per calendar year based on defined eligible environmental investigatory and/or remedial activities at the </w:t>
      </w:r>
      <w:r>
        <w:rPr>
          <w:rFonts w:eastAsia="Times New Roman"/>
          <w:color w:val="000000"/>
          <w:sz w:val="20"/>
          <w:szCs w:val="20"/>
        </w:rPr>
        <w:t>MGPs, or make expenditures for such activities in an amount equal to an annual environmental minimum expenditure threshold. The annual minimum expenditure threshold of the consolidated COA is $5. The consolidated COA permits the transfer of the specified w</w:t>
      </w:r>
      <w:r>
        <w:rPr>
          <w:rFonts w:eastAsia="Times New Roman"/>
          <w:color w:val="000000"/>
          <w:sz w:val="20"/>
          <w:szCs w:val="20"/>
        </w:rPr>
        <w:t>ells, with related costs counted towards the annual minimum expenditure. At September 30, 2021 and 2020, our aggregate estimated accrued liabilities for environmental investigation and remediation costs related to the current COA and the predecessor agreem</w:t>
      </w:r>
      <w:r>
        <w:rPr>
          <w:rFonts w:eastAsia="Times New Roman"/>
          <w:color w:val="000000"/>
          <w:sz w:val="20"/>
          <w:szCs w:val="20"/>
        </w:rPr>
        <w:t>ents totaled $50 and $53, respectively.</w:t>
      </w:r>
    </w:p>
    <w:p w:rsidR="00000000" w:rsidRDefault="00DF5BC2">
      <w:pPr>
        <w:jc w:val="center"/>
        <w:divId w:val="680162835"/>
        <w:rPr>
          <w:rFonts w:eastAsia="Times New Roman"/>
        </w:rPr>
      </w:pPr>
      <w:r>
        <w:rPr>
          <w:rFonts w:eastAsia="Times New Roman"/>
          <w:color w:val="000000"/>
          <w:sz w:val="20"/>
          <w:szCs w:val="20"/>
        </w:rPr>
        <w:t>F-50</w:t>
      </w:r>
    </w:p>
    <w:p w:rsidR="00000000" w:rsidRDefault="00DF5BC2">
      <w:pPr>
        <w:rPr>
          <w:rFonts w:eastAsia="Times New Roman"/>
        </w:rPr>
      </w:pPr>
      <w:r>
        <w:rPr>
          <w:rFonts w:eastAsia="Times New Roman"/>
        </w:rPr>
        <w:pict>
          <v:rect id="_x0000_i1164" style="width:0;height:1.5pt" o:hralign="center" o:hrstd="t" o:hr="t" fillcolor="#a0a0a0" stroked="f"/>
        </w:pict>
      </w:r>
    </w:p>
    <w:p w:rsidR="00000000" w:rsidRDefault="00DF5BC2">
      <w:pPr>
        <w:divId w:val="365913154"/>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469470809"/>
        <w:rPr>
          <w:rFonts w:eastAsia="Times New Roman"/>
        </w:rPr>
      </w:pPr>
      <w:r>
        <w:rPr>
          <w:rFonts w:eastAsia="Times New Roman"/>
          <w:b/>
          <w:bCs/>
          <w:color w:val="000000"/>
          <w:sz w:val="20"/>
          <w:szCs w:val="20"/>
        </w:rPr>
        <w:t>UGI Corporation and Subsidiaries</w:t>
      </w:r>
    </w:p>
    <w:p w:rsidR="00000000" w:rsidRDefault="00DF5BC2">
      <w:pPr>
        <w:divId w:val="1903441068"/>
        <w:rPr>
          <w:rFonts w:eastAsia="Times New Roman"/>
        </w:rPr>
      </w:pPr>
      <w:r>
        <w:rPr>
          <w:rFonts w:eastAsia="Times New Roman"/>
          <w:b/>
          <w:bCs/>
          <w:color w:val="000000"/>
          <w:sz w:val="20"/>
          <w:szCs w:val="20"/>
        </w:rPr>
        <w:t>Notes to Consolidated Financial Statements</w:t>
      </w:r>
    </w:p>
    <w:p w:rsidR="00000000" w:rsidRDefault="00DF5BC2">
      <w:pPr>
        <w:divId w:val="1276205828"/>
        <w:rPr>
          <w:rFonts w:eastAsia="Times New Roman"/>
        </w:rPr>
      </w:pPr>
      <w:r>
        <w:rPr>
          <w:rFonts w:eastAsia="Times New Roman"/>
          <w:color w:val="000000"/>
          <w:sz w:val="20"/>
          <w:szCs w:val="20"/>
        </w:rPr>
        <w:t>(Currency in millions,</w:t>
      </w:r>
      <w:r>
        <w:rPr>
          <w:rFonts w:eastAsia="Times New Roman"/>
          <w:color w:val="000000"/>
          <w:sz w:val="20"/>
          <w:szCs w:val="20"/>
        </w:rPr>
        <w:t xml:space="preserve"> except per share amounts and where indicated otherwise)</w:t>
      </w:r>
    </w:p>
    <w:p w:rsidR="00000000" w:rsidRDefault="00DF5BC2">
      <w:pPr>
        <w:jc w:val="both"/>
        <w:divId w:val="1454786172"/>
        <w:rPr>
          <w:rFonts w:eastAsia="Times New Roman"/>
        </w:rPr>
      </w:pPr>
      <w:r>
        <w:rPr>
          <w:rFonts w:eastAsia="Times New Roman"/>
          <w:color w:val="000000"/>
          <w:sz w:val="20"/>
          <w:szCs w:val="20"/>
        </w:rPr>
        <w:t>We do not expect the costs for investigation and remediation of hazardous substances at Pennsylvania MGP sites to be material to UGI Utilities, Inc.’s results of operations because UGI Utilities, Inc</w:t>
      </w:r>
      <w:r>
        <w:rPr>
          <w:rFonts w:eastAsia="Times New Roman"/>
          <w:color w:val="000000"/>
          <w:sz w:val="20"/>
          <w:szCs w:val="20"/>
        </w:rPr>
        <w:t xml:space="preserve">. receives ratemaking recovery of actual environmental investigation and remediation costs associated with the sites covered by the COA. This ratemaking recognition reconciles the accumulated difference between historical costs and rate recoveries with an </w:t>
      </w:r>
      <w:r>
        <w:rPr>
          <w:rFonts w:eastAsia="Times New Roman"/>
          <w:color w:val="000000"/>
          <w:sz w:val="20"/>
          <w:szCs w:val="20"/>
        </w:rPr>
        <w:t>estimate of future costs associated with the sites. As such, UGI Utilities, Inc. has recorded an associated regulatory asset for these costs because recovery of these costs from customers is probable (see Note 9).</w:t>
      </w:r>
    </w:p>
    <w:p w:rsidR="00000000" w:rsidRDefault="00DF5BC2">
      <w:pPr>
        <w:jc w:val="both"/>
        <w:divId w:val="265188868"/>
        <w:rPr>
          <w:rFonts w:eastAsia="Times New Roman"/>
        </w:rPr>
      </w:pPr>
      <w:r>
        <w:rPr>
          <w:rFonts w:eastAsia="Times New Roman"/>
          <w:color w:val="000000"/>
          <w:sz w:val="20"/>
          <w:szCs w:val="20"/>
        </w:rPr>
        <w:t xml:space="preserve">From time to time, UGI Utilities, Inc. is </w:t>
      </w:r>
      <w:r>
        <w:rPr>
          <w:rFonts w:eastAsia="Times New Roman"/>
          <w:color w:val="000000"/>
          <w:sz w:val="20"/>
          <w:szCs w:val="20"/>
        </w:rPr>
        <w:t xml:space="preserve">notified of sites outside Pennsylvania on which private parties allege MGPs were formerly owned or operated by UGI Utilities, Inc. or owned or operated by a former subsidiary. Such parties generally investigate the extent of environmental contamination or </w:t>
      </w:r>
      <w:r>
        <w:rPr>
          <w:rFonts w:eastAsia="Times New Roman"/>
          <w:color w:val="000000"/>
          <w:sz w:val="20"/>
          <w:szCs w:val="20"/>
        </w:rPr>
        <w:t>perform environmental remediation. Management believes that under applicable law UGI Utilities, Inc. should not be liable in those instances in which a former subsidiary owned or operated an MGP. There could be, however, significant future costs of an unce</w:t>
      </w:r>
      <w:r>
        <w:rPr>
          <w:rFonts w:eastAsia="Times New Roman"/>
          <w:color w:val="000000"/>
          <w:sz w:val="20"/>
          <w:szCs w:val="20"/>
        </w:rPr>
        <w:t>rtain amount associated with environmental damage caused by MGPs outside Pennsylvania that UGI Utilities, Inc. directly operated, or that were owned or operated by a former subsidiary of UGI Utilities, Inc. if a court were to conclude that (1) the subsidia</w:t>
      </w:r>
      <w:r>
        <w:rPr>
          <w:rFonts w:eastAsia="Times New Roman"/>
          <w:color w:val="000000"/>
          <w:sz w:val="20"/>
          <w:szCs w:val="20"/>
        </w:rPr>
        <w:t>ry’s separate corporate form should be disregarded, or (2) UGI Utilities, Inc. should be considered to have been an operator because of its conduct with respect to its subsidiary’s MGP. Neither the undiscounted nor the accrued liability for environmental i</w:t>
      </w:r>
      <w:r>
        <w:rPr>
          <w:rFonts w:eastAsia="Times New Roman"/>
          <w:color w:val="000000"/>
          <w:sz w:val="20"/>
          <w:szCs w:val="20"/>
        </w:rPr>
        <w:t>nvestigation and cleanup costs for UGI Utilities, Inc.’s MGP sites outside Pennsylvania was material for all periods presented.</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u w:val="single"/>
        </w:rPr>
        <w:t>AmeriGas Propane</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 xml:space="preserve">AmeriGas OLP Saranac Lake. </w:t>
      </w:r>
      <w:r>
        <w:rPr>
          <w:rFonts w:eastAsia="Times New Roman"/>
          <w:color w:val="000000"/>
          <w:sz w:val="20"/>
          <w:szCs w:val="20"/>
        </w:rPr>
        <w:t>In 2008, the NYDEC notified AmeriGas OLP that the NYDEC had placed property purportedly owned by AmeriGas OLP in Saranac Lake, New York on the New York State Registry of Inactive Hazardous Waste Disposal Sites.  A site characterization study performed by t</w:t>
      </w:r>
      <w:r>
        <w:rPr>
          <w:rFonts w:eastAsia="Times New Roman"/>
          <w:color w:val="000000"/>
          <w:sz w:val="20"/>
          <w:szCs w:val="20"/>
        </w:rPr>
        <w:t xml:space="preserve">he NYDEC disclosed contamination related to a former MGP.  AmeriGas OLP responded to the NYDEC in 2009 to dispute the contention it was a PRP as it did not operate the MGP and appeared to only own a portion of the site.  In 2017, the NYDEC communicated to </w:t>
      </w:r>
      <w:r>
        <w:rPr>
          <w:rFonts w:eastAsia="Times New Roman"/>
          <w:color w:val="000000"/>
          <w:sz w:val="20"/>
          <w:szCs w:val="20"/>
        </w:rPr>
        <w:t xml:space="preserve">AmeriGas OLP that the NYDEC had previously issued three RODs related to remediation of the site totaling approximately $28 and requested additional information regarding AmeriGas OLP’s purported ownership. AmeriGas OLP renewed its challenge to designation </w:t>
      </w:r>
      <w:r>
        <w:rPr>
          <w:rFonts w:eastAsia="Times New Roman"/>
          <w:color w:val="000000"/>
          <w:sz w:val="20"/>
          <w:szCs w:val="20"/>
        </w:rPr>
        <w:t>as a PRP and identified potential defenses.  The NYDEC subsequently identified a third party PRP with respect to the site.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NYDEC commenced implementation of the remediation plan in the spring of 2018.  Based on our evaluation of the available informa</w:t>
      </w:r>
      <w:r>
        <w:rPr>
          <w:rFonts w:eastAsia="Times New Roman"/>
          <w:color w:val="000000"/>
          <w:sz w:val="20"/>
          <w:szCs w:val="20"/>
        </w:rPr>
        <w:t xml:space="preserve">tion as of September 30, 2021 and 2020, the Partnership has an undiscounted environmental remediation liability of $8 related to the site. Our share of the actual remediation costs could be significantly more or less than the accrued amount. </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Other Matte</w:t>
      </w:r>
      <w:r>
        <w:rPr>
          <w:rFonts w:eastAsia="Times New Roman"/>
          <w:b/>
          <w:bCs/>
          <w:i/>
          <w:iCs/>
          <w:color w:val="000000"/>
          <w:sz w:val="20"/>
          <w:szCs w:val="20"/>
        </w:rPr>
        <w:t>rs</w:t>
      </w:r>
    </w:p>
    <w:p w:rsidR="00000000" w:rsidRDefault="00DF5BC2">
      <w:pPr>
        <w:jc w:val="both"/>
        <w:rPr>
          <w:rFonts w:eastAsia="Times New Roman"/>
        </w:rPr>
      </w:pPr>
    </w:p>
    <w:p w:rsidR="00000000" w:rsidRDefault="00DF5BC2">
      <w:pPr>
        <w:jc w:val="both"/>
        <w:rPr>
          <w:rFonts w:eastAsia="Times New Roman"/>
        </w:rPr>
      </w:pPr>
      <w:r>
        <w:rPr>
          <w:rFonts w:eastAsia="Times New Roman"/>
          <w:b/>
          <w:bCs/>
          <w:i/>
          <w:iCs/>
          <w:color w:val="000000"/>
          <w:sz w:val="20"/>
          <w:szCs w:val="20"/>
        </w:rPr>
        <w:t>Purported Class Action Lawsuits.</w:t>
      </w:r>
      <w:r>
        <w:rPr>
          <w:rFonts w:eastAsia="Times New Roman"/>
          <w:i/>
          <w:iCs/>
          <w:color w:val="000000"/>
          <w:sz w:val="20"/>
          <w:szCs w:val="20"/>
        </w:rPr>
        <w:t xml:space="preserve"> </w:t>
      </w:r>
      <w:r>
        <w:rPr>
          <w:rFonts w:eastAsia="Times New Roman"/>
          <w:color w:val="000000"/>
          <w:sz w:val="20"/>
          <w:szCs w:val="20"/>
        </w:rPr>
        <w:t>Between May and October of 2014, purported class action lawsuits were filed in multiple jurisdictions against the Partnership/UGI and a competitor by certain of their direct and indirect customers.  The class action la</w:t>
      </w:r>
      <w:r>
        <w:rPr>
          <w:rFonts w:eastAsia="Times New Roman"/>
          <w:color w:val="000000"/>
          <w:sz w:val="20"/>
          <w:szCs w:val="20"/>
        </w:rPr>
        <w:t>wsuits allege, among other things, that the Partnership and its competitor colluded, beginning in 2008, to reduce the fill level of portable propane cylinders from 17 pounds to 15 pounds and combined to persuade their common customer, Walmart Stores, Inc.,</w:t>
      </w:r>
      <w:r>
        <w:rPr>
          <w:rFonts w:eastAsia="Times New Roman"/>
          <w:color w:val="000000"/>
          <w:sz w:val="20"/>
          <w:szCs w:val="20"/>
        </w:rPr>
        <w:t xml:space="preserve"> to accept that fill reduction, resulting in increased cylinder costs to retailers and end-user customers in violation of federal and certain state antitrust laws.  The claims seek treble damages, injunctive relief, attorneys’ fees and costs on behalf of t</w:t>
      </w:r>
      <w:r>
        <w:rPr>
          <w:rFonts w:eastAsia="Times New Roman"/>
          <w:color w:val="000000"/>
          <w:sz w:val="20"/>
          <w:szCs w:val="20"/>
        </w:rPr>
        <w:t>he putative classes.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October 16, 2014, the United States Judicial Panel on Multidistrict Litigation transferred all of these purported class action cases to the Western Missouri District Court.  As the result of rulings on a series of procedural filin</w:t>
      </w:r>
      <w:r>
        <w:rPr>
          <w:rFonts w:eastAsia="Times New Roman"/>
          <w:color w:val="000000"/>
          <w:sz w:val="20"/>
          <w:szCs w:val="20"/>
        </w:rPr>
        <w:t>gs, including petitions filed with the Eighth Circuit and the U.S. Supreme Court, both the federal and state law claims of the direct customer plaintiffs and the state law claims of the indirect customer plaintiffs were remanded to the Western Missouri Dis</w:t>
      </w:r>
      <w:r>
        <w:rPr>
          <w:rFonts w:eastAsia="Times New Roman"/>
          <w:color w:val="000000"/>
          <w:sz w:val="20"/>
          <w:szCs w:val="20"/>
        </w:rPr>
        <w:t>trict Court.  The decision of the Western Missouri District Court to dismiss the federal antitrust claims of the indirect customer plaintiffs was upheld by the Eighth Circuit.  On April 15, 2019, the Western Missouri District Court ruled that it has jurisd</w:t>
      </w:r>
      <w:r>
        <w:rPr>
          <w:rFonts w:eastAsia="Times New Roman"/>
          <w:color w:val="000000"/>
          <w:sz w:val="20"/>
          <w:szCs w:val="20"/>
        </w:rPr>
        <w:t xml:space="preserve">iction over the indirect purchasers’ state law claims and that the indirect customer plaintiffs have standing to pursue those claims. On August 21, 2019, the District Court partially granted the Company’s motion for judgment on the pleadings and dismissed </w:t>
      </w:r>
      <w:r>
        <w:rPr>
          <w:rFonts w:eastAsia="Times New Roman"/>
          <w:color w:val="000000"/>
          <w:sz w:val="20"/>
          <w:szCs w:val="20"/>
        </w:rPr>
        <w:t>the claims of indirect customer plaintiffs from ten states and the District of Columbia.</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On October 2, 2019, the Partnership reached an agreement to resolve the claims of the direct purchaser class of plaintiffs; the agreement received final court approval on June 18, 2020. On September 18, 2020, the Partnership and counsel for the indirect </w:t>
      </w:r>
    </w:p>
    <w:p w:rsidR="00000000" w:rsidRDefault="00DF5BC2">
      <w:pPr>
        <w:jc w:val="center"/>
        <w:divId w:val="869613754"/>
        <w:rPr>
          <w:rFonts w:eastAsia="Times New Roman"/>
        </w:rPr>
      </w:pPr>
      <w:r>
        <w:rPr>
          <w:rFonts w:eastAsia="Times New Roman"/>
          <w:color w:val="000000"/>
          <w:sz w:val="20"/>
          <w:szCs w:val="20"/>
        </w:rPr>
        <w:t>F</w:t>
      </w:r>
      <w:r>
        <w:rPr>
          <w:rFonts w:eastAsia="Times New Roman"/>
          <w:color w:val="000000"/>
          <w:sz w:val="20"/>
          <w:szCs w:val="20"/>
        </w:rPr>
        <w:t>-51</w:t>
      </w:r>
    </w:p>
    <w:p w:rsidR="00000000" w:rsidRDefault="00DF5BC2">
      <w:pPr>
        <w:rPr>
          <w:rFonts w:eastAsia="Times New Roman"/>
        </w:rPr>
      </w:pPr>
      <w:r>
        <w:rPr>
          <w:rFonts w:eastAsia="Times New Roman"/>
        </w:rPr>
        <w:pict>
          <v:rect id="_x0000_i1165" style="width:0;height:1.5pt" o:hralign="center" o:hrstd="t" o:hr="t" fillcolor="#a0a0a0" stroked="f"/>
        </w:pict>
      </w:r>
    </w:p>
    <w:p w:rsidR="00000000" w:rsidRDefault="00DF5BC2">
      <w:pPr>
        <w:divId w:val="1824152291"/>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478495170"/>
        <w:rPr>
          <w:rFonts w:eastAsia="Times New Roman"/>
        </w:rPr>
      </w:pPr>
      <w:r>
        <w:rPr>
          <w:rFonts w:eastAsia="Times New Roman"/>
          <w:b/>
          <w:bCs/>
          <w:color w:val="000000"/>
          <w:sz w:val="20"/>
          <w:szCs w:val="20"/>
        </w:rPr>
        <w:t>UGI Corporation and Subsidiaries</w:t>
      </w:r>
    </w:p>
    <w:p w:rsidR="00000000" w:rsidRDefault="00DF5BC2">
      <w:pPr>
        <w:divId w:val="554314881"/>
        <w:rPr>
          <w:rFonts w:eastAsia="Times New Roman"/>
        </w:rPr>
      </w:pPr>
      <w:r>
        <w:rPr>
          <w:rFonts w:eastAsia="Times New Roman"/>
          <w:b/>
          <w:bCs/>
          <w:color w:val="000000"/>
          <w:sz w:val="20"/>
          <w:szCs w:val="20"/>
        </w:rPr>
        <w:t>Notes to Consolidated Financial Statements</w:t>
      </w:r>
    </w:p>
    <w:p w:rsidR="00000000" w:rsidRDefault="00DF5BC2">
      <w:pPr>
        <w:divId w:val="1860855557"/>
        <w:rPr>
          <w:rFonts w:eastAsia="Times New Roman"/>
        </w:rPr>
      </w:pPr>
      <w:r>
        <w:rPr>
          <w:rFonts w:eastAsia="Times New Roman"/>
          <w:color w:val="000000"/>
          <w:sz w:val="20"/>
          <w:szCs w:val="20"/>
        </w:rPr>
        <w:t>(Currency in millions, except per share amounts and where indica</w:t>
      </w:r>
      <w:r>
        <w:rPr>
          <w:rFonts w:eastAsia="Times New Roman"/>
          <w:color w:val="000000"/>
          <w:sz w:val="20"/>
          <w:szCs w:val="20"/>
        </w:rPr>
        <w:t>ted otherwise)</w:t>
      </w:r>
    </w:p>
    <w:p w:rsidR="00000000" w:rsidRDefault="00DF5BC2">
      <w:pPr>
        <w:jc w:val="both"/>
        <w:rPr>
          <w:rFonts w:eastAsia="Times New Roman"/>
        </w:rPr>
      </w:pPr>
      <w:r>
        <w:rPr>
          <w:rFonts w:eastAsia="Times New Roman"/>
          <w:color w:val="000000"/>
          <w:sz w:val="20"/>
          <w:szCs w:val="20"/>
        </w:rPr>
        <w:t>purchaser plaintiffs filed a joint statement with the court that they had reached an agreement in principle to settle the claims of the remaining classes and plaintiffs, the settlement received final court approval on March 30, 2021. As of S</w:t>
      </w:r>
      <w:r>
        <w:rPr>
          <w:rFonts w:eastAsia="Times New Roman"/>
          <w:color w:val="000000"/>
          <w:sz w:val="20"/>
          <w:szCs w:val="20"/>
        </w:rPr>
        <w:t xml:space="preserve">eptember 30, 2021 there were no further liabilities associated with this matter.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Although we cannot predict the final results of these pending claims and legal actions, we believe, after consultation with counsel, that the final outcome of these matters</w:t>
      </w:r>
      <w:r>
        <w:rPr>
          <w:rFonts w:eastAsia="Times New Roman"/>
          <w:color w:val="000000"/>
          <w:sz w:val="20"/>
          <w:szCs w:val="20"/>
        </w:rPr>
        <w:t xml:space="preserve"> will not have a material effect on our financial statements.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In addition to the matters described above, there are other pending claims and legal actions arising in the normal course of our businesses. Although we cannot predict the final results of the</w:t>
      </w:r>
      <w:r>
        <w:rPr>
          <w:rFonts w:eastAsia="Times New Roman"/>
          <w:color w:val="000000"/>
          <w:sz w:val="20"/>
          <w:szCs w:val="20"/>
        </w:rPr>
        <w:t>se pending claims and legal actions, we believe, after consultation with counsel, that the final outcome of these matters will not have a material effect on our financial statements.</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18 — Fair Value Measurements </w:t>
      </w:r>
    </w:p>
    <w:p w:rsidR="00000000" w:rsidRDefault="00DF5BC2">
      <w:pPr>
        <w:jc w:val="both"/>
        <w:divId w:val="1303195099"/>
        <w:rPr>
          <w:rFonts w:eastAsia="Times New Roman"/>
        </w:rPr>
      </w:pPr>
      <w:r>
        <w:rPr>
          <w:rFonts w:eastAsia="Times New Roman"/>
          <w:b/>
          <w:bCs/>
          <w:color w:val="000000"/>
          <w:sz w:val="20"/>
          <w:szCs w:val="20"/>
        </w:rPr>
        <w:t>Recurring Fair Value Measurements</w:t>
      </w:r>
    </w:p>
    <w:p w:rsidR="00000000" w:rsidRDefault="00DF5BC2">
      <w:pPr>
        <w:jc w:val="both"/>
        <w:divId w:val="1229264757"/>
        <w:rPr>
          <w:rFonts w:eastAsia="Times New Roman"/>
        </w:rPr>
      </w:pPr>
      <w:r>
        <w:rPr>
          <w:rFonts w:eastAsia="Times New Roman"/>
          <w:color w:val="000000"/>
          <w:sz w:val="20"/>
          <w:szCs w:val="20"/>
        </w:rPr>
        <w:t>Th</w:t>
      </w:r>
      <w:r>
        <w:rPr>
          <w:rFonts w:eastAsia="Times New Roman"/>
          <w:color w:val="000000"/>
          <w:sz w:val="20"/>
          <w:szCs w:val="20"/>
        </w:rPr>
        <w:t>e following table presents, on a gross basis, our financial assets and liabilities including both current and noncurrent portions, that are measured at fair value on a recurring basis within the fair value hierarchy as described in Note 2:</w:t>
      </w:r>
    </w:p>
    <w:tbl>
      <w:tblPr>
        <w:tblW w:w="4941" w:type="pct"/>
        <w:tblCellMar>
          <w:top w:w="15" w:type="dxa"/>
          <w:left w:w="15" w:type="dxa"/>
          <w:bottom w:w="15" w:type="dxa"/>
          <w:right w:w="15" w:type="dxa"/>
        </w:tblCellMar>
        <w:tblLook w:val="04A0" w:firstRow="1" w:lastRow="0" w:firstColumn="1" w:lastColumn="0" w:noHBand="0" w:noVBand="1"/>
      </w:tblPr>
      <w:tblGrid>
        <w:gridCol w:w="39"/>
        <w:gridCol w:w="3045"/>
        <w:gridCol w:w="38"/>
        <w:gridCol w:w="120"/>
        <w:gridCol w:w="1072"/>
        <w:gridCol w:w="36"/>
        <w:gridCol w:w="36"/>
        <w:gridCol w:w="36"/>
        <w:gridCol w:w="36"/>
        <w:gridCol w:w="120"/>
        <w:gridCol w:w="1018"/>
        <w:gridCol w:w="36"/>
        <w:gridCol w:w="36"/>
        <w:gridCol w:w="36"/>
        <w:gridCol w:w="36"/>
        <w:gridCol w:w="121"/>
        <w:gridCol w:w="1018"/>
        <w:gridCol w:w="36"/>
        <w:gridCol w:w="36"/>
        <w:gridCol w:w="36"/>
        <w:gridCol w:w="36"/>
        <w:gridCol w:w="120"/>
        <w:gridCol w:w="1029"/>
        <w:gridCol w:w="36"/>
      </w:tblGrid>
      <w:tr w:rsidR="00000000">
        <w:trPr>
          <w:divId w:val="14700060"/>
        </w:trPr>
        <w:tc>
          <w:tcPr>
            <w:tcW w:w="50" w:type="pct"/>
            <w:vAlign w:val="center"/>
            <w:hideMark/>
          </w:tcPr>
          <w:p w:rsidR="00000000" w:rsidRDefault="00DF5BC2">
            <w:pPr>
              <w:jc w:val="both"/>
              <w:rPr>
                <w:rFonts w:eastAsia="Times New Roman"/>
              </w:rPr>
            </w:pPr>
          </w:p>
        </w:tc>
        <w:tc>
          <w:tcPr>
            <w:tcW w:w="189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7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7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4700060"/>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Asset (Liability)</w:t>
            </w:r>
          </w:p>
        </w:tc>
      </w:tr>
      <w:tr w:rsidR="00000000">
        <w:trPr>
          <w:divId w:val="14700060"/>
        </w:trPr>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Total</w:t>
            </w:r>
          </w:p>
        </w:tc>
      </w:tr>
      <w:tr w:rsidR="00000000">
        <w:trPr>
          <w:divId w:val="1470006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September 30,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4700060"/>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Derivative instruments: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4700060"/>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Assets: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4700060"/>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1,649 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4700060"/>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4700060"/>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Liabilities: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4700060"/>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4700060"/>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Height w:val="280"/>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470006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Non-qualified supplemental postretirement grantor trust investments (a)</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Height w:val="300"/>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470006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September 30, 2020</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4700060"/>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Derivative instruments: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4700060"/>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Assets: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4700060"/>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4700060"/>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4700060"/>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Liabilities: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14700060"/>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4700060"/>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4700060"/>
          <w:trHeight w:val="300"/>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470006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Non-qualified supplemental postretirement grantor trust investments (a)</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(a)Consists primarily of mutual fund investments held in grantor trusts associated with non-qualified supplemental retirement plans (see Note 8)</w:t>
      </w:r>
      <w:r>
        <w:rPr>
          <w:rFonts w:eastAsia="Times New Roman"/>
          <w:color w:val="000000"/>
          <w:sz w:val="20"/>
          <w:szCs w:val="20"/>
        </w:rPr>
        <w:t>.</w:t>
      </w:r>
    </w:p>
    <w:p w:rsidR="00000000" w:rsidRDefault="00DF5BC2">
      <w:pPr>
        <w:ind w:hanging="360"/>
        <w:jc w:val="both"/>
        <w:rPr>
          <w:rFonts w:eastAsia="Times New Roman"/>
        </w:rPr>
      </w:pPr>
    </w:p>
    <w:p w:rsidR="00000000" w:rsidRDefault="00DF5BC2">
      <w:pPr>
        <w:jc w:val="both"/>
        <w:rPr>
          <w:rFonts w:eastAsia="Times New Roman"/>
        </w:rPr>
      </w:pPr>
      <w:r>
        <w:rPr>
          <w:rFonts w:eastAsia="Times New Roman"/>
          <w:color w:val="000000"/>
          <w:sz w:val="20"/>
          <w:szCs w:val="20"/>
        </w:rPr>
        <w:t>The fair values of our Level 1 exchange-traded commodity futures and option contracts and non-exchange-traded commodity futures and forward contracts are based upon actively quoted market prices for identical assets and liabilities. The remainder of ou</w:t>
      </w:r>
      <w:r>
        <w:rPr>
          <w:rFonts w:eastAsia="Times New Roman"/>
          <w:color w:val="000000"/>
          <w:sz w:val="20"/>
          <w:szCs w:val="20"/>
        </w:rPr>
        <w:t xml:space="preserve">r derivative instruments are designated as Level 2. The fair values of certain non-exchange-traded commodity derivatives </w:t>
      </w:r>
    </w:p>
    <w:p w:rsidR="00000000" w:rsidRDefault="00DF5BC2">
      <w:pPr>
        <w:jc w:val="center"/>
        <w:divId w:val="462774933"/>
        <w:rPr>
          <w:rFonts w:eastAsia="Times New Roman"/>
        </w:rPr>
      </w:pPr>
      <w:r>
        <w:rPr>
          <w:rFonts w:eastAsia="Times New Roman"/>
          <w:color w:val="000000"/>
          <w:sz w:val="20"/>
          <w:szCs w:val="20"/>
        </w:rPr>
        <w:t>F-52</w:t>
      </w:r>
    </w:p>
    <w:p w:rsidR="00000000" w:rsidRDefault="00DF5BC2">
      <w:pPr>
        <w:rPr>
          <w:rFonts w:eastAsia="Times New Roman"/>
        </w:rPr>
      </w:pPr>
      <w:r>
        <w:rPr>
          <w:rFonts w:eastAsia="Times New Roman"/>
        </w:rPr>
        <w:pict>
          <v:rect id="_x0000_i1166" style="width:0;height:1.5pt" o:hralign="center" o:hrstd="t" o:hr="t" fillcolor="#a0a0a0" stroked="f"/>
        </w:pict>
      </w:r>
    </w:p>
    <w:p w:rsidR="00000000" w:rsidRDefault="00DF5BC2">
      <w:pPr>
        <w:divId w:val="2140872695"/>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351252888"/>
        <w:rPr>
          <w:rFonts w:eastAsia="Times New Roman"/>
        </w:rPr>
      </w:pPr>
      <w:r>
        <w:rPr>
          <w:rFonts w:eastAsia="Times New Roman"/>
          <w:b/>
          <w:bCs/>
          <w:color w:val="000000"/>
          <w:sz w:val="20"/>
          <w:szCs w:val="20"/>
        </w:rPr>
        <w:t>UGI Corporation and Subsidiaries</w:t>
      </w:r>
    </w:p>
    <w:p w:rsidR="00000000" w:rsidRDefault="00DF5BC2">
      <w:pPr>
        <w:divId w:val="359278715"/>
        <w:rPr>
          <w:rFonts w:eastAsia="Times New Roman"/>
        </w:rPr>
      </w:pPr>
      <w:r>
        <w:rPr>
          <w:rFonts w:eastAsia="Times New Roman"/>
          <w:b/>
          <w:bCs/>
          <w:color w:val="000000"/>
          <w:sz w:val="20"/>
          <w:szCs w:val="20"/>
        </w:rPr>
        <w:t>Notes to Consolidated Financial Statements</w:t>
      </w:r>
    </w:p>
    <w:p w:rsidR="00000000" w:rsidRDefault="00DF5BC2">
      <w:pPr>
        <w:divId w:val="384842357"/>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jc w:val="both"/>
        <w:rPr>
          <w:rFonts w:eastAsia="Times New Roman"/>
        </w:rPr>
      </w:pPr>
      <w:r>
        <w:rPr>
          <w:rFonts w:eastAsia="Times New Roman"/>
          <w:color w:val="000000"/>
          <w:sz w:val="20"/>
          <w:szCs w:val="20"/>
        </w:rPr>
        <w:t>designated as Level 2 are based upon indicative price quotations available through brokers, industry price publications or recent market transactions and related market indicators. The fair values of our Level 2 interest rate contracts and forei</w:t>
      </w:r>
      <w:r>
        <w:rPr>
          <w:rFonts w:eastAsia="Times New Roman"/>
          <w:color w:val="000000"/>
          <w:sz w:val="20"/>
          <w:szCs w:val="20"/>
        </w:rPr>
        <w:t>gn currency contracts are based upon third-party quotes or indicative values based on recent market transactions. The fair values of investments held in grantor trusts are derived from quoted market prices as substantially all of the investments in these t</w:t>
      </w:r>
      <w:r>
        <w:rPr>
          <w:rFonts w:eastAsia="Times New Roman"/>
          <w:color w:val="000000"/>
          <w:sz w:val="20"/>
          <w:szCs w:val="20"/>
        </w:rPr>
        <w:t xml:space="preserve">rusts have active markets.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rPr>
        <w:t>Other Financial Instruments</w:t>
      </w:r>
    </w:p>
    <w:p w:rsidR="00000000" w:rsidRDefault="00DF5BC2">
      <w:pPr>
        <w:jc w:val="both"/>
        <w:divId w:val="291791038"/>
        <w:rPr>
          <w:rFonts w:eastAsia="Times New Roman"/>
        </w:rPr>
      </w:pPr>
      <w:r>
        <w:rPr>
          <w:rFonts w:eastAsia="Times New Roman"/>
          <w:color w:val="000000"/>
          <w:sz w:val="20"/>
          <w:szCs w:val="20"/>
        </w:rPr>
        <w:t>The carrying amounts of other financial instruments included in current assets and current liabilities (except for current maturities of long-term debt) approximate their fair values because of thei</w:t>
      </w:r>
      <w:r>
        <w:rPr>
          <w:rFonts w:eastAsia="Times New Roman"/>
          <w:color w:val="000000"/>
          <w:sz w:val="20"/>
          <w:szCs w:val="20"/>
        </w:rPr>
        <w:t>r short-term nature. We estimate the fair value of long-term debt by using current market rates and by discounting future cash flows using rates available for similar type debt (Level 2). The carrying amounts and estimated fair values of our long-term debt</w:t>
      </w:r>
      <w:r>
        <w:rPr>
          <w:rFonts w:eastAsia="Times New Roman"/>
          <w:color w:val="000000"/>
          <w:sz w:val="20"/>
          <w:szCs w:val="20"/>
        </w:rPr>
        <w:t xml:space="preserve"> (including current maturities but excluding unamortized debt issuance costs) were as follows:</w:t>
      </w:r>
    </w:p>
    <w:tbl>
      <w:tblPr>
        <w:tblW w:w="4941" w:type="pct"/>
        <w:jc w:val="center"/>
        <w:tblCellMar>
          <w:top w:w="15" w:type="dxa"/>
          <w:left w:w="15" w:type="dxa"/>
          <w:bottom w:w="15" w:type="dxa"/>
          <w:right w:w="15" w:type="dxa"/>
        </w:tblCellMar>
        <w:tblLook w:val="04A0" w:firstRow="1" w:lastRow="0" w:firstColumn="1" w:lastColumn="0" w:noHBand="0" w:noVBand="1"/>
      </w:tblPr>
      <w:tblGrid>
        <w:gridCol w:w="39"/>
        <w:gridCol w:w="4810"/>
        <w:gridCol w:w="37"/>
        <w:gridCol w:w="120"/>
        <w:gridCol w:w="1469"/>
        <w:gridCol w:w="36"/>
        <w:gridCol w:w="36"/>
        <w:gridCol w:w="36"/>
        <w:gridCol w:w="36"/>
        <w:gridCol w:w="120"/>
        <w:gridCol w:w="1433"/>
        <w:gridCol w:w="36"/>
      </w:tblGrid>
      <w:tr w:rsidR="00000000">
        <w:trPr>
          <w:divId w:val="2043312645"/>
          <w:jc w:val="center"/>
        </w:trPr>
        <w:tc>
          <w:tcPr>
            <w:tcW w:w="50" w:type="pct"/>
            <w:vAlign w:val="center"/>
            <w:hideMark/>
          </w:tcPr>
          <w:p w:rsidR="00000000" w:rsidRDefault="00DF5BC2">
            <w:pPr>
              <w:jc w:val="both"/>
              <w:rPr>
                <w:rFonts w:eastAsia="Times New Roman"/>
              </w:rPr>
            </w:pPr>
          </w:p>
        </w:tc>
        <w:tc>
          <w:tcPr>
            <w:tcW w:w="295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9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2043312645"/>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2043312645"/>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Carrying amount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043312645"/>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Estimated fair value</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6,996 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6,504 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1083837902"/>
        <w:rPr>
          <w:rFonts w:eastAsia="Times New Roman"/>
        </w:rPr>
      </w:pPr>
      <w:r>
        <w:rPr>
          <w:rFonts w:eastAsia="Times New Roman"/>
          <w:color w:val="000000"/>
          <w:sz w:val="20"/>
          <w:szCs w:val="20"/>
        </w:rPr>
        <w:t xml:space="preserve">Financial instruments other than derivative instruments, such as short-term investments and trade accounts receivable, could expose us to concentrations of credit risk. We limit credit risk from short-term investments by investing only in investment-grade </w:t>
      </w:r>
      <w:r>
        <w:rPr>
          <w:rFonts w:eastAsia="Times New Roman"/>
          <w:color w:val="000000"/>
          <w:sz w:val="20"/>
          <w:szCs w:val="20"/>
        </w:rPr>
        <w:t>commercial paper, money market mutual funds, securities guaranteed by the U.S. Government or its agencies and FDIC insured bank deposits. The credit risk arising from concentrations of trade accounts receivable is limited because we have a large customer b</w:t>
      </w:r>
      <w:r>
        <w:rPr>
          <w:rFonts w:eastAsia="Times New Roman"/>
          <w:color w:val="000000"/>
          <w:sz w:val="20"/>
          <w:szCs w:val="20"/>
        </w:rPr>
        <w:t xml:space="preserve">ase that extends across many different U.S. markets and a number of foreign countries. For information regarding concentrations of credit risk associated with our derivative instruments, see Note 19. </w:t>
      </w:r>
    </w:p>
    <w:p w:rsidR="00000000" w:rsidRDefault="00DF5BC2">
      <w:pPr>
        <w:jc w:val="both"/>
        <w:rPr>
          <w:rFonts w:eastAsia="Times New Roman"/>
        </w:rPr>
      </w:pPr>
    </w:p>
    <w:p w:rsidR="00000000" w:rsidRDefault="00DF5BC2">
      <w:pPr>
        <w:jc w:val="both"/>
        <w:rPr>
          <w:rFonts w:eastAsia="Times New Roman"/>
        </w:rPr>
      </w:pPr>
      <w:r>
        <w:rPr>
          <w:rFonts w:eastAsia="Times New Roman"/>
          <w:b/>
          <w:bCs/>
          <w:color w:val="000000"/>
          <w:sz w:val="20"/>
          <w:szCs w:val="20"/>
          <w:u w:val="single"/>
        </w:rPr>
        <w:t>Note 19 — Derivative Instruments and Hedging Activiti</w:t>
      </w:r>
      <w:r>
        <w:rPr>
          <w:rFonts w:eastAsia="Times New Roman"/>
          <w:b/>
          <w:bCs/>
          <w:color w:val="000000"/>
          <w:sz w:val="20"/>
          <w:szCs w:val="20"/>
          <w:u w:val="single"/>
        </w:rPr>
        <w:t xml:space="preserve">es </w:t>
      </w:r>
    </w:p>
    <w:p w:rsidR="00000000" w:rsidRDefault="00DF5BC2">
      <w:pPr>
        <w:jc w:val="both"/>
        <w:divId w:val="691999327"/>
        <w:rPr>
          <w:rFonts w:eastAsia="Times New Roman"/>
        </w:rPr>
      </w:pPr>
      <w:r>
        <w:rPr>
          <w:rFonts w:eastAsia="Times New Roman"/>
          <w:color w:val="000000"/>
          <w:sz w:val="20"/>
          <w:szCs w:val="20"/>
        </w:rPr>
        <w:t>We are exposed to certain market risks related to our ongoing business operations. Management uses derivative financial and commodity instruments, among other things, to manage: (1) commodity price risk; (2) interest rate risk; and (3) foreign currency</w:t>
      </w:r>
      <w:r>
        <w:rPr>
          <w:rFonts w:eastAsia="Times New Roman"/>
          <w:color w:val="000000"/>
          <w:sz w:val="20"/>
          <w:szCs w:val="20"/>
        </w:rPr>
        <w:t xml:space="preserve"> exchange rate risk. Although we use derivative financial and commodity instruments to reduce market risk associated with forecasted transactions, we do not use derivative financial and commodity instruments for speculative or trading purposes. The use of </w:t>
      </w:r>
      <w:r>
        <w:rPr>
          <w:rFonts w:eastAsia="Times New Roman"/>
          <w:color w:val="000000"/>
          <w:sz w:val="20"/>
          <w:szCs w:val="20"/>
        </w:rPr>
        <w:t>derivative instruments is controlled by our risk management and credit policies, which govern, among other things, the derivative instruments we can use, counterparty credit limits and contract authorization limits. Although our commodity derivative instru</w:t>
      </w:r>
      <w:r>
        <w:rPr>
          <w:rFonts w:eastAsia="Times New Roman"/>
          <w:color w:val="000000"/>
          <w:sz w:val="20"/>
          <w:szCs w:val="20"/>
        </w:rPr>
        <w:t>ments extend over a number of years, a significant portion of our commodity derivative instruments economically hedge commodity price risk during the next twelve months. For information on the accounting for our derivative instruments, see Note 2.</w:t>
      </w:r>
    </w:p>
    <w:p w:rsidR="00000000" w:rsidRDefault="00DF5BC2">
      <w:pPr>
        <w:jc w:val="both"/>
        <w:divId w:val="1147816381"/>
        <w:rPr>
          <w:rFonts w:eastAsia="Times New Roman"/>
        </w:rPr>
      </w:pPr>
      <w:r>
        <w:rPr>
          <w:rFonts w:eastAsia="Times New Roman"/>
          <w:color w:val="000000"/>
          <w:sz w:val="20"/>
          <w:szCs w:val="20"/>
        </w:rPr>
        <w:t>The foll</w:t>
      </w:r>
      <w:r>
        <w:rPr>
          <w:rFonts w:eastAsia="Times New Roman"/>
          <w:color w:val="000000"/>
          <w:sz w:val="20"/>
          <w:szCs w:val="20"/>
        </w:rPr>
        <w:t>owing summarizes the types of derivative instruments used by the Company to manage certain market risks:</w:t>
      </w:r>
    </w:p>
    <w:p w:rsidR="00000000" w:rsidRDefault="00DF5BC2">
      <w:pPr>
        <w:jc w:val="both"/>
        <w:divId w:val="1941906474"/>
        <w:rPr>
          <w:rFonts w:eastAsia="Times New Roman"/>
        </w:rPr>
      </w:pPr>
      <w:r>
        <w:rPr>
          <w:rFonts w:eastAsia="Times New Roman"/>
          <w:b/>
          <w:bCs/>
          <w:color w:val="000000"/>
          <w:sz w:val="20"/>
          <w:szCs w:val="20"/>
        </w:rPr>
        <w:t>Commodity Price Risk</w:t>
      </w:r>
    </w:p>
    <w:p w:rsidR="00000000" w:rsidRDefault="00DF5BC2">
      <w:pPr>
        <w:jc w:val="both"/>
        <w:divId w:val="1753816381"/>
        <w:rPr>
          <w:rFonts w:eastAsia="Times New Roman"/>
        </w:rPr>
      </w:pPr>
      <w:r>
        <w:rPr>
          <w:rFonts w:eastAsia="Times New Roman"/>
          <w:color w:val="000000"/>
          <w:sz w:val="20"/>
          <w:szCs w:val="20"/>
          <w:u w:val="single"/>
        </w:rPr>
        <w:t>Regulated Utility Operations</w:t>
      </w:r>
    </w:p>
    <w:p w:rsidR="00000000" w:rsidRDefault="00DF5BC2">
      <w:pPr>
        <w:jc w:val="both"/>
        <w:divId w:val="1290744375"/>
        <w:rPr>
          <w:rFonts w:eastAsia="Times New Roman"/>
        </w:rPr>
      </w:pPr>
      <w:r>
        <w:rPr>
          <w:rFonts w:eastAsia="Times New Roman"/>
          <w:i/>
          <w:iCs/>
          <w:color w:val="000000"/>
          <w:sz w:val="20"/>
          <w:szCs w:val="20"/>
        </w:rPr>
        <w:t>Natural Gas</w:t>
      </w:r>
    </w:p>
    <w:p w:rsidR="00000000" w:rsidRDefault="00DF5BC2">
      <w:pPr>
        <w:jc w:val="both"/>
        <w:divId w:val="198595390"/>
        <w:rPr>
          <w:rFonts w:eastAsia="Times New Roman"/>
        </w:rPr>
      </w:pPr>
      <w:r>
        <w:rPr>
          <w:rFonts w:eastAsia="Times New Roman"/>
          <w:color w:val="000000"/>
          <w:sz w:val="20"/>
          <w:szCs w:val="20"/>
        </w:rPr>
        <w:t>Gas Utility’</w:t>
      </w:r>
      <w:r>
        <w:rPr>
          <w:rFonts w:eastAsia="Times New Roman"/>
          <w:color w:val="000000"/>
          <w:sz w:val="20"/>
          <w:szCs w:val="20"/>
        </w:rPr>
        <w:t>s tariffs contain clauses that permit recovery of all prudently incurred costs of natural gas it sells to retail core-market customers, including the cost of financial instruments used to hedge purchased gas costs. As permitted and agreed to by the PAPUC p</w:t>
      </w:r>
      <w:r>
        <w:rPr>
          <w:rFonts w:eastAsia="Times New Roman"/>
          <w:color w:val="000000"/>
          <w:sz w:val="20"/>
          <w:szCs w:val="20"/>
        </w:rPr>
        <w:t xml:space="preserve">ursuant to Gas Utility’s annual PGC filings, Gas Utility currently uses NYMEX natural gas futures and option contracts to reduce commodity price volatility associated with a portion of the natural gas it purchases for its retail core-market customers. See </w:t>
      </w:r>
      <w:r>
        <w:rPr>
          <w:rFonts w:eastAsia="Times New Roman"/>
          <w:color w:val="000000"/>
          <w:sz w:val="20"/>
          <w:szCs w:val="20"/>
        </w:rPr>
        <w:t>Note 9 for further information on the regulatory accounting treatment for these derivative instruments.</w:t>
      </w:r>
    </w:p>
    <w:p w:rsidR="00000000" w:rsidRDefault="00DF5BC2">
      <w:pPr>
        <w:jc w:val="both"/>
        <w:divId w:val="497039073"/>
        <w:rPr>
          <w:rFonts w:eastAsia="Times New Roman"/>
        </w:rPr>
      </w:pPr>
      <w:r>
        <w:rPr>
          <w:rFonts w:eastAsia="Times New Roman"/>
          <w:color w:val="000000"/>
          <w:sz w:val="20"/>
          <w:szCs w:val="20"/>
          <w:u w:val="single"/>
        </w:rPr>
        <w:t>Non-utility Operations</w:t>
      </w:r>
    </w:p>
    <w:p w:rsidR="00000000" w:rsidRDefault="00DF5BC2">
      <w:pPr>
        <w:jc w:val="both"/>
        <w:divId w:val="2073651654"/>
        <w:rPr>
          <w:rFonts w:eastAsia="Times New Roman"/>
        </w:rPr>
      </w:pPr>
      <w:r>
        <w:rPr>
          <w:rFonts w:eastAsia="Times New Roman"/>
          <w:i/>
          <w:iCs/>
          <w:color w:val="000000"/>
          <w:sz w:val="20"/>
          <w:szCs w:val="20"/>
        </w:rPr>
        <w:t>LPG</w:t>
      </w:r>
    </w:p>
    <w:p w:rsidR="00000000" w:rsidRDefault="00DF5BC2">
      <w:pPr>
        <w:jc w:val="both"/>
        <w:divId w:val="1829520899"/>
        <w:rPr>
          <w:rFonts w:eastAsia="Times New Roman"/>
        </w:rPr>
      </w:pPr>
      <w:r>
        <w:rPr>
          <w:rFonts w:eastAsia="Times New Roman"/>
          <w:color w:val="000000"/>
          <w:sz w:val="20"/>
          <w:szCs w:val="20"/>
        </w:rPr>
        <w:t>In order to manage market price risk associated with the Partnership’s fixed-price programs and to reduce the effects of shor</w:t>
      </w:r>
      <w:r>
        <w:rPr>
          <w:rFonts w:eastAsia="Times New Roman"/>
          <w:color w:val="000000"/>
          <w:sz w:val="20"/>
          <w:szCs w:val="20"/>
        </w:rPr>
        <w:t xml:space="preserve">t-term commodity price volatility, the Partnership uses over-the-counter derivative commodity instruments, principally price </w:t>
      </w:r>
    </w:p>
    <w:p w:rsidR="00000000" w:rsidRDefault="00DF5BC2">
      <w:pPr>
        <w:jc w:val="center"/>
        <w:divId w:val="118426222"/>
        <w:rPr>
          <w:rFonts w:eastAsia="Times New Roman"/>
        </w:rPr>
      </w:pPr>
      <w:r>
        <w:rPr>
          <w:rFonts w:eastAsia="Times New Roman"/>
          <w:color w:val="000000"/>
          <w:sz w:val="20"/>
          <w:szCs w:val="20"/>
        </w:rPr>
        <w:t>F-53</w:t>
      </w:r>
    </w:p>
    <w:p w:rsidR="00000000" w:rsidRDefault="00DF5BC2">
      <w:pPr>
        <w:rPr>
          <w:rFonts w:eastAsia="Times New Roman"/>
        </w:rPr>
      </w:pPr>
      <w:r>
        <w:rPr>
          <w:rFonts w:eastAsia="Times New Roman"/>
        </w:rPr>
        <w:pict>
          <v:rect id="_x0000_i1167" style="width:0;height:1.5pt" o:hralign="center" o:hrstd="t" o:hr="t" fillcolor="#a0a0a0" stroked="f"/>
        </w:pict>
      </w:r>
    </w:p>
    <w:p w:rsidR="00000000" w:rsidRDefault="00DF5BC2">
      <w:pPr>
        <w:divId w:val="444616232"/>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658412087"/>
        <w:rPr>
          <w:rFonts w:eastAsia="Times New Roman"/>
        </w:rPr>
      </w:pPr>
      <w:r>
        <w:rPr>
          <w:rFonts w:eastAsia="Times New Roman"/>
          <w:b/>
          <w:bCs/>
          <w:color w:val="000000"/>
          <w:sz w:val="20"/>
          <w:szCs w:val="20"/>
        </w:rPr>
        <w:t>UGI Corporat</w:t>
      </w:r>
      <w:r>
        <w:rPr>
          <w:rFonts w:eastAsia="Times New Roman"/>
          <w:b/>
          <w:bCs/>
          <w:color w:val="000000"/>
          <w:sz w:val="20"/>
          <w:szCs w:val="20"/>
        </w:rPr>
        <w:t>ion and Subsidiaries</w:t>
      </w:r>
    </w:p>
    <w:p w:rsidR="00000000" w:rsidRDefault="00DF5BC2">
      <w:pPr>
        <w:divId w:val="1520390276"/>
        <w:rPr>
          <w:rFonts w:eastAsia="Times New Roman"/>
        </w:rPr>
      </w:pPr>
      <w:r>
        <w:rPr>
          <w:rFonts w:eastAsia="Times New Roman"/>
          <w:b/>
          <w:bCs/>
          <w:color w:val="000000"/>
          <w:sz w:val="20"/>
          <w:szCs w:val="20"/>
        </w:rPr>
        <w:t>Notes to Consolidated Financial Statements</w:t>
      </w:r>
    </w:p>
    <w:p w:rsidR="00000000" w:rsidRDefault="00DF5BC2">
      <w:pPr>
        <w:divId w:val="33309598"/>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556164142"/>
        <w:rPr>
          <w:rFonts w:eastAsia="Times New Roman"/>
        </w:rPr>
      </w:pPr>
      <w:r>
        <w:rPr>
          <w:rFonts w:eastAsia="Times New Roman"/>
          <w:color w:val="000000"/>
          <w:sz w:val="20"/>
          <w:szCs w:val="20"/>
        </w:rPr>
        <w:t>swap contracts. In addition, the Partnership and our UGI International operations also use over-the-counter price</w:t>
      </w:r>
      <w:r>
        <w:rPr>
          <w:rFonts w:eastAsia="Times New Roman"/>
          <w:color w:val="000000"/>
          <w:sz w:val="20"/>
          <w:szCs w:val="20"/>
        </w:rPr>
        <w:t xml:space="preserve"> swap contracts to reduce commodity price volatility associated with a portion of their forecasted LPG purchases.</w:t>
      </w:r>
    </w:p>
    <w:p w:rsidR="00000000" w:rsidRDefault="00DF5BC2">
      <w:pPr>
        <w:jc w:val="both"/>
        <w:divId w:val="1499611472"/>
        <w:rPr>
          <w:rFonts w:eastAsia="Times New Roman"/>
        </w:rPr>
      </w:pPr>
      <w:r>
        <w:rPr>
          <w:rFonts w:eastAsia="Times New Roman"/>
          <w:i/>
          <w:iCs/>
          <w:color w:val="000000"/>
          <w:sz w:val="20"/>
          <w:szCs w:val="20"/>
        </w:rPr>
        <w:t>Natural Gas</w:t>
      </w:r>
    </w:p>
    <w:p w:rsidR="00000000" w:rsidRDefault="00DF5BC2">
      <w:pPr>
        <w:jc w:val="both"/>
        <w:divId w:val="901519608"/>
        <w:rPr>
          <w:rFonts w:eastAsia="Times New Roman"/>
        </w:rPr>
      </w:pPr>
      <w:r>
        <w:rPr>
          <w:rFonts w:eastAsia="Times New Roman"/>
          <w:color w:val="000000"/>
          <w:sz w:val="20"/>
          <w:szCs w:val="20"/>
        </w:rPr>
        <w:t xml:space="preserve">In order to manage market price risk relating to fixed-price sales contracts for physical natural gas, Midstream &amp; </w:t>
      </w:r>
      <w:r>
        <w:rPr>
          <w:rFonts w:eastAsia="Times New Roman"/>
          <w:color w:val="000000"/>
          <w:sz w:val="20"/>
          <w:szCs w:val="20"/>
        </w:rPr>
        <w:t>Marketing enters into NYMEX and over-the-counter natural gas futures and over-the-counter and ICE natural gas basis swap contracts. In addition, Midstream &amp; Marketing uses NYMEX and over-the-counter futures and options contracts to economically hedge price</w:t>
      </w:r>
      <w:r>
        <w:rPr>
          <w:rFonts w:eastAsia="Times New Roman"/>
          <w:color w:val="000000"/>
          <w:sz w:val="20"/>
          <w:szCs w:val="20"/>
        </w:rPr>
        <w:t xml:space="preserve"> volatility associated with the gross margin derived from the purchase and anticipated later near-term sale of natural gas storage inventories. Outside of the financial market, Midstream &amp; Marketing also uses ICE and over-the-counter forward physical contr</w:t>
      </w:r>
      <w:r>
        <w:rPr>
          <w:rFonts w:eastAsia="Times New Roman"/>
          <w:color w:val="000000"/>
          <w:sz w:val="20"/>
          <w:szCs w:val="20"/>
        </w:rPr>
        <w:t>acts. UGI International also uses natural gas futures and forward contracts to economically hedge market price risk associated with fixed-price sales contracts with its customers.</w:t>
      </w:r>
    </w:p>
    <w:p w:rsidR="00000000" w:rsidRDefault="00DF5BC2">
      <w:pPr>
        <w:jc w:val="both"/>
        <w:divId w:val="1975211326"/>
        <w:rPr>
          <w:rFonts w:eastAsia="Times New Roman"/>
        </w:rPr>
      </w:pPr>
      <w:r>
        <w:rPr>
          <w:rFonts w:eastAsia="Times New Roman"/>
          <w:i/>
          <w:iCs/>
          <w:color w:val="000000"/>
          <w:sz w:val="20"/>
          <w:szCs w:val="20"/>
        </w:rPr>
        <w:t>Electricity</w:t>
      </w:r>
    </w:p>
    <w:p w:rsidR="00000000" w:rsidRDefault="00DF5BC2">
      <w:pPr>
        <w:jc w:val="both"/>
        <w:divId w:val="1422675072"/>
        <w:rPr>
          <w:rFonts w:eastAsia="Times New Roman"/>
        </w:rPr>
      </w:pPr>
      <w:r>
        <w:rPr>
          <w:rFonts w:eastAsia="Times New Roman"/>
          <w:color w:val="000000"/>
          <w:sz w:val="20"/>
          <w:szCs w:val="20"/>
        </w:rPr>
        <w:t>In order to manage market price risk relating to fixed-price sal</w:t>
      </w:r>
      <w:r>
        <w:rPr>
          <w:rFonts w:eastAsia="Times New Roman"/>
          <w:color w:val="000000"/>
          <w:sz w:val="20"/>
          <w:szCs w:val="20"/>
        </w:rPr>
        <w:t>es contracts for electricity, Midstream &amp; Marketing enters into electricity futures and forward contracts. Midstream &amp; Marketing also uses NYMEX and over-the-counter electricity futures contracts to economically hedge the price of a portion of its anticipa</w:t>
      </w:r>
      <w:r>
        <w:rPr>
          <w:rFonts w:eastAsia="Times New Roman"/>
          <w:color w:val="000000"/>
          <w:sz w:val="20"/>
          <w:szCs w:val="20"/>
        </w:rPr>
        <w:t>ted future sales of electricity from its electric generation facilities. UGI International also uses electricity futures and forward contracts to economically hedge market price risk associated with fixed-price sales and purchase contracts for electricity.</w:t>
      </w:r>
    </w:p>
    <w:p w:rsidR="00000000" w:rsidRDefault="00DF5BC2">
      <w:pPr>
        <w:jc w:val="both"/>
        <w:divId w:val="1564635898"/>
        <w:rPr>
          <w:rFonts w:eastAsia="Times New Roman"/>
        </w:rPr>
      </w:pPr>
      <w:r>
        <w:rPr>
          <w:rFonts w:eastAsia="Times New Roman"/>
          <w:b/>
          <w:bCs/>
          <w:color w:val="000000"/>
          <w:sz w:val="20"/>
          <w:szCs w:val="20"/>
        </w:rPr>
        <w:t>Interest Rate Risk</w:t>
      </w:r>
    </w:p>
    <w:p w:rsidR="00000000" w:rsidRDefault="00DF5BC2">
      <w:pPr>
        <w:jc w:val="both"/>
        <w:divId w:val="232278514"/>
        <w:rPr>
          <w:rFonts w:eastAsia="Times New Roman"/>
        </w:rPr>
      </w:pPr>
      <w:r>
        <w:rPr>
          <w:rFonts w:eastAsia="Times New Roman"/>
          <w:color w:val="000000"/>
          <w:sz w:val="20"/>
          <w:szCs w:val="20"/>
        </w:rPr>
        <w:t xml:space="preserve">Certain of our long-term debt agreements have interest rates that are generally indexed to short-term market interest rates. In order to fix the underlying short-term market interest rates, we may enter into pay-fixed, receive-variable </w:t>
      </w:r>
      <w:r>
        <w:rPr>
          <w:rFonts w:eastAsia="Times New Roman"/>
          <w:color w:val="000000"/>
          <w:sz w:val="20"/>
          <w:szCs w:val="20"/>
        </w:rPr>
        <w:t>interest rate swap agreements and designate such swaps as cash flow hedges.</w:t>
      </w:r>
    </w:p>
    <w:p w:rsidR="00000000" w:rsidRDefault="00DF5BC2">
      <w:pPr>
        <w:jc w:val="both"/>
        <w:divId w:val="2001887481"/>
        <w:rPr>
          <w:rFonts w:eastAsia="Times New Roman"/>
        </w:rPr>
      </w:pPr>
      <w:r>
        <w:rPr>
          <w:rFonts w:eastAsia="Times New Roman"/>
          <w:color w:val="000000"/>
          <w:sz w:val="20"/>
          <w:szCs w:val="20"/>
        </w:rPr>
        <w:t>The remainder of our long-term debt is typically issued at fixed rates of interest. As this long-term debt matures, we typically refinance such debt with new debt having interest r</w:t>
      </w:r>
      <w:r>
        <w:rPr>
          <w:rFonts w:eastAsia="Times New Roman"/>
          <w:color w:val="000000"/>
          <w:sz w:val="20"/>
          <w:szCs w:val="20"/>
        </w:rPr>
        <w:t>ates reflecting then-current market conditions. In order to reduce market rate risk on the underlying benchmark rate of interest associated with near- to medium-term forecasted issuances of fixed-rate debt, from time to time we enter into IRPAs. We account</w:t>
      </w:r>
      <w:r>
        <w:rPr>
          <w:rFonts w:eastAsia="Times New Roman"/>
          <w:color w:val="000000"/>
          <w:sz w:val="20"/>
          <w:szCs w:val="20"/>
        </w:rPr>
        <w:t xml:space="preserve"> for IRPAs as cash flow hedges. There were no unsettled IRPAs during any of the periods presented. At September 30, 2021, the amount of pre-tax net losses associated with interest rate hedges (excluding pay-fixed, receive-variable interest rate swaps) expe</w:t>
      </w:r>
      <w:r>
        <w:rPr>
          <w:rFonts w:eastAsia="Times New Roman"/>
          <w:color w:val="000000"/>
          <w:sz w:val="20"/>
          <w:szCs w:val="20"/>
        </w:rPr>
        <w:t>cted to be reclassified into earnings during the next twelve months is $4.</w:t>
      </w:r>
    </w:p>
    <w:p w:rsidR="00000000" w:rsidRDefault="00DF5BC2">
      <w:pPr>
        <w:jc w:val="both"/>
        <w:divId w:val="1749811958"/>
        <w:rPr>
          <w:rFonts w:eastAsia="Times New Roman"/>
        </w:rPr>
      </w:pPr>
      <w:r>
        <w:rPr>
          <w:rFonts w:eastAsia="Times New Roman"/>
          <w:b/>
          <w:bCs/>
          <w:color w:val="000000"/>
          <w:sz w:val="20"/>
          <w:szCs w:val="20"/>
        </w:rPr>
        <w:t>Foreign Currency Exchange Rate Risk</w:t>
      </w:r>
    </w:p>
    <w:p w:rsidR="00000000" w:rsidRDefault="00DF5BC2">
      <w:pPr>
        <w:jc w:val="both"/>
        <w:divId w:val="404685104"/>
        <w:rPr>
          <w:rFonts w:eastAsia="Times New Roman"/>
        </w:rPr>
      </w:pPr>
      <w:r>
        <w:rPr>
          <w:rFonts w:eastAsia="Times New Roman"/>
          <w:color w:val="000000"/>
          <w:sz w:val="20"/>
          <w:szCs w:val="20"/>
          <w:u w:val="single"/>
        </w:rPr>
        <w:t>Forward Foreign Currency Exchange Contracts</w:t>
      </w:r>
    </w:p>
    <w:p w:rsidR="00000000" w:rsidRDefault="00DF5BC2">
      <w:pPr>
        <w:jc w:val="both"/>
        <w:divId w:val="286817319"/>
        <w:rPr>
          <w:rFonts w:eastAsia="Times New Roman"/>
        </w:rPr>
      </w:pPr>
      <w:r>
        <w:rPr>
          <w:rFonts w:eastAsia="Times New Roman"/>
          <w:color w:val="000000"/>
          <w:sz w:val="20"/>
          <w:szCs w:val="20"/>
        </w:rPr>
        <w:t>In order to reduce the volatility in net income associated with our foreign operations, principally a</w:t>
      </w:r>
      <w:r>
        <w:rPr>
          <w:rFonts w:eastAsia="Times New Roman"/>
          <w:color w:val="000000"/>
          <w:sz w:val="20"/>
          <w:szCs w:val="20"/>
        </w:rPr>
        <w:t>s a result of changes in the U.S. dollar exchange rate to the euro and British pound sterling, we enter into forward foreign currency exchange contracts. We layer in these foreign currency exchange contracts over a multi-year period to eventually equal app</w:t>
      </w:r>
      <w:r>
        <w:rPr>
          <w:rFonts w:eastAsia="Times New Roman"/>
          <w:color w:val="000000"/>
          <w:sz w:val="20"/>
          <w:szCs w:val="20"/>
        </w:rPr>
        <w:t>roximately 90% of anticipated UGI International foreign currency earnings before income taxes. Because these contracts are not designated as hedging instruments, realized and unrealized gains and losses on these contracts are recorded in “Other non-operati</w:t>
      </w:r>
      <w:r>
        <w:rPr>
          <w:rFonts w:eastAsia="Times New Roman"/>
          <w:color w:val="000000"/>
          <w:sz w:val="20"/>
          <w:szCs w:val="20"/>
        </w:rPr>
        <w:t>ng income (expense), net” on the Consolidated Statements of Income.</w:t>
      </w:r>
    </w:p>
    <w:p w:rsidR="00000000" w:rsidRDefault="00DF5BC2">
      <w:pPr>
        <w:jc w:val="both"/>
        <w:divId w:val="209928746"/>
        <w:rPr>
          <w:rFonts w:eastAsia="Times New Roman"/>
        </w:rPr>
      </w:pPr>
      <w:r>
        <w:rPr>
          <w:rFonts w:eastAsia="Times New Roman"/>
          <w:color w:val="000000"/>
          <w:sz w:val="20"/>
          <w:szCs w:val="20"/>
        </w:rPr>
        <w:t>In order to reduce exposure to foreign exchange rate volatility related to our foreign LPG operations, we previously entered into forward foreign currency exchange contracts to hedge a por</w:t>
      </w:r>
      <w:r>
        <w:rPr>
          <w:rFonts w:eastAsia="Times New Roman"/>
          <w:color w:val="000000"/>
          <w:sz w:val="20"/>
          <w:szCs w:val="20"/>
        </w:rPr>
        <w:t>tion of anticipated U.S. dollar-denominated LPG product purchases primarily during the heating-season months of October through March. The last such contracts expired in September 2019. We accounted for these foreign currency exchange contracts as cash flo</w:t>
      </w:r>
      <w:r>
        <w:rPr>
          <w:rFonts w:eastAsia="Times New Roman"/>
          <w:color w:val="000000"/>
          <w:sz w:val="20"/>
          <w:szCs w:val="20"/>
        </w:rPr>
        <w:t xml:space="preserve">w hedges. </w:t>
      </w:r>
    </w:p>
    <w:p w:rsidR="00000000" w:rsidRDefault="00DF5BC2">
      <w:pPr>
        <w:jc w:val="both"/>
        <w:divId w:val="1854027815"/>
        <w:rPr>
          <w:rFonts w:eastAsia="Times New Roman"/>
        </w:rPr>
      </w:pPr>
      <w:r>
        <w:rPr>
          <w:rFonts w:eastAsia="Times New Roman"/>
          <w:color w:val="000000"/>
          <w:sz w:val="20"/>
          <w:szCs w:val="20"/>
          <w:u w:val="single"/>
        </w:rPr>
        <w:t>Net Investment Hedges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From time to time we also enter into certain forward foreign currency exchange contracts to reduce the volatility of the U.S. dollar value of a portion of our UGI International euro-denominated net investments. We account</w:t>
      </w:r>
      <w:r>
        <w:rPr>
          <w:rFonts w:eastAsia="Times New Roman"/>
          <w:color w:val="000000"/>
          <w:sz w:val="20"/>
          <w:szCs w:val="20"/>
        </w:rPr>
        <w:t xml:space="preserve"> for these foreign currency exchange contracts as net investment hedges and all changes in the fair value of these contracts are reported in the cumulative translation adjustment component in AOCI. We use the spot rate method to measure ineffectiveness of </w:t>
      </w:r>
      <w:r>
        <w:rPr>
          <w:rFonts w:eastAsia="Times New Roman"/>
          <w:color w:val="000000"/>
          <w:sz w:val="20"/>
          <w:szCs w:val="20"/>
        </w:rPr>
        <w:t>our net investment hedges.</w:t>
      </w:r>
    </w:p>
    <w:p w:rsidR="00000000" w:rsidRDefault="00DF5BC2">
      <w:pPr>
        <w:jc w:val="center"/>
        <w:divId w:val="1114518204"/>
        <w:rPr>
          <w:rFonts w:eastAsia="Times New Roman"/>
        </w:rPr>
      </w:pPr>
      <w:r>
        <w:rPr>
          <w:rFonts w:eastAsia="Times New Roman"/>
          <w:color w:val="000000"/>
          <w:sz w:val="20"/>
          <w:szCs w:val="20"/>
        </w:rPr>
        <w:t>F-54</w:t>
      </w:r>
    </w:p>
    <w:p w:rsidR="00000000" w:rsidRDefault="00DF5BC2">
      <w:pPr>
        <w:rPr>
          <w:rFonts w:eastAsia="Times New Roman"/>
        </w:rPr>
      </w:pPr>
      <w:r>
        <w:rPr>
          <w:rFonts w:eastAsia="Times New Roman"/>
        </w:rPr>
        <w:pict>
          <v:rect id="_x0000_i1168" style="width:0;height:1.5pt" o:hralign="center" o:hrstd="t" o:hr="t" fillcolor="#a0a0a0" stroked="f"/>
        </w:pict>
      </w:r>
    </w:p>
    <w:p w:rsidR="00000000" w:rsidRDefault="00DF5BC2">
      <w:pPr>
        <w:divId w:val="1510440313"/>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263687015"/>
        <w:rPr>
          <w:rFonts w:eastAsia="Times New Roman"/>
        </w:rPr>
      </w:pPr>
      <w:r>
        <w:rPr>
          <w:rFonts w:eastAsia="Times New Roman"/>
          <w:b/>
          <w:bCs/>
          <w:color w:val="000000"/>
          <w:sz w:val="20"/>
          <w:szCs w:val="20"/>
        </w:rPr>
        <w:t>UGI Corporation and Subsidiaries</w:t>
      </w:r>
    </w:p>
    <w:p w:rsidR="00000000" w:rsidRDefault="00DF5BC2">
      <w:pPr>
        <w:divId w:val="2077125137"/>
        <w:rPr>
          <w:rFonts w:eastAsia="Times New Roman"/>
        </w:rPr>
      </w:pPr>
      <w:r>
        <w:rPr>
          <w:rFonts w:eastAsia="Times New Roman"/>
          <w:b/>
          <w:bCs/>
          <w:color w:val="000000"/>
          <w:sz w:val="20"/>
          <w:szCs w:val="20"/>
        </w:rPr>
        <w:t>Notes to Consolidated Financial Statements</w:t>
      </w:r>
    </w:p>
    <w:p w:rsidR="00000000" w:rsidRDefault="00DF5BC2">
      <w:pPr>
        <w:divId w:val="976686390"/>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jc w:val="both"/>
        <w:divId w:val="1992557810"/>
        <w:rPr>
          <w:rFonts w:eastAsia="Times New Roman"/>
        </w:rPr>
      </w:pPr>
      <w:r>
        <w:rPr>
          <w:rFonts w:eastAsia="Times New Roman"/>
          <w:color w:val="000000"/>
          <w:sz w:val="20"/>
          <w:szCs w:val="20"/>
        </w:rPr>
        <w:t xml:space="preserve">Our euro-denominated long-term debt has also been designated as net investment hedges of a portion of our UGI International euro-denominated net investment. We recognized pre-tax gains (losses) associated with these net investment hedges in the </w:t>
      </w:r>
      <w:r>
        <w:rPr>
          <w:rFonts w:eastAsia="Times New Roman"/>
          <w:color w:val="000000"/>
          <w:sz w:val="20"/>
          <w:szCs w:val="20"/>
        </w:rPr>
        <w:t>cumulative translation adjustment component in AOCI of $9 and $(53) during Fiscal 2021 and 2020, respectively.</w:t>
      </w:r>
    </w:p>
    <w:p w:rsidR="00000000" w:rsidRDefault="00DF5BC2">
      <w:pPr>
        <w:jc w:val="both"/>
        <w:divId w:val="1378508002"/>
        <w:rPr>
          <w:rFonts w:eastAsia="Times New Roman"/>
        </w:rPr>
      </w:pPr>
      <w:r>
        <w:rPr>
          <w:rFonts w:eastAsia="Times New Roman"/>
          <w:b/>
          <w:bCs/>
          <w:color w:val="000000"/>
          <w:sz w:val="20"/>
          <w:szCs w:val="20"/>
        </w:rPr>
        <w:t>Quantitative Disclosures Related to Derivative Instruments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following table summarizes by derivative type the gross notional amounts related</w:t>
      </w:r>
      <w:r>
        <w:rPr>
          <w:rFonts w:eastAsia="Times New Roman"/>
          <w:color w:val="000000"/>
          <w:sz w:val="20"/>
          <w:szCs w:val="20"/>
        </w:rPr>
        <w:t xml:space="preserve"> to open derivative contracts at September 30, 2021 and 2020 and the final settlement dates of the Company's open derivative contracts as of September 30, 2021, excluding those derivatives that qualified for the NPNS exception: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121"/>
        <w:gridCol w:w="36"/>
        <w:gridCol w:w="36"/>
        <w:gridCol w:w="36"/>
        <w:gridCol w:w="36"/>
        <w:gridCol w:w="92"/>
        <w:gridCol w:w="906"/>
        <w:gridCol w:w="36"/>
        <w:gridCol w:w="36"/>
        <w:gridCol w:w="36"/>
        <w:gridCol w:w="36"/>
        <w:gridCol w:w="56"/>
        <w:gridCol w:w="1193"/>
        <w:gridCol w:w="36"/>
        <w:gridCol w:w="36"/>
        <w:gridCol w:w="36"/>
        <w:gridCol w:w="36"/>
        <w:gridCol w:w="120"/>
        <w:gridCol w:w="535"/>
        <w:gridCol w:w="36"/>
        <w:gridCol w:w="36"/>
        <w:gridCol w:w="36"/>
        <w:gridCol w:w="36"/>
        <w:gridCol w:w="120"/>
        <w:gridCol w:w="500"/>
        <w:gridCol w:w="36"/>
      </w:tblGrid>
      <w:tr w:rsidR="00000000">
        <w:trPr>
          <w:divId w:val="1271627335"/>
          <w:jc w:val="center"/>
        </w:trPr>
        <w:tc>
          <w:tcPr>
            <w:tcW w:w="50" w:type="pct"/>
            <w:vAlign w:val="center"/>
            <w:hideMark/>
          </w:tcPr>
          <w:p w:rsidR="00000000" w:rsidRDefault="00DF5BC2">
            <w:pPr>
              <w:jc w:val="both"/>
              <w:rPr>
                <w:rFonts w:eastAsia="Times New Roman"/>
              </w:rPr>
            </w:pPr>
          </w:p>
        </w:tc>
        <w:tc>
          <w:tcPr>
            <w:tcW w:w="252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9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82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5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Notional Amounts</w:t>
            </w:r>
            <w:r>
              <w:rPr>
                <w:rFonts w:eastAsia="Times New Roman"/>
                <w:color w:val="000000"/>
                <w:sz w:val="20"/>
                <w:szCs w:val="20"/>
              </w:rPr>
              <w:br/>
              <w:t>(in millions)</w:t>
            </w:r>
          </w:p>
        </w:tc>
      </w:tr>
      <w:tr w:rsidR="00000000">
        <w:trPr>
          <w:divId w:val="1271627335"/>
          <w:jc w:val="center"/>
        </w:trPr>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September 30,</w:t>
            </w:r>
          </w:p>
        </w:tc>
      </w:tr>
      <w:tr w:rsidR="00000000">
        <w:trPr>
          <w:divId w:val="1271627335"/>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Type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Units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Settlements Extending Through</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1271627335"/>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Commodity Price Risk:</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i/>
                <w:iCs/>
                <w:color w:val="000000"/>
                <w:sz w:val="20"/>
                <w:szCs w:val="20"/>
              </w:rPr>
              <w:t>Regulated Utility Operations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Gas Utility NYMEX natural gas futures and option contracts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Dekatherms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September 2022</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7162733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i/>
                <w:iCs/>
                <w:color w:val="000000"/>
                <w:sz w:val="20"/>
                <w:szCs w:val="20"/>
              </w:rPr>
              <w:t>Non-utility Operations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LPG swaps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Gallons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November 2023</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846 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71627335"/>
          <w:jc w:val="center"/>
        </w:trPr>
        <w:tc>
          <w:tcPr>
            <w:tcW w:w="0" w:type="auto"/>
            <w:gridSpan w:val="3"/>
            <w:shd w:val="clear" w:color="auto" w:fill="CCEE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Natural gas futures, forward, basis swap, options and pipeline contracts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Dekatherms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April 2026</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7162733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shd w:val="clear" w:color="auto" w:fill="FFFFFF"/>
            <w:tcMar>
              <w:top w:w="30" w:type="dxa"/>
              <w:left w:w="24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Electricity forward and futures contracts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Kilowatt hours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January 2026</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4,302 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4,705 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7162733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Interest Rate Risk:</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Euro</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October 2022</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7162733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rate swaps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September 2024</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1,421 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1,344 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7162733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Foreign Currency Exchange Rate Risk:</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271627335"/>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Forward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September 2024</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71627335"/>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investment hedge forward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Euro</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October 2024</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71627335"/>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divId w:val="529228369"/>
        <w:rPr>
          <w:rFonts w:eastAsia="Times New Roman"/>
        </w:rPr>
      </w:pPr>
      <w:r>
        <w:rPr>
          <w:rFonts w:eastAsia="Times New Roman"/>
          <w:b/>
          <w:bCs/>
          <w:color w:val="000000"/>
          <w:sz w:val="20"/>
          <w:szCs w:val="20"/>
        </w:rPr>
        <w:t>Derivative Instrument Credit Risk</w:t>
      </w:r>
    </w:p>
    <w:p w:rsidR="00000000" w:rsidRDefault="00DF5BC2">
      <w:pPr>
        <w:jc w:val="both"/>
        <w:divId w:val="1427265436"/>
        <w:rPr>
          <w:rFonts w:eastAsia="Times New Roman"/>
        </w:rPr>
      </w:pPr>
      <w:r>
        <w:rPr>
          <w:rFonts w:eastAsia="Times New Roman"/>
          <w:color w:val="000000"/>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main</w:t>
      </w:r>
      <w:r>
        <w:rPr>
          <w:rFonts w:eastAsia="Times New Roman"/>
          <w:color w:val="000000"/>
          <w:sz w:val="20"/>
          <w:szCs w:val="20"/>
        </w:rPr>
        <w:t>tain credit policies with regard to our counterparties that we believe reduce overall credit risk. These policies include evaluating and monitoring our counterparties’ financial condition, including their credit ratings, and entering into agreements with c</w:t>
      </w:r>
      <w:r>
        <w:rPr>
          <w:rFonts w:eastAsia="Times New Roman"/>
          <w:color w:val="000000"/>
          <w:sz w:val="20"/>
          <w:szCs w:val="20"/>
        </w:rPr>
        <w:t xml:space="preserve">ounterparties that govern credit limits or entering into netting agreements that allow for offsetting counterparty receivable and payable balances for certain financial transactions, as deemed appropriate. </w:t>
      </w:r>
    </w:p>
    <w:p w:rsidR="00000000" w:rsidRDefault="00DF5BC2">
      <w:pPr>
        <w:jc w:val="both"/>
        <w:divId w:val="355691096"/>
        <w:rPr>
          <w:rFonts w:eastAsia="Times New Roman"/>
        </w:rPr>
      </w:pPr>
      <w:r>
        <w:rPr>
          <w:rFonts w:eastAsia="Times New Roman"/>
          <w:color w:val="000000"/>
          <w:sz w:val="20"/>
          <w:szCs w:val="20"/>
        </w:rPr>
        <w:t xml:space="preserve">We have concentrations of credit risk associated </w:t>
      </w:r>
      <w:r>
        <w:rPr>
          <w:rFonts w:eastAsia="Times New Roman"/>
          <w:color w:val="000000"/>
          <w:sz w:val="20"/>
          <w:szCs w:val="20"/>
        </w:rPr>
        <w:t>with derivative instruments and we evaluate the creditworthiness of our derivative counterparties on an ongoing basis. As of September 30, 2021, the maximum amount of loss, based upon the gross fair values of the derivative instruments, we would incur if t</w:t>
      </w:r>
      <w:r>
        <w:rPr>
          <w:rFonts w:eastAsia="Times New Roman"/>
          <w:color w:val="000000"/>
          <w:sz w:val="20"/>
          <w:szCs w:val="20"/>
        </w:rPr>
        <w:t xml:space="preserve">hese counterparties failed to perform according to the terms of their contracts was $1,687. In general, many of our over-the-counter derivative instruments and all exchange contracts call for the posting of collateral by the counterparty or by the Company </w:t>
      </w:r>
      <w:r>
        <w:rPr>
          <w:rFonts w:eastAsia="Times New Roman"/>
          <w:color w:val="000000"/>
          <w:sz w:val="20"/>
          <w:szCs w:val="20"/>
        </w:rPr>
        <w:t xml:space="preserve">in the forms of letters of credit, parental guarantees or cash. At September 30, 2021, we had received cash collateral from derivative instrument counterparties totaling $468. In addition, we may have offsetting derivative liabilities and certain accounts </w:t>
      </w:r>
      <w:r>
        <w:rPr>
          <w:rFonts w:eastAsia="Times New Roman"/>
          <w:color w:val="000000"/>
          <w:sz w:val="20"/>
          <w:szCs w:val="20"/>
        </w:rPr>
        <w:t>payable balances with certain of these counterparties, which further mitigates the previously mentioned maximum amount of losses. Certain of the Partnership’s derivative contracts have credit-risk-related contingent features that may require the posting of</w:t>
      </w:r>
      <w:r>
        <w:rPr>
          <w:rFonts w:eastAsia="Times New Roman"/>
          <w:color w:val="000000"/>
          <w:sz w:val="20"/>
          <w:szCs w:val="20"/>
        </w:rPr>
        <w:t xml:space="preserve"> additional collateral in the event of a downgrade of the Partnership’s debt rating. At September 30, 2021, if the credit-risk-related contingent features were triggered, the amount of collateral required to be posted would not be material.</w:t>
      </w:r>
    </w:p>
    <w:p w:rsidR="00000000" w:rsidRDefault="00DF5BC2">
      <w:pPr>
        <w:jc w:val="center"/>
        <w:divId w:val="1412239197"/>
        <w:rPr>
          <w:rFonts w:eastAsia="Times New Roman"/>
        </w:rPr>
      </w:pPr>
      <w:r>
        <w:rPr>
          <w:rFonts w:eastAsia="Times New Roman"/>
          <w:color w:val="000000"/>
          <w:sz w:val="20"/>
          <w:szCs w:val="20"/>
        </w:rPr>
        <w:t>F-55</w:t>
      </w:r>
    </w:p>
    <w:p w:rsidR="00000000" w:rsidRDefault="00DF5BC2">
      <w:pPr>
        <w:rPr>
          <w:rFonts w:eastAsia="Times New Roman"/>
        </w:rPr>
      </w:pPr>
      <w:r>
        <w:rPr>
          <w:rFonts w:eastAsia="Times New Roman"/>
        </w:rPr>
        <w:pict>
          <v:rect id="_x0000_i1169" style="width:0;height:1.5pt" o:hralign="center" o:hrstd="t" o:hr="t" fillcolor="#a0a0a0" stroked="f"/>
        </w:pict>
      </w:r>
    </w:p>
    <w:p w:rsidR="00000000" w:rsidRDefault="00DF5BC2">
      <w:pPr>
        <w:divId w:val="301039044"/>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702048576"/>
        <w:rPr>
          <w:rFonts w:eastAsia="Times New Roman"/>
        </w:rPr>
      </w:pPr>
      <w:r>
        <w:rPr>
          <w:rFonts w:eastAsia="Times New Roman"/>
          <w:b/>
          <w:bCs/>
          <w:color w:val="000000"/>
          <w:sz w:val="20"/>
          <w:szCs w:val="20"/>
        </w:rPr>
        <w:t>UGI Corporation and Subsidiaries</w:t>
      </w:r>
    </w:p>
    <w:p w:rsidR="00000000" w:rsidRDefault="00DF5BC2">
      <w:pPr>
        <w:divId w:val="1218857481"/>
        <w:rPr>
          <w:rFonts w:eastAsia="Times New Roman"/>
        </w:rPr>
      </w:pPr>
      <w:r>
        <w:rPr>
          <w:rFonts w:eastAsia="Times New Roman"/>
          <w:b/>
          <w:bCs/>
          <w:color w:val="000000"/>
          <w:sz w:val="20"/>
          <w:szCs w:val="20"/>
        </w:rPr>
        <w:t>Notes to Consolidated Financial Statements</w:t>
      </w:r>
    </w:p>
    <w:p w:rsidR="00000000" w:rsidRDefault="00DF5BC2">
      <w:pPr>
        <w:divId w:val="1648973374"/>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284192837"/>
        <w:rPr>
          <w:rFonts w:eastAsia="Times New Roman"/>
        </w:rPr>
      </w:pPr>
      <w:r>
        <w:rPr>
          <w:rFonts w:eastAsia="Times New Roman"/>
          <w:b/>
          <w:bCs/>
          <w:color w:val="000000"/>
          <w:sz w:val="20"/>
          <w:szCs w:val="20"/>
        </w:rPr>
        <w:t>Offsetting Derivative Assets and Liabilities</w:t>
      </w:r>
    </w:p>
    <w:p w:rsidR="00000000" w:rsidRDefault="00DF5BC2">
      <w:pPr>
        <w:jc w:val="both"/>
        <w:divId w:val="518861921"/>
        <w:rPr>
          <w:rFonts w:eastAsia="Times New Roman"/>
        </w:rPr>
      </w:pPr>
      <w:r>
        <w:rPr>
          <w:rFonts w:eastAsia="Times New Roman"/>
          <w:color w:val="000000"/>
          <w:sz w:val="20"/>
          <w:szCs w:val="20"/>
        </w:rPr>
        <w:t>Derivative assets and liabilities are presented net by counterparty on the Consolidated Balance Sheets if the right of offset exists</w:t>
      </w:r>
      <w:r>
        <w:rPr>
          <w:rFonts w:eastAsia="Times New Roman"/>
          <w:color w:val="000000"/>
          <w:sz w:val="20"/>
          <w:szCs w:val="20"/>
        </w:rPr>
        <w:t>. We offset amounts recognized for the right to reclaim cash collateral or the obligation to return cash collateral against amounts recognized for derivative instruments executed with the same counterparty. Our derivative instruments include both those tha</w:t>
      </w:r>
      <w:r>
        <w:rPr>
          <w:rFonts w:eastAsia="Times New Roman"/>
          <w:color w:val="000000"/>
          <w:sz w:val="20"/>
          <w:szCs w:val="20"/>
        </w:rPr>
        <w:t xml:space="preserve">t are executed on an exchange through brokers and centrally cleared and over-the-counter transactions. Exchange contracts utilize a financial intermediary, exchange, or clearinghouse to enter, execute, or clear the transactions. Over-the-counter contracts </w:t>
      </w:r>
      <w:r>
        <w:rPr>
          <w:rFonts w:eastAsia="Times New Roman"/>
          <w:color w:val="000000"/>
          <w:sz w:val="20"/>
          <w:szCs w:val="20"/>
        </w:rPr>
        <w:t>are bilateral contracts that are transacted directly with a third party. Certain over-the-counter and exchange contracts contain contractual rights of offset through master netting arrangements, derivative clearing agreements, and contract default provisio</w:t>
      </w:r>
      <w:r>
        <w:rPr>
          <w:rFonts w:eastAsia="Times New Roman"/>
          <w:color w:val="000000"/>
          <w:sz w:val="20"/>
          <w:szCs w:val="20"/>
        </w:rPr>
        <w:t>ns. In addition, the contracts are subject to conditional rights of offset through counterparty nonperformance, insolvency or other conditions.</w:t>
      </w:r>
    </w:p>
    <w:p w:rsidR="00000000" w:rsidRDefault="00DF5BC2">
      <w:pPr>
        <w:jc w:val="both"/>
        <w:divId w:val="1965426186"/>
        <w:rPr>
          <w:rFonts w:eastAsia="Times New Roman"/>
        </w:rPr>
      </w:pPr>
      <w:r>
        <w:rPr>
          <w:rFonts w:eastAsia="Times New Roman"/>
          <w:color w:val="000000"/>
          <w:sz w:val="20"/>
          <w:szCs w:val="20"/>
        </w:rPr>
        <w:t>In general, many of our over-the-counter transactions and all exchange contracts are subject to collateral requi</w:t>
      </w:r>
      <w:r>
        <w:rPr>
          <w:rFonts w:eastAsia="Times New Roman"/>
          <w:color w:val="000000"/>
          <w:sz w:val="20"/>
          <w:szCs w:val="20"/>
        </w:rPr>
        <w:t>rements. Types of collateral generally include cash or letters of credit. Cash collateral paid by us to our over-the-counter derivative counterparties, if any, is reflected in the table below to offset derivative liabilities. Cash collateral received by us</w:t>
      </w:r>
      <w:r>
        <w:rPr>
          <w:rFonts w:eastAsia="Times New Roman"/>
          <w:color w:val="000000"/>
          <w:sz w:val="20"/>
          <w:szCs w:val="20"/>
        </w:rPr>
        <w:t xml:space="preserve"> from our over-the-counter derivative counterparties, if any, is reflected in the table below to offset derivative assets. Certain other accounts receivable and accounts payable balances recognized on the Consolidated Balance Sheets with our derivative cou</w:t>
      </w:r>
      <w:r>
        <w:rPr>
          <w:rFonts w:eastAsia="Times New Roman"/>
          <w:color w:val="000000"/>
          <w:sz w:val="20"/>
          <w:szCs w:val="20"/>
        </w:rPr>
        <w:t>nterparties are not included in the table below but could reduce our net exposure to such counterparties because such balances are subject to master netting or similar arrangements.</w:t>
      </w:r>
    </w:p>
    <w:p w:rsidR="00000000" w:rsidRDefault="00DF5BC2">
      <w:pPr>
        <w:jc w:val="both"/>
        <w:divId w:val="631984264"/>
        <w:rPr>
          <w:rFonts w:eastAsia="Times New Roman"/>
        </w:rPr>
      </w:pPr>
    </w:p>
    <w:p w:rsidR="00000000" w:rsidRDefault="00DF5BC2">
      <w:pPr>
        <w:jc w:val="center"/>
        <w:divId w:val="240530553"/>
        <w:rPr>
          <w:rFonts w:eastAsia="Times New Roman"/>
        </w:rPr>
      </w:pPr>
      <w:r>
        <w:rPr>
          <w:rFonts w:eastAsia="Times New Roman"/>
          <w:color w:val="000000"/>
          <w:sz w:val="20"/>
          <w:szCs w:val="20"/>
        </w:rPr>
        <w:t>F-56</w:t>
      </w:r>
    </w:p>
    <w:p w:rsidR="00000000" w:rsidRDefault="00DF5BC2">
      <w:pPr>
        <w:rPr>
          <w:rFonts w:eastAsia="Times New Roman"/>
        </w:rPr>
      </w:pPr>
      <w:r>
        <w:rPr>
          <w:rFonts w:eastAsia="Times New Roman"/>
        </w:rPr>
        <w:pict>
          <v:rect id="_x0000_i1170" style="width:0;height:1.5pt" o:hralign="center" o:hrstd="t" o:hr="t" fillcolor="#a0a0a0" stroked="f"/>
        </w:pict>
      </w:r>
    </w:p>
    <w:p w:rsidR="00000000" w:rsidRDefault="00DF5BC2">
      <w:pPr>
        <w:divId w:val="443691208"/>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986815034"/>
        <w:rPr>
          <w:rFonts w:eastAsia="Times New Roman"/>
        </w:rPr>
      </w:pPr>
      <w:r>
        <w:rPr>
          <w:rFonts w:eastAsia="Times New Roman"/>
          <w:b/>
          <w:bCs/>
          <w:color w:val="000000"/>
          <w:sz w:val="20"/>
          <w:szCs w:val="20"/>
        </w:rPr>
        <w:t>UGI Corporation and Subsidiaries</w:t>
      </w:r>
    </w:p>
    <w:p w:rsidR="00000000" w:rsidRDefault="00DF5BC2">
      <w:pPr>
        <w:divId w:val="716585649"/>
        <w:rPr>
          <w:rFonts w:eastAsia="Times New Roman"/>
        </w:rPr>
      </w:pPr>
      <w:r>
        <w:rPr>
          <w:rFonts w:eastAsia="Times New Roman"/>
          <w:b/>
          <w:bCs/>
          <w:color w:val="000000"/>
          <w:sz w:val="20"/>
          <w:szCs w:val="20"/>
        </w:rPr>
        <w:t>Notes to Consolidated Financial Statements</w:t>
      </w:r>
    </w:p>
    <w:p w:rsidR="00000000" w:rsidRDefault="00DF5BC2">
      <w:pPr>
        <w:divId w:val="1106845930"/>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divId w:val="1118913121"/>
        <w:rPr>
          <w:rFonts w:eastAsia="Times New Roman"/>
        </w:rPr>
      </w:pPr>
      <w:r>
        <w:rPr>
          <w:rFonts w:eastAsia="Times New Roman"/>
          <w:b/>
          <w:bCs/>
          <w:color w:val="000000"/>
          <w:sz w:val="20"/>
          <w:szCs w:val="20"/>
        </w:rPr>
        <w:t>Fair Value of Derivative Instruments</w:t>
      </w:r>
    </w:p>
    <w:p w:rsidR="00000000" w:rsidRDefault="00DF5BC2">
      <w:pPr>
        <w:jc w:val="both"/>
        <w:divId w:val="560409367"/>
        <w:rPr>
          <w:rFonts w:eastAsia="Times New Roman"/>
        </w:rPr>
      </w:pPr>
      <w:r>
        <w:rPr>
          <w:rFonts w:eastAsia="Times New Roman"/>
          <w:color w:val="000000"/>
          <w:sz w:val="20"/>
          <w:szCs w:val="20"/>
        </w:rPr>
        <w:t>The following tabl</w:t>
      </w:r>
      <w:r>
        <w:rPr>
          <w:rFonts w:eastAsia="Times New Roman"/>
          <w:color w:val="000000"/>
          <w:sz w:val="20"/>
          <w:szCs w:val="20"/>
        </w:rPr>
        <w:t>e presents the Company’s derivative assets and liabilities by type, as well as the effects of offsetting, as of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6328"/>
        <w:gridCol w:w="37"/>
        <w:gridCol w:w="120"/>
        <w:gridCol w:w="751"/>
        <w:gridCol w:w="36"/>
        <w:gridCol w:w="36"/>
        <w:gridCol w:w="36"/>
        <w:gridCol w:w="36"/>
        <w:gridCol w:w="120"/>
        <w:gridCol w:w="717"/>
        <w:gridCol w:w="36"/>
      </w:tblGrid>
      <w:tr w:rsidR="00000000">
        <w:trPr>
          <w:divId w:val="679966338"/>
        </w:trPr>
        <w:tc>
          <w:tcPr>
            <w:tcW w:w="50" w:type="pct"/>
            <w:vAlign w:val="center"/>
            <w:hideMark/>
          </w:tcPr>
          <w:p w:rsidR="00000000" w:rsidRDefault="00DF5BC2">
            <w:pPr>
              <w:jc w:val="both"/>
              <w:rPr>
                <w:rFonts w:eastAsia="Times New Roman"/>
              </w:rPr>
            </w:pPr>
          </w:p>
        </w:tc>
        <w:tc>
          <w:tcPr>
            <w:tcW w:w="383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7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7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divId w:val="6799663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Derivative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679966338"/>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CCEEFF"/>
            <w:tcMar>
              <w:top w:w="30" w:type="dxa"/>
              <w:left w:w="245" w:type="dxa"/>
              <w:bottom w:w="30" w:type="dxa"/>
              <w:right w:w="20" w:type="dxa"/>
            </w:tcMar>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CCEEFF"/>
            <w:tcMar>
              <w:top w:w="30" w:type="dxa"/>
              <w:left w:w="245" w:type="dxa"/>
              <w:bottom w:w="30" w:type="dxa"/>
              <w:right w:w="20" w:type="dxa"/>
            </w:tcMar>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679966338"/>
        </w:trPr>
        <w:tc>
          <w:tcPr>
            <w:tcW w:w="0" w:type="auto"/>
            <w:gridSpan w:val="3"/>
            <w:shd w:val="clear" w:color="auto" w:fill="CCEEFF"/>
            <w:tcMar>
              <w:top w:w="30" w:type="dxa"/>
              <w:left w:w="245" w:type="dxa"/>
              <w:bottom w:w="30" w:type="dxa"/>
              <w:right w:w="20" w:type="dxa"/>
            </w:tcMar>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1,591 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FFFFFF"/>
            <w:tcMar>
              <w:top w:w="30" w:type="dxa"/>
              <w:left w:w="245" w:type="dxa"/>
              <w:bottom w:w="30" w:type="dxa"/>
              <w:right w:w="20" w:type="dxa"/>
            </w:tcMar>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derivative assets –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Gross amounts offset in the balance sheet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collateral received</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(468)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derivative assets –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Height w:val="280"/>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Derivative liabilities: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CCEEFF"/>
            <w:tcMar>
              <w:top w:w="30" w:type="dxa"/>
              <w:left w:w="245" w:type="dxa"/>
              <w:bottom w:w="30" w:type="dxa"/>
              <w:right w:w="20" w:type="dxa"/>
            </w:tcMar>
            <w:hideMark/>
          </w:tcPr>
          <w:p w:rsidR="00000000" w:rsidRDefault="00DF5BC2">
            <w:pPr>
              <w:spacing w:after="100"/>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CCEEFF"/>
            <w:tcMar>
              <w:top w:w="30" w:type="dxa"/>
              <w:left w:w="245" w:type="dxa"/>
              <w:bottom w:w="30" w:type="dxa"/>
              <w:right w:w="20" w:type="dxa"/>
            </w:tcMar>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679966338"/>
        </w:trPr>
        <w:tc>
          <w:tcPr>
            <w:tcW w:w="0" w:type="auto"/>
            <w:gridSpan w:val="3"/>
            <w:shd w:val="clear" w:color="auto" w:fill="CCEEFF"/>
            <w:tcMar>
              <w:top w:w="30" w:type="dxa"/>
              <w:left w:w="245" w:type="dxa"/>
              <w:bottom w:w="30" w:type="dxa"/>
              <w:right w:w="20" w:type="dxa"/>
            </w:tcMar>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FFFFFF"/>
            <w:tcMar>
              <w:top w:w="30" w:type="dxa"/>
              <w:left w:w="245" w:type="dxa"/>
              <w:bottom w:w="30" w:type="dxa"/>
              <w:right w:w="20" w:type="dxa"/>
            </w:tcMar>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derivative liabilities –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Gross amounts offset in the balance sheet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collateral pledged</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679966338"/>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derivative liabilities –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33778338"/>
        <w:rPr>
          <w:rFonts w:eastAsia="Times New Roman"/>
        </w:rPr>
      </w:pPr>
    </w:p>
    <w:p w:rsidR="00000000" w:rsidRDefault="00DF5BC2">
      <w:pPr>
        <w:jc w:val="center"/>
        <w:divId w:val="1651442462"/>
        <w:rPr>
          <w:rFonts w:eastAsia="Times New Roman"/>
        </w:rPr>
      </w:pPr>
      <w:r>
        <w:rPr>
          <w:rFonts w:eastAsia="Times New Roman"/>
          <w:color w:val="000000"/>
          <w:sz w:val="20"/>
          <w:szCs w:val="20"/>
        </w:rPr>
        <w:t>F-57</w:t>
      </w:r>
    </w:p>
    <w:p w:rsidR="00000000" w:rsidRDefault="00DF5BC2">
      <w:pPr>
        <w:rPr>
          <w:rFonts w:eastAsia="Times New Roman"/>
        </w:rPr>
      </w:pPr>
      <w:r>
        <w:rPr>
          <w:rFonts w:eastAsia="Times New Roman"/>
        </w:rPr>
        <w:pict>
          <v:rect id="_x0000_i1171" style="width:0;height:1.5pt" o:hralign="center" o:hrstd="t" o:hr="t" fillcolor="#a0a0a0" stroked="f"/>
        </w:pict>
      </w:r>
    </w:p>
    <w:p w:rsidR="00000000" w:rsidRDefault="00DF5BC2">
      <w:pPr>
        <w:divId w:val="1124150804"/>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424493334"/>
        <w:rPr>
          <w:rFonts w:eastAsia="Times New Roman"/>
        </w:rPr>
      </w:pPr>
      <w:r>
        <w:rPr>
          <w:rFonts w:eastAsia="Times New Roman"/>
          <w:b/>
          <w:bCs/>
          <w:color w:val="000000"/>
          <w:sz w:val="20"/>
          <w:szCs w:val="20"/>
        </w:rPr>
        <w:t>UGI Corporation and Subsidiaries</w:t>
      </w:r>
    </w:p>
    <w:p w:rsidR="00000000" w:rsidRDefault="00DF5BC2">
      <w:pPr>
        <w:divId w:val="1328941456"/>
        <w:rPr>
          <w:rFonts w:eastAsia="Times New Roman"/>
        </w:rPr>
      </w:pPr>
      <w:r>
        <w:rPr>
          <w:rFonts w:eastAsia="Times New Roman"/>
          <w:b/>
          <w:bCs/>
          <w:color w:val="000000"/>
          <w:sz w:val="20"/>
          <w:szCs w:val="20"/>
        </w:rPr>
        <w:t>Notes to Consolidated Financial Statements</w:t>
      </w:r>
    </w:p>
    <w:p w:rsidR="00000000" w:rsidRDefault="00DF5BC2">
      <w:pPr>
        <w:divId w:val="1833522410"/>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divId w:val="918095368"/>
        <w:rPr>
          <w:rFonts w:eastAsia="Times New Roman"/>
        </w:rPr>
      </w:pPr>
      <w:r>
        <w:rPr>
          <w:rFonts w:eastAsia="Times New Roman"/>
          <w:b/>
          <w:bCs/>
          <w:color w:val="000000"/>
          <w:sz w:val="20"/>
          <w:szCs w:val="20"/>
        </w:rPr>
        <w:t>Effects of Derivative Instruments</w:t>
      </w:r>
    </w:p>
    <w:p w:rsidR="00000000" w:rsidRDefault="00DF5BC2">
      <w:pPr>
        <w:jc w:val="both"/>
        <w:divId w:val="1712537516"/>
        <w:rPr>
          <w:rFonts w:eastAsia="Times New Roman"/>
        </w:rPr>
      </w:pPr>
      <w:r>
        <w:rPr>
          <w:rFonts w:eastAsia="Times New Roman"/>
          <w:color w:val="000000"/>
          <w:sz w:val="20"/>
          <w:szCs w:val="20"/>
        </w:rPr>
        <w:t>The following tables provide information on the effects of derivative instruments on the Consolidated Statements of Income and changes in AOCI for Fiscal 2021, Fiscal 2020 and Fiscal 2019:</w:t>
      </w:r>
    </w:p>
    <w:tbl>
      <w:tblPr>
        <w:tblW w:w="4963" w:type="pct"/>
        <w:tblCellMar>
          <w:top w:w="15" w:type="dxa"/>
          <w:left w:w="15" w:type="dxa"/>
          <w:bottom w:w="15" w:type="dxa"/>
          <w:right w:w="15" w:type="dxa"/>
        </w:tblCellMar>
        <w:tblLook w:val="04A0" w:firstRow="1" w:lastRow="0" w:firstColumn="1" w:lastColumn="0" w:noHBand="0" w:noVBand="1"/>
      </w:tblPr>
      <w:tblGrid>
        <w:gridCol w:w="39"/>
        <w:gridCol w:w="2128"/>
        <w:gridCol w:w="38"/>
        <w:gridCol w:w="121"/>
        <w:gridCol w:w="503"/>
        <w:gridCol w:w="36"/>
        <w:gridCol w:w="36"/>
        <w:gridCol w:w="36"/>
        <w:gridCol w:w="36"/>
        <w:gridCol w:w="120"/>
        <w:gridCol w:w="461"/>
        <w:gridCol w:w="36"/>
        <w:gridCol w:w="36"/>
        <w:gridCol w:w="36"/>
        <w:gridCol w:w="36"/>
        <w:gridCol w:w="120"/>
        <w:gridCol w:w="461"/>
        <w:gridCol w:w="36"/>
        <w:gridCol w:w="36"/>
        <w:gridCol w:w="36"/>
        <w:gridCol w:w="36"/>
        <w:gridCol w:w="120"/>
        <w:gridCol w:w="463"/>
        <w:gridCol w:w="36"/>
        <w:gridCol w:w="36"/>
        <w:gridCol w:w="36"/>
        <w:gridCol w:w="36"/>
        <w:gridCol w:w="120"/>
        <w:gridCol w:w="463"/>
        <w:gridCol w:w="36"/>
        <w:gridCol w:w="36"/>
        <w:gridCol w:w="36"/>
        <w:gridCol w:w="36"/>
        <w:gridCol w:w="121"/>
        <w:gridCol w:w="463"/>
        <w:gridCol w:w="36"/>
        <w:gridCol w:w="36"/>
        <w:gridCol w:w="36"/>
        <w:gridCol w:w="36"/>
        <w:gridCol w:w="49"/>
        <w:gridCol w:w="1555"/>
        <w:gridCol w:w="36"/>
      </w:tblGrid>
      <w:tr w:rsidR="00000000">
        <w:trPr>
          <w:divId w:val="173035800"/>
        </w:trPr>
        <w:tc>
          <w:tcPr>
            <w:tcW w:w="50" w:type="pct"/>
            <w:vAlign w:val="center"/>
            <w:hideMark/>
          </w:tcPr>
          <w:p w:rsidR="00000000" w:rsidRDefault="00DF5BC2">
            <w:pPr>
              <w:jc w:val="both"/>
              <w:rPr>
                <w:rFonts w:eastAsia="Times New Roman"/>
              </w:rPr>
            </w:pPr>
          </w:p>
        </w:tc>
        <w:tc>
          <w:tcPr>
            <w:tcW w:w="132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3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3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3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3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3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3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00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73035800"/>
          <w:trHeight w:val="70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Location of Gain (Loss) Reclassified from</w:t>
            </w:r>
            <w:r>
              <w:rPr>
                <w:rFonts w:eastAsia="Times New Roman"/>
                <w:color w:val="000000"/>
                <w:sz w:val="20"/>
                <w:szCs w:val="20"/>
              </w:rPr>
              <w:br/>
              <w:t>AOCI into Income</w:t>
            </w:r>
          </w:p>
        </w:tc>
      </w:tr>
      <w:tr w:rsidR="00000000">
        <w:trPr>
          <w:divId w:val="173035800"/>
          <w:trHeight w:val="300"/>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vMerge/>
            <w:vAlign w:val="center"/>
            <w:hideMark/>
          </w:tcPr>
          <w:p w:rsidR="00000000" w:rsidRDefault="00DF5BC2">
            <w:pPr>
              <w:spacing w:after="100"/>
              <w:rPr>
                <w:rFonts w:eastAsia="Times New Roman"/>
              </w:rPr>
            </w:pPr>
          </w:p>
        </w:tc>
      </w:tr>
      <w:tr w:rsidR="00000000">
        <w:trPr>
          <w:divId w:val="17303580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Cash Flow Hedges: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 </w:t>
            </w:r>
          </w:p>
        </w:tc>
      </w:tr>
      <w:tr w:rsidR="00000000">
        <w:trPr>
          <w:divId w:val="173035800"/>
        </w:trPr>
        <w:tc>
          <w:tcPr>
            <w:tcW w:w="0" w:type="auto"/>
            <w:gridSpan w:val="3"/>
            <w:vAlign w:val="center"/>
            <w:hideMark/>
          </w:tcPr>
          <w:p w:rsidR="00000000" w:rsidRDefault="00DF5BC2">
            <w:pPr>
              <w:spacing w:after="100"/>
              <w:jc w:val="center"/>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DF5BC2">
        <w:trPr>
          <w:divId w:val="173035800"/>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Cost of sales</w:t>
            </w:r>
          </w:p>
        </w:tc>
      </w:tr>
      <w:tr w:rsidR="00000000">
        <w:trPr>
          <w:divId w:val="173035800"/>
        </w:trPr>
        <w:tc>
          <w:tcPr>
            <w:tcW w:w="0" w:type="auto"/>
            <w:gridSpan w:val="3"/>
            <w:vAlign w:val="center"/>
            <w:hideMark/>
          </w:tcPr>
          <w:p w:rsidR="00000000" w:rsidRDefault="00DF5BC2">
            <w:pPr>
              <w:spacing w:after="100"/>
              <w:jc w:val="center"/>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73035800"/>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rate contracts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Interest expense</w:t>
            </w:r>
          </w:p>
        </w:tc>
      </w:tr>
      <w:tr w:rsidR="00DF5BC2">
        <w:trPr>
          <w:divId w:val="173035800"/>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 </w:t>
            </w:r>
          </w:p>
        </w:tc>
      </w:tr>
      <w:tr w:rsidR="00000000">
        <w:trPr>
          <w:divId w:val="173035800"/>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Net Investment Hedges: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 </w:t>
            </w:r>
          </w:p>
        </w:tc>
      </w:tr>
      <w:tr w:rsidR="00000000">
        <w:trPr>
          <w:divId w:val="173035800"/>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 </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177"/>
        <w:gridCol w:w="144"/>
        <w:gridCol w:w="144"/>
        <w:gridCol w:w="576"/>
        <w:gridCol w:w="144"/>
        <w:gridCol w:w="144"/>
        <w:gridCol w:w="144"/>
        <w:gridCol w:w="144"/>
        <w:gridCol w:w="144"/>
        <w:gridCol w:w="576"/>
        <w:gridCol w:w="144"/>
        <w:gridCol w:w="144"/>
        <w:gridCol w:w="144"/>
        <w:gridCol w:w="144"/>
        <w:gridCol w:w="144"/>
        <w:gridCol w:w="576"/>
        <w:gridCol w:w="144"/>
        <w:gridCol w:w="144"/>
        <w:gridCol w:w="144"/>
        <w:gridCol w:w="144"/>
        <w:gridCol w:w="144"/>
        <w:gridCol w:w="3757"/>
        <w:gridCol w:w="144"/>
        <w:gridCol w:w="160"/>
        <w:gridCol w:w="160"/>
        <w:gridCol w:w="160"/>
      </w:tblGrid>
      <w:tr w:rsidR="00000000">
        <w:tc>
          <w:tcPr>
            <w:tcW w:w="50" w:type="pct"/>
            <w:vAlign w:val="center"/>
            <w:hideMark/>
          </w:tcPr>
          <w:p w:rsidR="00000000" w:rsidRDefault="00DF5BC2">
            <w:pPr>
              <w:rPr>
                <w:rFonts w:eastAsia="Times New Roman"/>
              </w:rPr>
            </w:pPr>
          </w:p>
        </w:tc>
        <w:tc>
          <w:tcPr>
            <w:tcW w:w="131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4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4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47"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226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trHeight w:val="48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r>
            <w:r>
              <w:rPr>
                <w:rFonts w:eastAsia="Times New Roman"/>
                <w:color w:val="000000"/>
                <w:sz w:val="20"/>
                <w:szCs w:val="20"/>
              </w:rPr>
              <w:t>Recognized in Income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 xml:space="preserve">Location of </w:t>
            </w:r>
            <w:r>
              <w:rPr>
                <w:rFonts w:eastAsia="Times New Roman"/>
                <w:color w:val="000000"/>
                <w:sz w:val="20"/>
                <w:szCs w:val="20"/>
              </w:rPr>
              <w:br/>
              <w:t>Gain (Loss)</w:t>
            </w:r>
            <w:r>
              <w:rPr>
                <w:rFonts w:eastAsia="Times New Roman"/>
                <w:color w:val="000000"/>
                <w:sz w:val="20"/>
                <w:szCs w:val="20"/>
              </w:rPr>
              <w:br/>
              <w:t>Recognized in Income</w:t>
            </w:r>
          </w:p>
        </w:tc>
        <w:tc>
          <w:tcPr>
            <w:tcW w:w="0" w:type="auto"/>
            <w:gridSpan w:val="3"/>
            <w:vAlign w:val="center"/>
            <w:hideMark/>
          </w:tcPr>
          <w:p w:rsidR="00000000" w:rsidRDefault="00DF5BC2">
            <w:pPr>
              <w:spacing w:after="100"/>
              <w:jc w:val="center"/>
              <w:rPr>
                <w:rFonts w:eastAsia="Times New Roman"/>
              </w:rPr>
            </w:pPr>
          </w:p>
        </w:tc>
      </w:tr>
      <w:tr w:rsidR="00000000">
        <w:trPr>
          <w:trHeight w:val="300"/>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vMerge/>
            <w:vAlign w:val="center"/>
            <w:hideMark/>
          </w:tcPr>
          <w:p w:rsidR="00000000" w:rsidRDefault="00DF5BC2">
            <w:pPr>
              <w:spacing w:after="100"/>
              <w:rPr>
                <w:rFonts w:eastAsia="Times New Roman"/>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c>
          <w:tcPr>
            <w:tcW w:w="0" w:type="auto"/>
            <w:vAlign w:val="center"/>
            <w:hideMark/>
          </w:tcPr>
          <w:p w:rsidR="00000000" w:rsidRDefault="00DF5BC2">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Revenues</w:t>
            </w:r>
          </w:p>
        </w:tc>
        <w:tc>
          <w:tcPr>
            <w:tcW w:w="0" w:type="auto"/>
            <w:gridSpan w:val="3"/>
            <w:vAlign w:val="center"/>
            <w:hideMark/>
          </w:tcPr>
          <w:p w:rsidR="00000000" w:rsidRDefault="00DF5BC2">
            <w:pPr>
              <w:spacing w:after="100"/>
              <w:jc w:val="center"/>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1,545 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F5BC2">
            <w:pPr>
              <w:spacing w:after="100"/>
              <w:jc w:val="center"/>
              <w:rPr>
                <w:rFonts w:eastAsia="Times New Roman"/>
              </w:rPr>
            </w:pPr>
            <w:r>
              <w:rPr>
                <w:rFonts w:eastAsia="Times New Roman"/>
                <w:color w:val="000000"/>
                <w:sz w:val="20"/>
                <w:szCs w:val="20"/>
              </w:rPr>
              <w:t>Cost of sales</w:t>
            </w:r>
          </w:p>
        </w:tc>
        <w:tc>
          <w:tcPr>
            <w:tcW w:w="0" w:type="auto"/>
            <w:gridSpan w:val="3"/>
            <w:vAlign w:val="center"/>
            <w:hideMark/>
          </w:tcPr>
          <w:p w:rsidR="00000000" w:rsidRDefault="00DF5BC2">
            <w:pPr>
              <w:spacing w:after="100"/>
              <w:jc w:val="center"/>
              <w:rPr>
                <w:rFonts w:eastAsia="Times New Roman"/>
              </w:rPr>
            </w:pPr>
          </w:p>
        </w:tc>
      </w:tr>
      <w:tr w:rsidR="00000000">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Commodity contracts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Other operating income, net</w:t>
            </w:r>
          </w:p>
        </w:tc>
        <w:tc>
          <w:tcPr>
            <w:tcW w:w="0" w:type="auto"/>
            <w:gridSpan w:val="3"/>
            <w:vAlign w:val="center"/>
            <w:hideMark/>
          </w:tcPr>
          <w:p w:rsidR="00000000" w:rsidRDefault="00DF5BC2">
            <w:pPr>
              <w:spacing w:after="100"/>
              <w:jc w:val="center"/>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Other non-operating income (expense), net</w:t>
            </w:r>
          </w:p>
        </w:tc>
        <w:tc>
          <w:tcPr>
            <w:tcW w:w="0" w:type="auto"/>
            <w:gridSpan w:val="3"/>
            <w:vAlign w:val="center"/>
            <w:hideMark/>
          </w:tcPr>
          <w:p w:rsidR="00000000" w:rsidRDefault="00DF5BC2">
            <w:pPr>
              <w:spacing w:after="100"/>
              <w:jc w:val="center"/>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both"/>
        <w:divId w:val="155386065"/>
        <w:rPr>
          <w:rFonts w:eastAsia="Times New Roman"/>
        </w:rPr>
      </w:pPr>
      <w:r>
        <w:rPr>
          <w:rFonts w:eastAsia="Times New Roman"/>
          <w:color w:val="000000"/>
          <w:sz w:val="20"/>
          <w:szCs w:val="20"/>
        </w:rPr>
        <w:t>We are also a party to a number of other contracts that have elements of a derivative instrument. Ho</w:t>
      </w:r>
      <w:r>
        <w:rPr>
          <w:rFonts w:eastAsia="Times New Roman"/>
          <w:color w:val="000000"/>
          <w:sz w:val="20"/>
          <w:szCs w:val="20"/>
        </w:rPr>
        <w:t>wever, these contracts qualify for NPNS exception accounting because they provide for the delivery of products or services in quantities that are expected to be used in the normal course of operating our business and the price in the contract is based on a</w:t>
      </w:r>
      <w:r>
        <w:rPr>
          <w:rFonts w:eastAsia="Times New Roman"/>
          <w:color w:val="000000"/>
          <w:sz w:val="20"/>
          <w:szCs w:val="20"/>
        </w:rPr>
        <w:t>n underlying that is directly associated with the price of the product or service being purchased or sold. These contracts include, among others, binding purchase orders, contracts that provide for the purchase and delivery, or sale, of energy products, an</w:t>
      </w:r>
      <w:r>
        <w:rPr>
          <w:rFonts w:eastAsia="Times New Roman"/>
          <w:color w:val="000000"/>
          <w:sz w:val="20"/>
          <w:szCs w:val="20"/>
        </w:rPr>
        <w:t>d service contracts that require the counterparty to provide commodity storage, transportation or capacity service to meet our normal sales commitments.</w:t>
      </w:r>
    </w:p>
    <w:p w:rsidR="00000000" w:rsidRDefault="00DF5BC2">
      <w:pPr>
        <w:jc w:val="both"/>
        <w:rPr>
          <w:rFonts w:eastAsia="Times New Roman"/>
        </w:rPr>
      </w:pPr>
    </w:p>
    <w:p w:rsidR="00000000" w:rsidRDefault="00DF5BC2">
      <w:pPr>
        <w:divId w:val="1342273254"/>
        <w:rPr>
          <w:rFonts w:eastAsia="Times New Roman"/>
        </w:rPr>
      </w:pPr>
      <w:r>
        <w:rPr>
          <w:rFonts w:eastAsia="Times New Roman"/>
          <w:b/>
          <w:bCs/>
          <w:color w:val="000000"/>
          <w:sz w:val="20"/>
          <w:szCs w:val="20"/>
          <w:u w:val="single"/>
        </w:rPr>
        <w:t xml:space="preserve">Note 20 — Accumulated Other Comprehensive Income (Loss) </w:t>
      </w:r>
    </w:p>
    <w:p w:rsidR="00000000" w:rsidRDefault="00DF5BC2">
      <w:pPr>
        <w:jc w:val="both"/>
        <w:divId w:val="2055615486"/>
        <w:rPr>
          <w:rFonts w:eastAsia="Times New Roman"/>
        </w:rPr>
      </w:pPr>
      <w:r>
        <w:rPr>
          <w:rFonts w:eastAsia="Times New Roman"/>
          <w:color w:val="000000"/>
          <w:sz w:val="20"/>
          <w:szCs w:val="20"/>
        </w:rPr>
        <w:t>Other comprehensive income (loss) principall</w:t>
      </w:r>
      <w:r>
        <w:rPr>
          <w:rFonts w:eastAsia="Times New Roman"/>
          <w:color w:val="000000"/>
          <w:sz w:val="20"/>
          <w:szCs w:val="20"/>
        </w:rPr>
        <w:t>y comprises (1) gains and losses on derivative instruments qualifying as cash flow hedges, net of reclassifications to net income; (2) actuarial gains and losses on postretirement benefit plans, net of associated amortization; and (3) foreign currency tran</w:t>
      </w:r>
      <w:r>
        <w:rPr>
          <w:rFonts w:eastAsia="Times New Roman"/>
          <w:color w:val="000000"/>
          <w:sz w:val="20"/>
          <w:szCs w:val="20"/>
        </w:rPr>
        <w:t>slation and long-term intra-company transaction adjustments.</w:t>
      </w:r>
    </w:p>
    <w:p w:rsidR="00000000" w:rsidRDefault="00DF5BC2">
      <w:pPr>
        <w:jc w:val="center"/>
        <w:divId w:val="1037127205"/>
        <w:rPr>
          <w:rFonts w:eastAsia="Times New Roman"/>
        </w:rPr>
      </w:pPr>
      <w:r>
        <w:rPr>
          <w:rFonts w:eastAsia="Times New Roman"/>
          <w:color w:val="000000"/>
          <w:sz w:val="20"/>
          <w:szCs w:val="20"/>
        </w:rPr>
        <w:t>F-58</w:t>
      </w:r>
    </w:p>
    <w:p w:rsidR="00000000" w:rsidRDefault="00DF5BC2">
      <w:pPr>
        <w:rPr>
          <w:rFonts w:eastAsia="Times New Roman"/>
        </w:rPr>
      </w:pPr>
      <w:r>
        <w:rPr>
          <w:rFonts w:eastAsia="Times New Roman"/>
        </w:rPr>
        <w:pict>
          <v:rect id="_x0000_i1172" style="width:0;height:1.5pt" o:hralign="center" o:hrstd="t" o:hr="t" fillcolor="#a0a0a0" stroked="f"/>
        </w:pict>
      </w:r>
    </w:p>
    <w:p w:rsidR="00000000" w:rsidRDefault="00DF5BC2">
      <w:pPr>
        <w:divId w:val="2134861908"/>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343477670"/>
        <w:rPr>
          <w:rFonts w:eastAsia="Times New Roman"/>
        </w:rPr>
      </w:pPr>
      <w:r>
        <w:rPr>
          <w:rFonts w:eastAsia="Times New Roman"/>
          <w:b/>
          <w:bCs/>
          <w:color w:val="000000"/>
          <w:sz w:val="20"/>
          <w:szCs w:val="20"/>
        </w:rPr>
        <w:t>UGI Corporation and Subsidiaries</w:t>
      </w:r>
    </w:p>
    <w:p w:rsidR="00000000" w:rsidRDefault="00DF5BC2">
      <w:pPr>
        <w:divId w:val="323968679"/>
        <w:rPr>
          <w:rFonts w:eastAsia="Times New Roman"/>
        </w:rPr>
      </w:pPr>
      <w:r>
        <w:rPr>
          <w:rFonts w:eastAsia="Times New Roman"/>
          <w:b/>
          <w:bCs/>
          <w:color w:val="000000"/>
          <w:sz w:val="20"/>
          <w:szCs w:val="20"/>
        </w:rPr>
        <w:t>Notes to Consolidated Financial Statements</w:t>
      </w:r>
    </w:p>
    <w:p w:rsidR="00000000" w:rsidRDefault="00DF5BC2">
      <w:pPr>
        <w:divId w:val="1053699170"/>
        <w:rPr>
          <w:rFonts w:eastAsia="Times New Roman"/>
        </w:rPr>
      </w:pPr>
      <w:r>
        <w:rPr>
          <w:rFonts w:eastAsia="Times New Roman"/>
          <w:color w:val="000000"/>
          <w:sz w:val="20"/>
          <w:szCs w:val="20"/>
        </w:rPr>
        <w:t>(C</w:t>
      </w:r>
      <w:r>
        <w:rPr>
          <w:rFonts w:eastAsia="Times New Roman"/>
          <w:color w:val="000000"/>
          <w:sz w:val="20"/>
          <w:szCs w:val="20"/>
        </w:rPr>
        <w:t>urrency in millions, except per share amounts and where indicated otherwise)</w:t>
      </w:r>
    </w:p>
    <w:p w:rsidR="00000000" w:rsidRDefault="00DF5BC2">
      <w:pPr>
        <w:jc w:val="both"/>
        <w:divId w:val="233047513"/>
        <w:rPr>
          <w:rFonts w:eastAsia="Times New Roman"/>
        </w:rPr>
      </w:pPr>
      <w:r>
        <w:rPr>
          <w:rFonts w:eastAsia="Times New Roman"/>
          <w:color w:val="000000"/>
          <w:sz w:val="20"/>
          <w:szCs w:val="20"/>
        </w:rPr>
        <w:t>The table below presents changes in AOCI, net of tax, during Fiscal 2021, Fiscal 2020 and Fiscal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958"/>
        <w:gridCol w:w="38"/>
        <w:gridCol w:w="121"/>
        <w:gridCol w:w="1107"/>
        <w:gridCol w:w="36"/>
        <w:gridCol w:w="36"/>
        <w:gridCol w:w="36"/>
        <w:gridCol w:w="36"/>
        <w:gridCol w:w="121"/>
        <w:gridCol w:w="888"/>
        <w:gridCol w:w="36"/>
        <w:gridCol w:w="36"/>
        <w:gridCol w:w="36"/>
        <w:gridCol w:w="36"/>
        <w:gridCol w:w="121"/>
        <w:gridCol w:w="711"/>
        <w:gridCol w:w="36"/>
        <w:gridCol w:w="36"/>
        <w:gridCol w:w="36"/>
        <w:gridCol w:w="36"/>
        <w:gridCol w:w="120"/>
        <w:gridCol w:w="614"/>
        <w:gridCol w:w="36"/>
      </w:tblGrid>
      <w:tr w:rsidR="00000000">
        <w:trPr>
          <w:divId w:val="1902250926"/>
          <w:jc w:val="center"/>
        </w:trPr>
        <w:tc>
          <w:tcPr>
            <w:tcW w:w="50" w:type="pct"/>
            <w:vAlign w:val="center"/>
            <w:hideMark/>
          </w:tcPr>
          <w:p w:rsidR="00000000" w:rsidRDefault="00DF5BC2">
            <w:pPr>
              <w:jc w:val="both"/>
              <w:rPr>
                <w:rFonts w:eastAsia="Times New Roman"/>
              </w:rPr>
            </w:pPr>
          </w:p>
        </w:tc>
        <w:tc>
          <w:tcPr>
            <w:tcW w:w="245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61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0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2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6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902250926"/>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Postretirement</w:t>
            </w:r>
            <w:r>
              <w:rPr>
                <w:rFonts w:eastAsia="Times New Roman"/>
                <w:color w:val="000000"/>
                <w:sz w:val="20"/>
                <w:szCs w:val="20"/>
              </w:rPr>
              <w:br/>
              <w:t>Benefit</w:t>
            </w:r>
            <w:r>
              <w:rPr>
                <w:rFonts w:eastAsia="Times New Roman"/>
                <w:color w:val="000000"/>
                <w:sz w:val="20"/>
                <w:szCs w:val="20"/>
              </w:rPr>
              <w:br/>
              <w:t>Plans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Derivative</w:t>
            </w:r>
            <w:r>
              <w:rPr>
                <w:rFonts w:eastAsia="Times New Roman"/>
                <w:color w:val="000000"/>
                <w:sz w:val="20"/>
                <w:szCs w:val="20"/>
              </w:rPr>
              <w:br/>
              <w:t>Instruments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Foreign</w:t>
            </w:r>
            <w:r>
              <w:rPr>
                <w:rFonts w:eastAsia="Times New Roman"/>
                <w:color w:val="000000"/>
                <w:sz w:val="20"/>
                <w:szCs w:val="20"/>
              </w:rPr>
              <w:br/>
              <w:t>Currency</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Total</w:t>
            </w:r>
          </w:p>
        </w:tc>
      </w:tr>
      <w:tr w:rsidR="00000000">
        <w:trPr>
          <w:divId w:val="1902250926"/>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AOCI - September 30, 2018</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comprehensive loss before reclassification adjustments (after-tax)</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Other comprehensive loss attributable to UGI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Reclassification of stranded income tax effects related to TCJA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AOCI - September 30, 2019</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comprehensive (loss) income before reclassification adjustments (after-tax)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Other comprehensive (loss) income attributable to UGI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902250926"/>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AOCI - September 30,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comprehensive income (loss) before reclassification adjustments (after-tax)</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902250926"/>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902250926"/>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AOCI - September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202792415"/>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21 — Other Operating Income, Net and Other Non-Operating Income (Expense), Net </w:t>
      </w:r>
    </w:p>
    <w:p w:rsidR="00000000" w:rsidRDefault="00DF5BC2">
      <w:pPr>
        <w:jc w:val="both"/>
        <w:divId w:val="1509179015"/>
        <w:rPr>
          <w:rFonts w:eastAsia="Times New Roman"/>
        </w:rPr>
      </w:pPr>
      <w:r>
        <w:rPr>
          <w:rFonts w:eastAsia="Times New Roman"/>
          <w:b/>
          <w:bCs/>
          <w:color w:val="000000"/>
          <w:sz w:val="20"/>
          <w:szCs w:val="20"/>
        </w:rPr>
        <w:t>Other Operating Income, Net</w:t>
      </w:r>
    </w:p>
    <w:p w:rsidR="00000000" w:rsidRDefault="00DF5BC2">
      <w:pPr>
        <w:jc w:val="both"/>
        <w:divId w:val="1227035128"/>
        <w:rPr>
          <w:rFonts w:eastAsia="Times New Roman"/>
        </w:rPr>
      </w:pPr>
      <w:r>
        <w:rPr>
          <w:rFonts w:eastAsia="Times New Roman"/>
          <w:color w:val="000000"/>
          <w:sz w:val="20"/>
          <w:szCs w:val="20"/>
        </w:rPr>
        <w:t>Other operating income, net, comprises the foll</w:t>
      </w:r>
      <w:r>
        <w:rPr>
          <w:rFonts w:eastAsia="Times New Roman"/>
          <w:color w:val="000000"/>
          <w:sz w:val="20"/>
          <w:szCs w:val="20"/>
        </w:rPr>
        <w:t>owing:</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1"/>
        <w:gridCol w:w="916"/>
        <w:gridCol w:w="36"/>
        <w:gridCol w:w="36"/>
        <w:gridCol w:w="36"/>
        <w:gridCol w:w="36"/>
        <w:gridCol w:w="121"/>
        <w:gridCol w:w="875"/>
        <w:gridCol w:w="36"/>
        <w:gridCol w:w="36"/>
        <w:gridCol w:w="36"/>
        <w:gridCol w:w="36"/>
        <w:gridCol w:w="121"/>
        <w:gridCol w:w="877"/>
        <w:gridCol w:w="36"/>
      </w:tblGrid>
      <w:tr w:rsidR="00000000">
        <w:trPr>
          <w:divId w:val="1236818014"/>
        </w:trPr>
        <w:tc>
          <w:tcPr>
            <w:tcW w:w="50" w:type="pct"/>
            <w:vAlign w:val="center"/>
            <w:hideMark/>
          </w:tcPr>
          <w:p w:rsidR="00000000" w:rsidRDefault="00DF5BC2">
            <w:pPr>
              <w:jc w:val="both"/>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236818014"/>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1236818014"/>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Finance charges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36818014"/>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36818014"/>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Gains on sales of fixed assets, net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36818014"/>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Gain on early derivative termination</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36818014"/>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and interest-related income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36818014"/>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Utility non-tariff service income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36818014"/>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36818014"/>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236818014"/>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236818014"/>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other operating income,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663555136"/>
        <w:rPr>
          <w:rFonts w:eastAsia="Times New Roman"/>
        </w:rPr>
      </w:pPr>
    </w:p>
    <w:p w:rsidR="00000000" w:rsidRDefault="00DF5BC2">
      <w:pPr>
        <w:divId w:val="43215513"/>
        <w:rPr>
          <w:rFonts w:eastAsia="Times New Roman"/>
        </w:rPr>
      </w:pPr>
      <w:r>
        <w:rPr>
          <w:rFonts w:eastAsia="Times New Roman"/>
          <w:b/>
          <w:bCs/>
          <w:color w:val="000000"/>
          <w:sz w:val="20"/>
          <w:szCs w:val="20"/>
        </w:rPr>
        <w:t xml:space="preserve">Other Non-Operating Income (Expense), Net </w:t>
      </w:r>
    </w:p>
    <w:p w:rsidR="00000000" w:rsidRDefault="00DF5BC2">
      <w:pPr>
        <w:jc w:val="both"/>
        <w:divId w:val="525488679"/>
        <w:rPr>
          <w:rFonts w:eastAsia="Times New Roman"/>
        </w:rPr>
      </w:pPr>
      <w:r>
        <w:rPr>
          <w:rFonts w:eastAsia="Times New Roman"/>
          <w:color w:val="000000"/>
          <w:sz w:val="20"/>
          <w:szCs w:val="20"/>
        </w:rPr>
        <w:t>Other non-operating income (expense), net comprises the following:</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4826"/>
        <w:gridCol w:w="38"/>
        <w:gridCol w:w="121"/>
        <w:gridCol w:w="916"/>
        <w:gridCol w:w="36"/>
        <w:gridCol w:w="36"/>
        <w:gridCol w:w="36"/>
        <w:gridCol w:w="36"/>
        <w:gridCol w:w="120"/>
        <w:gridCol w:w="875"/>
        <w:gridCol w:w="36"/>
        <w:gridCol w:w="36"/>
        <w:gridCol w:w="36"/>
        <w:gridCol w:w="36"/>
        <w:gridCol w:w="121"/>
        <w:gridCol w:w="876"/>
        <w:gridCol w:w="36"/>
      </w:tblGrid>
      <w:tr w:rsidR="00000000">
        <w:trPr>
          <w:divId w:val="253710179"/>
          <w:jc w:val="center"/>
        </w:trPr>
        <w:tc>
          <w:tcPr>
            <w:tcW w:w="50" w:type="pct"/>
            <w:vAlign w:val="center"/>
            <w:hideMark/>
          </w:tcPr>
          <w:p w:rsidR="00000000" w:rsidRDefault="00DF5BC2">
            <w:pPr>
              <w:jc w:val="both"/>
              <w:rPr>
                <w:rFonts w:eastAsia="Times New Roman"/>
              </w:rPr>
            </w:pPr>
          </w:p>
        </w:tc>
        <w:tc>
          <w:tcPr>
            <w:tcW w:w="295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253710179"/>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253710179"/>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Gains (losses) on foreign currency contracts,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3710179"/>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both"/>
              <w:rPr>
                <w:rFonts w:eastAsia="Times New Roman"/>
              </w:rPr>
            </w:pPr>
            <w:r>
              <w:rPr>
                <w:rFonts w:eastAsia="Times New Roman"/>
                <w:color w:val="000000"/>
                <w:sz w:val="20"/>
                <w:szCs w:val="20"/>
              </w:rPr>
              <w:t xml:space="preserve">Amortization of excluded components of certain net investment hedges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3710179"/>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Pension and other postretirement plans non-service income, net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53710179"/>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other non-operating income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divId w:val="439760372"/>
        <w:rPr>
          <w:rFonts w:eastAsia="Times New Roman"/>
        </w:rPr>
      </w:pPr>
    </w:p>
    <w:p w:rsidR="00000000" w:rsidRDefault="00DF5BC2">
      <w:pPr>
        <w:jc w:val="center"/>
        <w:divId w:val="2038041967"/>
        <w:rPr>
          <w:rFonts w:eastAsia="Times New Roman"/>
        </w:rPr>
      </w:pPr>
      <w:r>
        <w:rPr>
          <w:rFonts w:eastAsia="Times New Roman"/>
          <w:color w:val="000000"/>
          <w:sz w:val="20"/>
          <w:szCs w:val="20"/>
        </w:rPr>
        <w:t>F-59</w:t>
      </w:r>
    </w:p>
    <w:p w:rsidR="00000000" w:rsidRDefault="00DF5BC2">
      <w:pPr>
        <w:rPr>
          <w:rFonts w:eastAsia="Times New Roman"/>
        </w:rPr>
      </w:pPr>
      <w:r>
        <w:rPr>
          <w:rFonts w:eastAsia="Times New Roman"/>
        </w:rPr>
        <w:pict>
          <v:rect id="_x0000_i1173" style="width:0;height:1.5pt" o:hralign="center" o:hrstd="t" o:hr="t" fillcolor="#a0a0a0" stroked="f"/>
        </w:pict>
      </w:r>
    </w:p>
    <w:p w:rsidR="00000000" w:rsidRDefault="00DF5BC2">
      <w:pPr>
        <w:divId w:val="5178072"/>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738401571"/>
        <w:rPr>
          <w:rFonts w:eastAsia="Times New Roman"/>
        </w:rPr>
      </w:pPr>
      <w:r>
        <w:rPr>
          <w:rFonts w:eastAsia="Times New Roman"/>
          <w:b/>
          <w:bCs/>
          <w:color w:val="000000"/>
          <w:sz w:val="20"/>
          <w:szCs w:val="20"/>
        </w:rPr>
        <w:t>UGI Corporation and Subsidiaries</w:t>
      </w:r>
    </w:p>
    <w:p w:rsidR="00000000" w:rsidRDefault="00DF5BC2">
      <w:pPr>
        <w:divId w:val="1208030132"/>
        <w:rPr>
          <w:rFonts w:eastAsia="Times New Roman"/>
        </w:rPr>
      </w:pPr>
      <w:r>
        <w:rPr>
          <w:rFonts w:eastAsia="Times New Roman"/>
          <w:b/>
          <w:bCs/>
          <w:color w:val="000000"/>
          <w:sz w:val="20"/>
          <w:szCs w:val="20"/>
        </w:rPr>
        <w:t>Notes to Consolidated Financial Statements</w:t>
      </w:r>
    </w:p>
    <w:p w:rsidR="00000000" w:rsidRDefault="00DF5BC2">
      <w:pPr>
        <w:divId w:val="1872497517"/>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b/>
          <w:bCs/>
          <w:color w:val="000000"/>
          <w:sz w:val="20"/>
          <w:szCs w:val="20"/>
          <w:u w:val="single"/>
        </w:rPr>
        <w:t xml:space="preserve">Note 22 — Equity Method Investments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 xml:space="preserve">Our equity method investments, which are included within “Other assets” on the Consolidated Balance Sheets, primarily comprises PennEast, </w:t>
      </w:r>
      <w:r>
        <w:rPr>
          <w:rFonts w:eastAsia="Times New Roman"/>
          <w:color w:val="000000"/>
          <w:sz w:val="20"/>
          <w:szCs w:val="20"/>
        </w:rPr>
        <w:t>Pennant and Pine Run.</w:t>
      </w:r>
    </w:p>
    <w:p w:rsidR="00000000" w:rsidRDefault="00DF5BC2">
      <w:pPr>
        <w:jc w:val="both"/>
        <w:rPr>
          <w:rFonts w:eastAsia="Times New Roman"/>
        </w:rPr>
      </w:pPr>
    </w:p>
    <w:p w:rsidR="00000000" w:rsidRDefault="00DF5BC2">
      <w:pPr>
        <w:jc w:val="both"/>
        <w:rPr>
          <w:rFonts w:eastAsia="Times New Roman"/>
        </w:rPr>
      </w:pPr>
      <w:r>
        <w:rPr>
          <w:rFonts w:eastAsia="Times New Roman"/>
          <w:i/>
          <w:iCs/>
          <w:color w:val="000000"/>
          <w:sz w:val="20"/>
          <w:szCs w:val="20"/>
          <w:u w:val="single"/>
          <w:shd w:val="clear" w:color="auto" w:fill="FFFFFF"/>
        </w:rPr>
        <w:t>PennEast</w:t>
      </w:r>
      <w:r>
        <w:rPr>
          <w:rFonts w:eastAsia="Times New Roman"/>
          <w:color w:val="000000"/>
          <w:sz w:val="20"/>
          <w:szCs w:val="20"/>
          <w:u w:val="single"/>
          <w:shd w:val="clear" w:color="auto" w:fill="FFFFFF"/>
        </w:rPr>
        <w:t>.</w:t>
      </w:r>
      <w:r>
        <w:rPr>
          <w:rFonts w:eastAsia="Times New Roman"/>
          <w:color w:val="000000"/>
          <w:sz w:val="20"/>
          <w:szCs w:val="20"/>
          <w:shd w:val="clear" w:color="auto" w:fill="FFFFFF"/>
        </w:rPr>
        <w:t xml:space="preserve"> UGI PennEast, LLC and four other members comprising wholly owned subsidiaries of Southern Company, New Jersey Resources, South Jersey Industries, and Enbridge, Inc., each hold a 20% membership interest in PennEast. PennEas</w:t>
      </w:r>
      <w:r>
        <w:rPr>
          <w:rFonts w:eastAsia="Times New Roman"/>
          <w:color w:val="000000"/>
          <w:sz w:val="20"/>
          <w:szCs w:val="20"/>
          <w:shd w:val="clear" w:color="auto" w:fill="FFFFFF"/>
        </w:rPr>
        <w:t>t was formed to construct an approximate 120-mile natural gas pipeline from Luzerne County, Pennsylvania to the Trenton-Woodbury interconnection in New Jersey. PennEast is accounted for as an equity method investment as we have the ability to exercise sign</w:t>
      </w:r>
      <w:r>
        <w:rPr>
          <w:rFonts w:eastAsia="Times New Roman"/>
          <w:color w:val="000000"/>
          <w:sz w:val="20"/>
          <w:szCs w:val="20"/>
          <w:shd w:val="clear" w:color="auto" w:fill="FFFFFF"/>
        </w:rPr>
        <w:t>ificant influence, but not control, over PennEast. In September 2019, a panel of the U.S. Court of Appeals for the Third Circuit ruled that New Jersey’s Eleventh Amendment immunity barred PennEast from bringing an eminent domain lawsuit in federal court, u</w:t>
      </w:r>
      <w:r>
        <w:rPr>
          <w:rFonts w:eastAsia="Times New Roman"/>
          <w:color w:val="000000"/>
          <w:sz w:val="20"/>
          <w:szCs w:val="20"/>
          <w:shd w:val="clear" w:color="auto" w:fill="FFFFFF"/>
        </w:rPr>
        <w:t>nder the Natural Gas Act, against New Jersey or its agencies. On February 3, 2021, the U.S. Supreme Court issued an order granting PennEast’s petition for a writ of certiorari and the case was argued on April 28, 2021. On June 29, 2021, the U.S. Supreme Co</w:t>
      </w:r>
      <w:r>
        <w:rPr>
          <w:rFonts w:eastAsia="Times New Roman"/>
          <w:color w:val="000000"/>
          <w:sz w:val="20"/>
          <w:szCs w:val="20"/>
          <w:shd w:val="clear" w:color="auto" w:fill="FFFFFF"/>
        </w:rPr>
        <w:t>urt ruled in favor of PennEast, overturning the Third Circuit’s decision that blocked PennEast from exercising federal eminent domain authority over lands in which a state has property rights interests.</w:t>
      </w:r>
    </w:p>
    <w:p w:rsidR="00000000" w:rsidRDefault="00DF5BC2">
      <w:pPr>
        <w:divId w:val="429471252"/>
        <w:rPr>
          <w:rFonts w:eastAsia="Times New Roman"/>
        </w:rPr>
      </w:pPr>
    </w:p>
    <w:p w:rsidR="00000000" w:rsidRDefault="00DF5BC2">
      <w:pPr>
        <w:jc w:val="both"/>
        <w:rPr>
          <w:rFonts w:eastAsia="Times New Roman"/>
        </w:rPr>
      </w:pPr>
      <w:r>
        <w:rPr>
          <w:rFonts w:eastAsia="Times New Roman"/>
          <w:color w:val="000000"/>
          <w:sz w:val="20"/>
          <w:szCs w:val="20"/>
          <w:shd w:val="clear" w:color="auto" w:fill="FFFFFF"/>
        </w:rPr>
        <w:t>Following the favorable Supreme Court decision, the</w:t>
      </w:r>
      <w:r>
        <w:rPr>
          <w:rFonts w:eastAsia="Times New Roman"/>
          <w:color w:val="000000"/>
          <w:sz w:val="20"/>
          <w:szCs w:val="20"/>
          <w:shd w:val="clear" w:color="auto" w:fill="FFFFFF"/>
        </w:rPr>
        <w:t xml:space="preserve"> partners of the PennEast project re-assessed the remaining legal and regulatory contingencies which needed to be resolved before construction could commence. Based on the significant remaining legal challenges and the expected further delays in obtaining </w:t>
      </w:r>
      <w:r>
        <w:rPr>
          <w:rFonts w:eastAsia="Times New Roman"/>
          <w:color w:val="000000"/>
          <w:sz w:val="20"/>
          <w:szCs w:val="20"/>
          <w:shd w:val="clear" w:color="auto" w:fill="FFFFFF"/>
        </w:rPr>
        <w:t>the necessary regulatory approvals, which were preventing the commencement of construction and commercial operation of the project, the Company concluded that its investment in PennEast was impaired at June 30, 2021, and that such impairment was other-than</w:t>
      </w:r>
      <w:r>
        <w:rPr>
          <w:rFonts w:eastAsia="Times New Roman"/>
          <w:color w:val="000000"/>
          <w:sz w:val="20"/>
          <w:szCs w:val="20"/>
          <w:shd w:val="clear" w:color="auto" w:fill="FFFFFF"/>
        </w:rPr>
        <w:t>-temporary. The estimated fair value of the Company’s investment in PennEast was measured using probability-weighted cash flows under an expected present value technique based on management's estimates and assumptions regarding the likelihood of certain ou</w:t>
      </w:r>
      <w:r>
        <w:rPr>
          <w:rFonts w:eastAsia="Times New Roman"/>
          <w:color w:val="000000"/>
          <w:sz w:val="20"/>
          <w:szCs w:val="20"/>
          <w:shd w:val="clear" w:color="auto" w:fill="FFFFFF"/>
        </w:rPr>
        <w:t xml:space="preserve">tcomes (and the related timing) that would be used by market participants at the time. </w:t>
      </w:r>
      <w:r>
        <w:rPr>
          <w:rFonts w:eastAsia="Times New Roman"/>
          <w:color w:val="000000"/>
          <w:sz w:val="20"/>
          <w:szCs w:val="20"/>
        </w:rPr>
        <w:t>Based upon this analysis, the Company recognized an other-than-temporary pre-tax impairment charge of $93 in June 2021, which is recorded in “(Loss) income from equity i</w:t>
      </w:r>
      <w:r>
        <w:rPr>
          <w:rFonts w:eastAsia="Times New Roman"/>
          <w:color w:val="000000"/>
          <w:sz w:val="20"/>
          <w:szCs w:val="20"/>
        </w:rPr>
        <w:t>nvestees” in the Consolidated Statements of Income.</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On September 27, 2021, PennEast ceased further development of the proposed pipeline project. Following this announcement, the estimated fair value was assessed using the liquidation value of equipment h</w:t>
      </w:r>
      <w:r>
        <w:rPr>
          <w:rFonts w:eastAsia="Times New Roman"/>
          <w:color w:val="000000"/>
          <w:sz w:val="20"/>
          <w:szCs w:val="20"/>
        </w:rPr>
        <w:t>eld by PennEast and did not result in a significant change compared to June 30, 2021 and no further impairment loss was recognized.</w:t>
      </w:r>
      <w:r>
        <w:rPr>
          <w:rFonts w:eastAsia="Times New Roman"/>
          <w:color w:val="000000"/>
        </w:rPr>
        <w:t xml:space="preserve"> </w:t>
      </w:r>
      <w:r>
        <w:rPr>
          <w:rFonts w:eastAsia="Times New Roman"/>
          <w:color w:val="000000"/>
          <w:sz w:val="20"/>
          <w:szCs w:val="20"/>
        </w:rPr>
        <w:t xml:space="preserve">The estimated fair value of the Company’s investment in PennEast was determined to be a Level 2 measurement within the fair </w:t>
      </w:r>
      <w:r>
        <w:rPr>
          <w:rFonts w:eastAsia="Times New Roman"/>
          <w:color w:val="000000"/>
          <w:sz w:val="20"/>
          <w:szCs w:val="20"/>
        </w:rPr>
        <w:t>value hierarchy. The carrying value of our investment in PennEast at September 30, 2021 was not material.</w:t>
      </w:r>
    </w:p>
    <w:p w:rsidR="00000000" w:rsidRDefault="00DF5BC2">
      <w:pPr>
        <w:divId w:val="584345388"/>
        <w:rPr>
          <w:rFonts w:eastAsia="Times New Roman"/>
        </w:rPr>
      </w:pPr>
    </w:p>
    <w:p w:rsidR="00000000" w:rsidRDefault="00DF5BC2">
      <w:pPr>
        <w:jc w:val="both"/>
        <w:rPr>
          <w:rFonts w:eastAsia="Times New Roman"/>
        </w:rPr>
      </w:pPr>
      <w:r>
        <w:rPr>
          <w:rFonts w:eastAsia="Times New Roman"/>
          <w:i/>
          <w:iCs/>
          <w:color w:val="000000"/>
          <w:sz w:val="20"/>
          <w:szCs w:val="20"/>
          <w:u w:val="single"/>
          <w:shd w:val="clear" w:color="auto" w:fill="FFFFFF"/>
        </w:rPr>
        <w:t>Pennant</w:t>
      </w:r>
      <w:r>
        <w:rPr>
          <w:rFonts w:eastAsia="Times New Roman"/>
          <w:color w:val="000000"/>
          <w:sz w:val="20"/>
          <w:szCs w:val="20"/>
          <w:u w:val="single"/>
          <w:shd w:val="clear" w:color="auto" w:fill="FFFFFF"/>
        </w:rPr>
        <w:t>.</w:t>
      </w:r>
      <w:r>
        <w:rPr>
          <w:rFonts w:eastAsia="Times New Roman"/>
          <w:color w:val="000000"/>
          <w:sz w:val="20"/>
          <w:szCs w:val="20"/>
          <w:shd w:val="clear" w:color="auto" w:fill="FFFFFF"/>
        </w:rPr>
        <w:t xml:space="preserve"> Energy Services holds a 47% membership interest in Pennant, a natural gas gathering system located in northeast Ohio and western Pennsylvan</w:t>
      </w:r>
      <w:r>
        <w:rPr>
          <w:rFonts w:eastAsia="Times New Roman"/>
          <w:color w:val="000000"/>
          <w:sz w:val="20"/>
          <w:szCs w:val="20"/>
          <w:shd w:val="clear" w:color="auto" w:fill="FFFFFF"/>
        </w:rPr>
        <w:t>ia. Pennant is accounted for as an equity method investment as we have the ability to exercise significant influence, but not control, over Pennant. The carrying value of our investment in Pennant at September 30, 2021 and 2020 was $93 and $94, respectivel</w:t>
      </w:r>
      <w:r>
        <w:rPr>
          <w:rFonts w:eastAsia="Times New Roman"/>
          <w:color w:val="000000"/>
          <w:sz w:val="20"/>
          <w:szCs w:val="20"/>
          <w:shd w:val="clear" w:color="auto" w:fill="FFFFFF"/>
        </w:rPr>
        <w:t>y.</w:t>
      </w:r>
    </w:p>
    <w:p w:rsidR="00000000" w:rsidRDefault="00DF5BC2">
      <w:pPr>
        <w:divId w:val="686519428"/>
        <w:rPr>
          <w:rFonts w:eastAsia="Times New Roman"/>
        </w:rPr>
      </w:pPr>
    </w:p>
    <w:p w:rsidR="00000000" w:rsidRDefault="00DF5BC2">
      <w:pPr>
        <w:jc w:val="both"/>
        <w:rPr>
          <w:rFonts w:eastAsia="Times New Roman"/>
        </w:rPr>
      </w:pPr>
      <w:r>
        <w:rPr>
          <w:rFonts w:eastAsia="Times New Roman"/>
          <w:i/>
          <w:iCs/>
          <w:color w:val="000000"/>
          <w:sz w:val="20"/>
          <w:szCs w:val="20"/>
          <w:u w:val="single"/>
          <w:shd w:val="clear" w:color="auto" w:fill="FFFFFF"/>
        </w:rPr>
        <w:t>Pine Run.</w:t>
      </w:r>
      <w:r>
        <w:rPr>
          <w:rFonts w:eastAsia="Times New Roman"/>
          <w:color w:val="000000"/>
          <w:sz w:val="20"/>
          <w:szCs w:val="20"/>
          <w:shd w:val="clear" w:color="auto" w:fill="FFFFFF"/>
        </w:rPr>
        <w:t xml:space="preserve"> </w:t>
      </w:r>
      <w:r>
        <w:rPr>
          <w:rFonts w:eastAsia="Times New Roman"/>
          <w:color w:val="000000"/>
          <w:sz w:val="20"/>
          <w:szCs w:val="20"/>
        </w:rPr>
        <w:t>In February 2021, Pine Run, a company jointly owned by Stonehenge and UGI Pine Run, LLC, a wholly-owned subsidiary of Energy Services, completed the acquisition of Pine Run Midstream, LLC from an affiliate of PennEnergy and minority partners</w:t>
      </w:r>
      <w:r>
        <w:rPr>
          <w:rFonts w:eastAsia="Times New Roman"/>
          <w:color w:val="000000"/>
          <w:sz w:val="20"/>
          <w:szCs w:val="20"/>
        </w:rPr>
        <w:t xml:space="preserve"> for a preliminary purchase price of $205. Pine Run Midstream, LLC operates 43 miles of dry gas gathering pipeline and compression assets in Butler and Armstrong counties in western Pennsylvania. Pine Run is accounted for as an equity method investment as </w:t>
      </w:r>
      <w:r>
        <w:rPr>
          <w:rFonts w:eastAsia="Times New Roman"/>
          <w:color w:val="000000"/>
          <w:sz w:val="20"/>
          <w:szCs w:val="20"/>
        </w:rPr>
        <w:t xml:space="preserve">we have the ability to exercise significant influence, but not control, over the entity. </w:t>
      </w:r>
      <w:r>
        <w:rPr>
          <w:rFonts w:eastAsia="Times New Roman"/>
          <w:color w:val="000000"/>
          <w:sz w:val="20"/>
          <w:szCs w:val="20"/>
          <w:shd w:val="clear" w:color="auto" w:fill="FFFFFF"/>
        </w:rPr>
        <w:t>The carrying value of our investment in Pine Run at September 30, 2021 was $60.</w:t>
      </w:r>
    </w:p>
    <w:p w:rsidR="00000000" w:rsidRDefault="00DF5BC2">
      <w:pPr>
        <w:divId w:val="481696531"/>
        <w:rPr>
          <w:rFonts w:eastAsia="Times New Roman"/>
        </w:rPr>
      </w:pPr>
    </w:p>
    <w:p w:rsidR="00000000" w:rsidRDefault="00DF5BC2">
      <w:pPr>
        <w:jc w:val="both"/>
        <w:rPr>
          <w:rFonts w:eastAsia="Times New Roman"/>
        </w:rPr>
      </w:pPr>
      <w:r>
        <w:rPr>
          <w:rFonts w:eastAsia="Times New Roman"/>
          <w:b/>
          <w:bCs/>
          <w:color w:val="000000"/>
          <w:sz w:val="20"/>
          <w:szCs w:val="20"/>
          <w:u w:val="single"/>
        </w:rPr>
        <w:t xml:space="preserve">Note 23 — Segment Information </w:t>
      </w:r>
    </w:p>
    <w:p w:rsidR="00000000" w:rsidRDefault="00DF5BC2">
      <w:pPr>
        <w:jc w:val="both"/>
        <w:divId w:val="1207909635"/>
        <w:rPr>
          <w:rFonts w:eastAsia="Times New Roman"/>
        </w:rPr>
      </w:pPr>
      <w:r>
        <w:rPr>
          <w:rFonts w:eastAsia="Times New Roman"/>
          <w:color w:val="000000"/>
          <w:sz w:val="20"/>
          <w:szCs w:val="20"/>
        </w:rPr>
        <w:t>Our operations comprise four reportable segments gener</w:t>
      </w:r>
      <w:r>
        <w:rPr>
          <w:rFonts w:eastAsia="Times New Roman"/>
          <w:color w:val="000000"/>
          <w:sz w:val="20"/>
          <w:szCs w:val="20"/>
        </w:rPr>
        <w:t>ally based upon products or services sold, geographic location and regulatory environment: (1) AmeriGas Propane; (2) UGI International; (3) Midstream &amp; Marketing; and (4) UGI Utilities.</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AmeriGas Propane derives its revenues principally from the sale of propane and related equipment and supplies to retail customers in all 50 states. UGI International derives its revenues principally from the distribution of LPG to retail customers in Franc</w:t>
      </w:r>
      <w:r>
        <w:rPr>
          <w:rFonts w:eastAsia="Times New Roman"/>
          <w:color w:val="000000"/>
          <w:sz w:val="20"/>
          <w:szCs w:val="20"/>
        </w:rPr>
        <w:t>e and in northern, central and eastern European countries.  In addition, UGI International derives revenue from natural gas marketing businesses in France, Belgium and the United Kingdom and a natural gas and electricity marketing business in the Netherlan</w:t>
      </w:r>
      <w:r>
        <w:rPr>
          <w:rFonts w:eastAsia="Times New Roman"/>
          <w:color w:val="000000"/>
          <w:sz w:val="20"/>
          <w:szCs w:val="20"/>
        </w:rPr>
        <w:t xml:space="preserve">ds. Midstream &amp; Marketing derives its revenues principally from the sale of natural gas, liquid fuels and electricity as </w:t>
      </w:r>
    </w:p>
    <w:p w:rsidR="00000000" w:rsidRDefault="00DF5BC2">
      <w:pPr>
        <w:jc w:val="center"/>
        <w:divId w:val="618531254"/>
        <w:rPr>
          <w:rFonts w:eastAsia="Times New Roman"/>
        </w:rPr>
      </w:pPr>
      <w:r>
        <w:rPr>
          <w:rFonts w:eastAsia="Times New Roman"/>
          <w:color w:val="000000"/>
          <w:sz w:val="20"/>
          <w:szCs w:val="20"/>
        </w:rPr>
        <w:t>F-60</w:t>
      </w:r>
    </w:p>
    <w:p w:rsidR="00000000" w:rsidRDefault="00DF5BC2">
      <w:pPr>
        <w:rPr>
          <w:rFonts w:eastAsia="Times New Roman"/>
        </w:rPr>
      </w:pPr>
      <w:r>
        <w:rPr>
          <w:rFonts w:eastAsia="Times New Roman"/>
        </w:rPr>
        <w:pict>
          <v:rect id="_x0000_i1174" style="width:0;height:1.5pt" o:hralign="center" o:hrstd="t" o:hr="t" fillcolor="#a0a0a0" stroked="f"/>
        </w:pict>
      </w:r>
    </w:p>
    <w:p w:rsidR="00000000" w:rsidRDefault="00DF5BC2">
      <w:pPr>
        <w:divId w:val="1272905896"/>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142191359"/>
        <w:rPr>
          <w:rFonts w:eastAsia="Times New Roman"/>
        </w:rPr>
      </w:pPr>
      <w:r>
        <w:rPr>
          <w:rFonts w:eastAsia="Times New Roman"/>
          <w:b/>
          <w:bCs/>
          <w:color w:val="000000"/>
          <w:sz w:val="20"/>
          <w:szCs w:val="20"/>
        </w:rPr>
        <w:t>UGI Corporation and Subsidiaries</w:t>
      </w:r>
    </w:p>
    <w:p w:rsidR="00000000" w:rsidRDefault="00DF5BC2">
      <w:pPr>
        <w:divId w:val="240677867"/>
        <w:rPr>
          <w:rFonts w:eastAsia="Times New Roman"/>
        </w:rPr>
      </w:pPr>
      <w:r>
        <w:rPr>
          <w:rFonts w:eastAsia="Times New Roman"/>
          <w:b/>
          <w:bCs/>
          <w:color w:val="000000"/>
          <w:sz w:val="20"/>
          <w:szCs w:val="20"/>
        </w:rPr>
        <w:t>Notes to Consolidated Financial Statements</w:t>
      </w:r>
    </w:p>
    <w:p w:rsidR="00000000" w:rsidRDefault="00DF5BC2">
      <w:pPr>
        <w:divId w:val="767851716"/>
        <w:rPr>
          <w:rFonts w:eastAsia="Times New Roman"/>
        </w:rPr>
      </w:pPr>
      <w:r>
        <w:rPr>
          <w:rFonts w:eastAsia="Times New Roman"/>
          <w:color w:val="000000"/>
          <w:sz w:val="20"/>
          <w:szCs w:val="20"/>
        </w:rPr>
        <w:t>(Currency in millions, except per share amounts and where indicated otherwise)</w:t>
      </w:r>
    </w:p>
    <w:p w:rsidR="00000000" w:rsidRDefault="00DF5BC2">
      <w:pPr>
        <w:jc w:val="both"/>
        <w:rPr>
          <w:rFonts w:eastAsia="Times New Roman"/>
        </w:rPr>
      </w:pPr>
      <w:r>
        <w:rPr>
          <w:rFonts w:eastAsia="Times New Roman"/>
          <w:color w:val="000000"/>
          <w:sz w:val="20"/>
          <w:szCs w:val="20"/>
        </w:rPr>
        <w:t>well as revenues and fees</w:t>
      </w:r>
      <w:r>
        <w:rPr>
          <w:rFonts w:eastAsia="Times New Roman"/>
          <w:color w:val="000000"/>
          <w:sz w:val="20"/>
          <w:szCs w:val="20"/>
        </w:rPr>
        <w:t xml:space="preserve"> from storage, pipeline transportation, natural gas gathering, natural gas and RNG production activities primarily in the Mid-Atlantic region of the U.S. eastern Ohio and the panhandle of West Virginia. Midstream &amp; Marketing also derives revenues from the </w:t>
      </w:r>
      <w:r>
        <w:rPr>
          <w:rFonts w:eastAsia="Times New Roman"/>
          <w:color w:val="000000"/>
          <w:sz w:val="20"/>
          <w:szCs w:val="20"/>
        </w:rPr>
        <w:t>sale of electricity through PJM, a regional electricity transmission organization in the eastern U.S., and, prior to its sale on September 30, 2020, also from contracting services provided by HVAC to customers in portions of eastern and central Pennsylvani</w:t>
      </w:r>
      <w:r>
        <w:rPr>
          <w:rFonts w:eastAsia="Times New Roman"/>
          <w:color w:val="000000"/>
          <w:sz w:val="20"/>
          <w:szCs w:val="20"/>
        </w:rPr>
        <w:t>a (see Note 5). Our UGI Utilities segment primarily derives its revenues principally from the sale and distribution of natural gas to customers in eastern and central Pennsylvania and, to a lesser extent, from the sale and distribution of electricity in tw</w:t>
      </w:r>
      <w:r>
        <w:rPr>
          <w:rFonts w:eastAsia="Times New Roman"/>
          <w:color w:val="000000"/>
          <w:sz w:val="20"/>
          <w:szCs w:val="20"/>
        </w:rPr>
        <w:t>o northeastern Pennsylvania counties. In September 2021, UGI acquired Mountaineer, the largest natural gas distributor in West Virginia. Mountaineer is now included within our UGI Utilities reportable segment (see Note 5).</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Corporate &amp; Other includes cert</w:t>
      </w:r>
      <w:r>
        <w:rPr>
          <w:rFonts w:eastAsia="Times New Roman"/>
          <w:color w:val="000000"/>
          <w:sz w:val="20"/>
          <w:szCs w:val="20"/>
        </w:rPr>
        <w:t>ain items that are excluded from our CODM’s assessment of segment performance (see below for further details on these items). Corporate &amp; Other also includes the net expenses of UGI’s captive general liability insurance company, UGI’s corporate headquarter</w:t>
      </w:r>
      <w:r>
        <w:rPr>
          <w:rFonts w:eastAsia="Times New Roman"/>
          <w:color w:val="000000"/>
          <w:sz w:val="20"/>
          <w:szCs w:val="20"/>
        </w:rPr>
        <w:t xml:space="preserve">s facility and UGI’s unallocated corporate and general expenses as well as interest expense on debt incurred by UGI Corporation that is not allocated. Corporate &amp; Other assets principally comprise cash and cash equivalents of UGI and its captive insurance </w:t>
      </w:r>
      <w:r>
        <w:rPr>
          <w:rFonts w:eastAsia="Times New Roman"/>
          <w:color w:val="000000"/>
          <w:sz w:val="20"/>
          <w:szCs w:val="20"/>
        </w:rPr>
        <w:t xml:space="preserve">company, and UGI corporate headquarters’ assets. </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The accounting policies of our reportable segments are the same as those described in Note 2. Our CODM evaluates the performance of all of our reportable segments based upon earnings before interest expen</w:t>
      </w:r>
      <w:r>
        <w:rPr>
          <w:rFonts w:eastAsia="Times New Roman"/>
          <w:color w:val="000000"/>
          <w:sz w:val="20"/>
          <w:szCs w:val="20"/>
        </w:rPr>
        <w:t>se and income taxes, excluding the items noted below.</w:t>
      </w:r>
    </w:p>
    <w:p w:rsidR="00000000" w:rsidRDefault="00DF5BC2">
      <w:pPr>
        <w:jc w:val="both"/>
        <w:rPr>
          <w:rFonts w:eastAsia="Times New Roman"/>
        </w:rPr>
      </w:pPr>
    </w:p>
    <w:p w:rsidR="00000000" w:rsidRDefault="00DF5BC2">
      <w:pPr>
        <w:jc w:val="both"/>
        <w:rPr>
          <w:rFonts w:eastAsia="Times New Roman"/>
        </w:rPr>
      </w:pPr>
      <w:r>
        <w:rPr>
          <w:rFonts w:eastAsia="Times New Roman"/>
          <w:color w:val="000000"/>
          <w:sz w:val="20"/>
          <w:szCs w:val="20"/>
        </w:rPr>
        <w:t>No single customer represents more than ten percent of our consolidated revenues. In addition, all of our reportable segments’ revenues, other than those of UGI International, are derived from sources</w:t>
      </w:r>
      <w:r>
        <w:rPr>
          <w:rFonts w:eastAsia="Times New Roman"/>
          <w:color w:val="000000"/>
          <w:sz w:val="20"/>
          <w:szCs w:val="20"/>
        </w:rPr>
        <w:t xml:space="preserve"> within the United States, and all of our reportable segments’ long-lived assets, other than those of UGI International, are located in the United States. The amounts of revenues and long-lived assets associated with our operations in France represent appr</w:t>
      </w:r>
      <w:r>
        <w:rPr>
          <w:rFonts w:eastAsia="Times New Roman"/>
          <w:color w:val="000000"/>
          <w:sz w:val="20"/>
          <w:szCs w:val="20"/>
        </w:rPr>
        <w:t>oximately 20% and 10% of the respective consolidated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2254"/>
        <w:gridCol w:w="37"/>
        <w:gridCol w:w="100"/>
        <w:gridCol w:w="480"/>
        <w:gridCol w:w="36"/>
        <w:gridCol w:w="36"/>
        <w:gridCol w:w="36"/>
        <w:gridCol w:w="36"/>
        <w:gridCol w:w="101"/>
        <w:gridCol w:w="451"/>
        <w:gridCol w:w="36"/>
        <w:gridCol w:w="37"/>
        <w:gridCol w:w="210"/>
        <w:gridCol w:w="36"/>
        <w:gridCol w:w="101"/>
        <w:gridCol w:w="613"/>
        <w:gridCol w:w="36"/>
        <w:gridCol w:w="36"/>
        <w:gridCol w:w="36"/>
        <w:gridCol w:w="36"/>
        <w:gridCol w:w="101"/>
        <w:gridCol w:w="754"/>
        <w:gridCol w:w="36"/>
        <w:gridCol w:w="37"/>
        <w:gridCol w:w="203"/>
        <w:gridCol w:w="36"/>
        <w:gridCol w:w="101"/>
        <w:gridCol w:w="644"/>
        <w:gridCol w:w="36"/>
        <w:gridCol w:w="36"/>
        <w:gridCol w:w="36"/>
        <w:gridCol w:w="36"/>
        <w:gridCol w:w="101"/>
        <w:gridCol w:w="488"/>
        <w:gridCol w:w="36"/>
        <w:gridCol w:w="36"/>
        <w:gridCol w:w="36"/>
        <w:gridCol w:w="36"/>
        <w:gridCol w:w="101"/>
        <w:gridCol w:w="597"/>
        <w:gridCol w:w="36"/>
      </w:tblGrid>
      <w:tr w:rsidR="00000000">
        <w:trPr>
          <w:divId w:val="798380373"/>
        </w:trPr>
        <w:tc>
          <w:tcPr>
            <w:tcW w:w="50" w:type="pct"/>
            <w:vAlign w:val="center"/>
            <w:hideMark/>
          </w:tcPr>
          <w:p w:rsidR="00000000" w:rsidRDefault="00DF5BC2">
            <w:pPr>
              <w:jc w:val="both"/>
              <w:rPr>
                <w:rFonts w:eastAsia="Times New Roman"/>
              </w:rPr>
            </w:pPr>
          </w:p>
        </w:tc>
        <w:tc>
          <w:tcPr>
            <w:tcW w:w="147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5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25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2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2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798380373"/>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Elim-</w:t>
            </w:r>
            <w:r>
              <w:rPr>
                <w:rFonts w:eastAsia="Times New Roman"/>
                <w:color w:val="000000"/>
                <w:sz w:val="16"/>
                <w:szCs w:val="16"/>
              </w:rPr>
              <w:br/>
              <w:t>inations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Midstream</w:t>
            </w:r>
            <w:r>
              <w:rPr>
                <w:rFonts w:eastAsia="Times New Roman"/>
                <w:color w:val="000000"/>
                <w:sz w:val="16"/>
                <w:szCs w:val="16"/>
              </w:rPr>
              <w:br/>
              <w:t>&amp; Marketing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UGI Utilities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Corporate &amp;</w:t>
            </w:r>
            <w:r>
              <w:rPr>
                <w:rFonts w:eastAsia="Times New Roman"/>
                <w:color w:val="000000"/>
                <w:sz w:val="16"/>
                <w:szCs w:val="16"/>
              </w:rPr>
              <w:br/>
            </w:r>
            <w:r>
              <w:rPr>
                <w:rFonts w:eastAsia="Times New Roman"/>
                <w:color w:val="000000"/>
                <w:sz w:val="16"/>
                <w:szCs w:val="16"/>
              </w:rPr>
              <w:t>Other (a)</w:t>
            </w:r>
          </w:p>
        </w:tc>
      </w:tr>
      <w:tr w:rsidR="00000000">
        <w:trPr>
          <w:divId w:val="798380373"/>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2021</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r>
      <w:tr w:rsidR="00DF5BC2">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7,447 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2,651 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1,182 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(291)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(288)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1,217 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1,598 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1,033 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458 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(1,404)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xml:space="preserve">Operating income </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1,250 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(Loss) income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 non-operating income, net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Earnings before interest expense and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(522)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DF5BC2">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Net income attributable to UGI</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502 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173 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Total assets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16,723 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(241)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4,485 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4,421 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3,010 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4,859 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Short-term borrowings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367 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170 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197 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Capital expenditures (including the effects of accruals)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674 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394 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Investments in equity investees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174 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98380373"/>
          <w:trHeight w:val="240"/>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798380373"/>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2020</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r>
      <w:tr w:rsidR="00DF5BC2">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6,559 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2,381 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2,127 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1,065 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983 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182 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3,149 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960 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1,191 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892 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448 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Operating income (loss)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982 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373 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241 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Income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 non-operating (expense) income, net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Earnings (loss) before interest expense and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(322)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798380373"/>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center"/>
        <w:divId w:val="1144472516"/>
        <w:rPr>
          <w:rFonts w:eastAsia="Times New Roman"/>
        </w:rPr>
      </w:pPr>
      <w:r>
        <w:rPr>
          <w:rFonts w:eastAsia="Times New Roman"/>
          <w:color w:val="000000"/>
          <w:sz w:val="20"/>
          <w:szCs w:val="20"/>
        </w:rPr>
        <w:t>F-61</w:t>
      </w:r>
    </w:p>
    <w:p w:rsidR="00000000" w:rsidRDefault="00DF5BC2">
      <w:pPr>
        <w:rPr>
          <w:rFonts w:eastAsia="Times New Roman"/>
        </w:rPr>
      </w:pPr>
      <w:r>
        <w:rPr>
          <w:rFonts w:eastAsia="Times New Roman"/>
        </w:rPr>
        <w:pict>
          <v:rect id="_x0000_i1175" style="width:0;height:1.5pt" o:hralign="center" o:hrstd="t" o:hr="t" fillcolor="#a0a0a0" stroked="f"/>
        </w:pict>
      </w:r>
    </w:p>
    <w:p w:rsidR="00000000" w:rsidRDefault="00DF5BC2">
      <w:pPr>
        <w:divId w:val="1304844997"/>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798837078"/>
        <w:rPr>
          <w:rFonts w:eastAsia="Times New Roman"/>
        </w:rPr>
      </w:pPr>
      <w:r>
        <w:rPr>
          <w:rFonts w:eastAsia="Times New Roman"/>
          <w:b/>
          <w:bCs/>
          <w:color w:val="000000"/>
          <w:sz w:val="20"/>
          <w:szCs w:val="20"/>
        </w:rPr>
        <w:t>UGI Corporation and Subsidiaries</w:t>
      </w:r>
    </w:p>
    <w:p w:rsidR="00000000" w:rsidRDefault="00DF5BC2">
      <w:pPr>
        <w:divId w:val="1240867079"/>
        <w:rPr>
          <w:rFonts w:eastAsia="Times New Roman"/>
        </w:rPr>
      </w:pPr>
      <w:r>
        <w:rPr>
          <w:rFonts w:eastAsia="Times New Roman"/>
          <w:b/>
          <w:bCs/>
          <w:color w:val="000000"/>
          <w:sz w:val="20"/>
          <w:szCs w:val="20"/>
        </w:rPr>
        <w:t>Notes to Co</w:t>
      </w:r>
      <w:r>
        <w:rPr>
          <w:rFonts w:eastAsia="Times New Roman"/>
          <w:b/>
          <w:bCs/>
          <w:color w:val="000000"/>
          <w:sz w:val="20"/>
          <w:szCs w:val="20"/>
        </w:rPr>
        <w:t>nsolidated Financial Statements</w:t>
      </w:r>
    </w:p>
    <w:p w:rsidR="00000000" w:rsidRDefault="00DF5BC2">
      <w:pPr>
        <w:divId w:val="485241985"/>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43"/>
        <w:gridCol w:w="2349"/>
        <w:gridCol w:w="36"/>
        <w:gridCol w:w="100"/>
        <w:gridCol w:w="514"/>
        <w:gridCol w:w="36"/>
        <w:gridCol w:w="36"/>
        <w:gridCol w:w="36"/>
        <w:gridCol w:w="36"/>
        <w:gridCol w:w="101"/>
        <w:gridCol w:w="451"/>
        <w:gridCol w:w="36"/>
        <w:gridCol w:w="37"/>
        <w:gridCol w:w="210"/>
        <w:gridCol w:w="36"/>
        <w:gridCol w:w="101"/>
        <w:gridCol w:w="613"/>
        <w:gridCol w:w="36"/>
        <w:gridCol w:w="36"/>
        <w:gridCol w:w="36"/>
        <w:gridCol w:w="36"/>
        <w:gridCol w:w="101"/>
        <w:gridCol w:w="754"/>
        <w:gridCol w:w="36"/>
        <w:gridCol w:w="36"/>
        <w:gridCol w:w="36"/>
        <w:gridCol w:w="36"/>
        <w:gridCol w:w="101"/>
        <w:gridCol w:w="644"/>
        <w:gridCol w:w="36"/>
        <w:gridCol w:w="36"/>
        <w:gridCol w:w="36"/>
        <w:gridCol w:w="36"/>
        <w:gridCol w:w="101"/>
        <w:gridCol w:w="524"/>
        <w:gridCol w:w="36"/>
        <w:gridCol w:w="36"/>
        <w:gridCol w:w="36"/>
        <w:gridCol w:w="36"/>
        <w:gridCol w:w="101"/>
        <w:gridCol w:w="597"/>
        <w:gridCol w:w="36"/>
      </w:tblGrid>
      <w:tr w:rsidR="00000000">
        <w:trPr>
          <w:divId w:val="1339307405"/>
        </w:trPr>
        <w:tc>
          <w:tcPr>
            <w:tcW w:w="50" w:type="pct"/>
            <w:vAlign w:val="center"/>
            <w:hideMark/>
          </w:tcPr>
          <w:p w:rsidR="00000000" w:rsidRDefault="00DF5BC2">
            <w:pPr>
              <w:rPr>
                <w:rFonts w:eastAsia="Times New Roman"/>
              </w:rPr>
            </w:pPr>
          </w:p>
        </w:tc>
        <w:tc>
          <w:tcPr>
            <w:tcW w:w="147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5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25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2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2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19"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4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398"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1339307405"/>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Elim-</w:t>
            </w:r>
            <w:r>
              <w:rPr>
                <w:rFonts w:eastAsia="Times New Roman"/>
                <w:color w:val="000000"/>
                <w:sz w:val="16"/>
                <w:szCs w:val="16"/>
              </w:rPr>
              <w:br/>
              <w:t>inations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Midstream</w:t>
            </w:r>
            <w:r>
              <w:rPr>
                <w:rFonts w:eastAsia="Times New Roman"/>
                <w:color w:val="000000"/>
                <w:sz w:val="16"/>
                <w:szCs w:val="16"/>
              </w:rPr>
              <w:br/>
              <w:t xml:space="preserve">&amp; </w:t>
            </w:r>
            <w:r>
              <w:rPr>
                <w:rFonts w:eastAsia="Times New Roman"/>
                <w:color w:val="000000"/>
                <w:sz w:val="16"/>
                <w:szCs w:val="16"/>
              </w:rPr>
              <w:t>Marketing</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UGI Utilities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6"/>
                <w:szCs w:val="16"/>
              </w:rPr>
              <w:t>Corporate &amp;</w:t>
            </w:r>
            <w:r>
              <w:rPr>
                <w:rFonts w:eastAsia="Times New Roman"/>
                <w:color w:val="000000"/>
                <w:sz w:val="16"/>
                <w:szCs w:val="16"/>
              </w:rPr>
              <w:br/>
              <w:t>Other (a)</w:t>
            </w:r>
          </w:p>
        </w:tc>
      </w:tr>
      <w:tr w:rsidR="00DF5BC2">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Net income (loss) attributable to UGI</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484 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178 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Total assets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13,985 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(282)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4,327 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2,775 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3,809 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Short-term borrowings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347 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186 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Capital expenditures (including the effects of accruals)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665 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89 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348 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Investments in equity investees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200 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39307405"/>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1339307405"/>
          <w:trHeight w:val="240"/>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1339307405"/>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2019</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r>
      <w:tr w:rsidR="00DF5BC2">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7,320 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2,682 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2,372 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1,281 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981 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(306)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4,323 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(301)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1,191 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1,416 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1,241 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481 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295 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Operating income (loss)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617 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404 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(345)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Income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Loss on extinguishments of debt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Other non-operating income (expense), net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Earnings (loss) before interest expense and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(258)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jc w:val="right"/>
              <w:rPr>
                <w:rFonts w:eastAsia="Times New Roman"/>
              </w:rPr>
            </w:pPr>
            <w:r>
              <w:rPr>
                <w:rFonts w:eastAsia="Times New Roman"/>
                <w:color w:val="000000"/>
                <w:sz w:val="16"/>
                <w:szCs w:val="16"/>
              </w:rPr>
              <w:t>67</w:t>
            </w:r>
          </w:p>
        </w:tc>
      </w:tr>
      <w:tr w:rsidR="00000000">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Noncontrolling interests’ net (income) loss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Net income (loss) attributable to UGI</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448 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179 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51 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Total assets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13,347 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(353)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4,095 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2,975 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2,745 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3,560 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325 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Short-term borrowings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796 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328 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211 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91 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166 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Capital expenditures (including the effects of accruals)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707 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106 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355 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DF5BC2">
        <w:trPr>
          <w:divId w:val="1339307405"/>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16"/>
                <w:szCs w:val="16"/>
              </w:rPr>
              <w:t>Investments in equity investees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178 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1339307405"/>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jc w:val="center"/>
        <w:divId w:val="96796859"/>
        <w:rPr>
          <w:rFonts w:eastAsia="Times New Roman"/>
        </w:rPr>
      </w:pPr>
      <w:r>
        <w:rPr>
          <w:rFonts w:eastAsia="Times New Roman"/>
          <w:color w:val="000000"/>
          <w:sz w:val="20"/>
          <w:szCs w:val="20"/>
        </w:rPr>
        <w:t>F-62</w:t>
      </w:r>
    </w:p>
    <w:p w:rsidR="00000000" w:rsidRDefault="00DF5BC2">
      <w:pPr>
        <w:rPr>
          <w:rFonts w:eastAsia="Times New Roman"/>
        </w:rPr>
      </w:pPr>
      <w:r>
        <w:rPr>
          <w:rFonts w:eastAsia="Times New Roman"/>
        </w:rPr>
        <w:pict>
          <v:rect id="_x0000_i1176" style="width:0;height:1.5pt" o:hralign="center" o:hrstd="t" o:hr="t" fillcolor="#a0a0a0" stroked="f"/>
        </w:pict>
      </w:r>
    </w:p>
    <w:p w:rsidR="00000000" w:rsidRDefault="00DF5BC2">
      <w:pPr>
        <w:divId w:val="548952742"/>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097218345"/>
        <w:rPr>
          <w:rFonts w:eastAsia="Times New Roman"/>
        </w:rPr>
      </w:pPr>
      <w:r>
        <w:rPr>
          <w:rFonts w:eastAsia="Times New Roman"/>
          <w:b/>
          <w:bCs/>
          <w:color w:val="000000"/>
          <w:sz w:val="20"/>
          <w:szCs w:val="20"/>
        </w:rPr>
        <w:t>UGI Corporation and Subsidiaries</w:t>
      </w:r>
    </w:p>
    <w:p w:rsidR="00000000" w:rsidRDefault="00DF5BC2">
      <w:pPr>
        <w:divId w:val="2128615707"/>
        <w:rPr>
          <w:rFonts w:eastAsia="Times New Roman"/>
        </w:rPr>
      </w:pPr>
      <w:r>
        <w:rPr>
          <w:rFonts w:eastAsia="Times New Roman"/>
          <w:b/>
          <w:bCs/>
          <w:color w:val="000000"/>
          <w:sz w:val="20"/>
          <w:szCs w:val="20"/>
        </w:rPr>
        <w:t>Notes to Consolidated Financial Statements</w:t>
      </w:r>
    </w:p>
    <w:p w:rsidR="00000000" w:rsidRDefault="00DF5BC2">
      <w:pPr>
        <w:divId w:val="613363573"/>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(a)Corporate &amp; Other includes specific items attributable to our reportable segments that are not included in the segment profit measures used by our CODM in assessing our reportable segments’ performance or allocating resources. The following</w:t>
      </w:r>
      <w:r>
        <w:rPr>
          <w:rFonts w:eastAsia="Times New Roman"/>
          <w:color w:val="000000"/>
          <w:sz w:val="20"/>
          <w:szCs w:val="20"/>
        </w:rPr>
        <w:t xml:space="preserve"> table presents such pre-tax gains (losses) which have been included in Corporate &amp; Other, and the reportable segments to which they relate, for Fiscal 2021, Fiscal 2020 and Fiscal 2019:</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142"/>
        <w:gridCol w:w="38"/>
        <w:gridCol w:w="36"/>
        <w:gridCol w:w="36"/>
        <w:gridCol w:w="36"/>
        <w:gridCol w:w="46"/>
        <w:gridCol w:w="1827"/>
        <w:gridCol w:w="38"/>
        <w:gridCol w:w="36"/>
        <w:gridCol w:w="36"/>
        <w:gridCol w:w="36"/>
        <w:gridCol w:w="111"/>
        <w:gridCol w:w="697"/>
        <w:gridCol w:w="36"/>
        <w:gridCol w:w="36"/>
        <w:gridCol w:w="36"/>
        <w:gridCol w:w="36"/>
        <w:gridCol w:w="111"/>
        <w:gridCol w:w="858"/>
        <w:gridCol w:w="36"/>
        <w:gridCol w:w="36"/>
        <w:gridCol w:w="36"/>
        <w:gridCol w:w="36"/>
        <w:gridCol w:w="111"/>
        <w:gridCol w:w="734"/>
        <w:gridCol w:w="36"/>
      </w:tblGrid>
      <w:tr w:rsidR="00000000">
        <w:trPr>
          <w:divId w:val="297147907"/>
          <w:jc w:val="center"/>
        </w:trPr>
        <w:tc>
          <w:tcPr>
            <w:tcW w:w="50" w:type="pct"/>
            <w:vAlign w:val="center"/>
            <w:hideMark/>
          </w:tcPr>
          <w:p w:rsidR="00000000" w:rsidRDefault="00DF5BC2">
            <w:pPr>
              <w:ind w:hanging="360"/>
              <w:jc w:val="both"/>
              <w:rPr>
                <w:rFonts w:eastAsia="Times New Roman"/>
              </w:rPr>
            </w:pPr>
          </w:p>
        </w:tc>
        <w:tc>
          <w:tcPr>
            <w:tcW w:w="197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21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6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6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46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297147907"/>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18"/>
                <w:szCs w:val="18"/>
              </w:rPr>
              <w:t>Midstream &amp; Marketing</w:t>
            </w: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8"/>
                <w:szCs w:val="18"/>
              </w:rPr>
              <w:t>2021</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Revenues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Cost of Sales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1,065 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173 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Other non-operating (expense) income, net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Impairment of customer relationship intangible</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Impairment of investment in PennEast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(Loss) income from equity method investees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(93)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297147907"/>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8"/>
                <w:szCs w:val="18"/>
              </w:rPr>
              <w:t>2020</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Revenues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Cost of sales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72 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Other non-operating (expense) income, net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Acquisition and integration expenses associated with the CMG Acquisition</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Loss on disposals of Conemaugh and HVAC</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Loss on disposals of Conemaugh and HVAC</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18"/>
                <w:szCs w:val="18"/>
              </w:rPr>
              <w:t>2019</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Revenues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Cost of Sales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(143)</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Other non-operating (expense) income, net</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Loss on extinguishments of debt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AmeriGas Merger expenses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Acquisition and integration expenses associated with the CMG Acquisition</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297147907"/>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jc w:val="both"/>
        <w:rPr>
          <w:rFonts w:eastAsia="Times New Roman"/>
        </w:rPr>
      </w:pPr>
    </w:p>
    <w:p w:rsidR="00000000" w:rsidRDefault="00DF5BC2">
      <w:pPr>
        <w:ind w:hanging="360"/>
        <w:jc w:val="both"/>
        <w:rPr>
          <w:rFonts w:eastAsia="Times New Roman"/>
        </w:rPr>
      </w:pPr>
      <w:r>
        <w:rPr>
          <w:rFonts w:eastAsia="Times New Roman"/>
          <w:color w:val="000000"/>
          <w:sz w:val="20"/>
          <w:szCs w:val="20"/>
        </w:rPr>
        <w:t>(b)</w:t>
      </w:r>
      <w:r>
        <w:rPr>
          <w:rFonts w:eastAsia="Times New Roman"/>
          <w:color w:val="000000"/>
          <w:sz w:val="20"/>
          <w:szCs w:val="20"/>
        </w:rPr>
        <w:t>Represents the elimination of intersegment transactions principally among Midstream &amp; Marketing, UGI Utilities and AmeriGas Propane.</w:t>
      </w:r>
    </w:p>
    <w:p w:rsidR="00000000" w:rsidRDefault="00DF5BC2">
      <w:pPr>
        <w:ind w:hanging="360"/>
        <w:jc w:val="both"/>
        <w:rPr>
          <w:rFonts w:eastAsia="Times New Roman"/>
        </w:rPr>
      </w:pPr>
      <w:r>
        <w:rPr>
          <w:rFonts w:eastAsia="Times New Roman"/>
          <w:color w:val="000000"/>
          <w:sz w:val="20"/>
          <w:szCs w:val="20"/>
        </w:rPr>
        <w:t xml:space="preserve">(c)Beginning October 1, 2019, UGI International is allocated a portion of indirect corporate expenses. Prior to October 1, </w:t>
      </w:r>
      <w:r>
        <w:rPr>
          <w:rFonts w:eastAsia="Times New Roman"/>
          <w:color w:val="000000"/>
          <w:sz w:val="20"/>
          <w:szCs w:val="20"/>
        </w:rPr>
        <w:t>2019, these expenses were billed to its parent company, which is included in Corporate &amp; Other.</w:t>
      </w:r>
    </w:p>
    <w:p w:rsidR="00000000" w:rsidRDefault="00DF5BC2">
      <w:pPr>
        <w:jc w:val="both"/>
        <w:rPr>
          <w:rFonts w:eastAsia="Times New Roman"/>
        </w:rPr>
      </w:pPr>
    </w:p>
    <w:p w:rsidR="00000000" w:rsidRDefault="00DF5BC2">
      <w:pPr>
        <w:jc w:val="center"/>
        <w:divId w:val="1798253473"/>
        <w:rPr>
          <w:rFonts w:eastAsia="Times New Roman"/>
        </w:rPr>
      </w:pPr>
      <w:r>
        <w:rPr>
          <w:rFonts w:eastAsia="Times New Roman"/>
          <w:color w:val="000000"/>
          <w:sz w:val="20"/>
          <w:szCs w:val="20"/>
        </w:rPr>
        <w:t>F-63</w:t>
      </w:r>
    </w:p>
    <w:p w:rsidR="00000000" w:rsidRDefault="00DF5BC2">
      <w:pPr>
        <w:rPr>
          <w:rFonts w:eastAsia="Times New Roman"/>
        </w:rPr>
      </w:pPr>
      <w:r>
        <w:rPr>
          <w:rFonts w:eastAsia="Times New Roman"/>
        </w:rPr>
        <w:pict>
          <v:rect id="_x0000_i1177" style="width:0;height:1.5pt" o:hralign="center" o:hrstd="t" o:hr="t" fillcolor="#a0a0a0" stroked="f"/>
        </w:pict>
      </w:r>
    </w:p>
    <w:p w:rsidR="00000000" w:rsidRDefault="00DF5BC2">
      <w:pPr>
        <w:divId w:val="1649171475"/>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1676610653"/>
        <w:rPr>
          <w:rFonts w:eastAsia="Times New Roman"/>
        </w:rPr>
      </w:pPr>
      <w:r>
        <w:rPr>
          <w:rFonts w:eastAsia="Times New Roman"/>
          <w:b/>
          <w:bCs/>
          <w:color w:val="000000"/>
          <w:sz w:val="20"/>
          <w:szCs w:val="20"/>
        </w:rPr>
        <w:t>UGI Corporation and Subsidiaries</w:t>
      </w:r>
    </w:p>
    <w:p w:rsidR="00000000" w:rsidRDefault="00DF5BC2">
      <w:pPr>
        <w:divId w:val="1697583430"/>
        <w:rPr>
          <w:rFonts w:eastAsia="Times New Roman"/>
        </w:rPr>
      </w:pPr>
      <w:r>
        <w:rPr>
          <w:rFonts w:eastAsia="Times New Roman"/>
          <w:b/>
          <w:bCs/>
          <w:color w:val="000000"/>
          <w:sz w:val="20"/>
          <w:szCs w:val="20"/>
        </w:rPr>
        <w:t>Notes t</w:t>
      </w:r>
      <w:r>
        <w:rPr>
          <w:rFonts w:eastAsia="Times New Roman"/>
          <w:b/>
          <w:bCs/>
          <w:color w:val="000000"/>
          <w:sz w:val="20"/>
          <w:szCs w:val="20"/>
        </w:rPr>
        <w:t>o Consolidated Financial Statements</w:t>
      </w:r>
    </w:p>
    <w:p w:rsidR="00000000" w:rsidRDefault="00DF5BC2">
      <w:pPr>
        <w:divId w:val="1064451429"/>
        <w:rPr>
          <w:rFonts w:eastAsia="Times New Roman"/>
        </w:rPr>
      </w:pPr>
      <w:r>
        <w:rPr>
          <w:rFonts w:eastAsia="Times New Roman"/>
          <w:color w:val="000000"/>
          <w:sz w:val="20"/>
          <w:szCs w:val="20"/>
        </w:rPr>
        <w:t>(Currency in millions, except per share amounts and where indicated otherwise)</w:t>
      </w:r>
    </w:p>
    <w:p w:rsidR="00000000" w:rsidRDefault="00DF5BC2">
      <w:pPr>
        <w:divId w:val="302470697"/>
        <w:rPr>
          <w:rFonts w:eastAsia="Times New Roman"/>
        </w:rPr>
      </w:pPr>
      <w:r>
        <w:rPr>
          <w:rFonts w:eastAsia="Times New Roman"/>
          <w:b/>
          <w:bCs/>
          <w:color w:val="000000"/>
          <w:sz w:val="20"/>
          <w:szCs w:val="20"/>
          <w:u w:val="single"/>
        </w:rPr>
        <w:t>Note 24 — Business Transformation Initiatives</w:t>
      </w:r>
      <w:r>
        <w:rPr>
          <w:rFonts w:eastAsia="Times New Roman"/>
          <w:b/>
          <w:bCs/>
          <w:color w:val="000000"/>
          <w:sz w:val="20"/>
          <w:szCs w:val="20"/>
        </w:rPr>
        <w:t xml:space="preserve"> </w:t>
      </w:r>
    </w:p>
    <w:p w:rsidR="00000000" w:rsidRDefault="00DF5BC2">
      <w:pPr>
        <w:jc w:val="both"/>
        <w:divId w:val="1927884954"/>
        <w:rPr>
          <w:rFonts w:eastAsia="Times New Roman"/>
        </w:rPr>
      </w:pPr>
      <w:r>
        <w:rPr>
          <w:rFonts w:eastAsia="Times New Roman"/>
          <w:b/>
          <w:bCs/>
          <w:i/>
          <w:iCs/>
          <w:color w:val="000000"/>
          <w:sz w:val="20"/>
          <w:szCs w:val="20"/>
        </w:rPr>
        <w:t>AmeriGas and UGI International.</w:t>
      </w:r>
      <w:r>
        <w:rPr>
          <w:rFonts w:eastAsia="Times New Roman"/>
          <w:color w:val="000000"/>
          <w:sz w:val="20"/>
          <w:szCs w:val="20"/>
        </w:rPr>
        <w:t xml:space="preserve"> </w:t>
      </w:r>
      <w:r>
        <w:rPr>
          <w:rFonts w:eastAsia="Times New Roman"/>
          <w:color w:val="000000"/>
          <w:sz w:val="20"/>
          <w:szCs w:val="20"/>
        </w:rPr>
        <w:t xml:space="preserve">During the fourth quarter of Fiscal 2019, we began executing on multi-year business transformation initiatives at our AmeriGas Propane and UGI International business segments. These initiatives are designed to improve long-term operational performance by, </w:t>
      </w:r>
      <w:r>
        <w:rPr>
          <w:rFonts w:eastAsia="Times New Roman"/>
          <w:color w:val="000000"/>
          <w:sz w:val="20"/>
          <w:szCs w:val="20"/>
        </w:rPr>
        <w:t>among other things, reducing costs and improving efficiency in the areas of sales and marketing, supply and logistics, operations, purchasing, and administration. In addition, these business transformation initiatives focus on enhancing the customer experi</w:t>
      </w:r>
      <w:r>
        <w:rPr>
          <w:rFonts w:eastAsia="Times New Roman"/>
          <w:color w:val="000000"/>
          <w:sz w:val="20"/>
          <w:szCs w:val="20"/>
        </w:rPr>
        <w:t>ence through, among other things, enhanced customer relationship management and an improved digital customer experience. These business transformation initiatives are substantially complete, and during Fiscal 2021, Fiscal 2020 and Fiscal 2019 we incurred $</w:t>
      </w:r>
      <w:r>
        <w:rPr>
          <w:rFonts w:eastAsia="Times New Roman"/>
          <w:color w:val="000000"/>
          <w:sz w:val="20"/>
          <w:szCs w:val="20"/>
        </w:rPr>
        <w:t>87, $62 and $24 respectively, of costs principally comprising consulting, advisory, marketing and employee-related costs. These costs are primarily reflected in “Operating and administrative expenses” on the Consolidated Statements of Income.</w:t>
      </w:r>
    </w:p>
    <w:p w:rsidR="00000000" w:rsidRDefault="00DF5BC2">
      <w:pPr>
        <w:divId w:val="764157120"/>
        <w:rPr>
          <w:rFonts w:eastAsia="Times New Roman"/>
        </w:rPr>
      </w:pPr>
    </w:p>
    <w:p w:rsidR="00000000" w:rsidRDefault="00DF5BC2">
      <w:pPr>
        <w:jc w:val="both"/>
        <w:rPr>
          <w:rFonts w:eastAsia="Times New Roman"/>
        </w:rPr>
      </w:pPr>
      <w:r>
        <w:rPr>
          <w:rFonts w:eastAsia="Times New Roman"/>
          <w:b/>
          <w:bCs/>
          <w:i/>
          <w:iCs/>
          <w:color w:val="000000"/>
          <w:sz w:val="20"/>
          <w:szCs w:val="20"/>
        </w:rPr>
        <w:t>Corporate S</w:t>
      </w:r>
      <w:r>
        <w:rPr>
          <w:rFonts w:eastAsia="Times New Roman"/>
          <w:b/>
          <w:bCs/>
          <w:i/>
          <w:iCs/>
          <w:color w:val="000000"/>
          <w:sz w:val="20"/>
          <w:szCs w:val="20"/>
        </w:rPr>
        <w:t xml:space="preserve">ervices. </w:t>
      </w:r>
      <w:r>
        <w:rPr>
          <w:rFonts w:eastAsia="Times New Roman"/>
          <w:color w:val="000000"/>
          <w:sz w:val="20"/>
          <w:szCs w:val="20"/>
        </w:rPr>
        <w:t>Beginning in Fiscal 2020, we initiated a transformation project focused on our support functions including: finance, procurement, human resources, and information technology. This initiative will standardize processes and activities across our glo</w:t>
      </w:r>
      <w:r>
        <w:rPr>
          <w:rFonts w:eastAsia="Times New Roman"/>
          <w:color w:val="000000"/>
          <w:sz w:val="20"/>
          <w:szCs w:val="20"/>
        </w:rPr>
        <w:t>bal platform, while leveraging the use of best practices and efficiencies between our businesses. In connection with this initiative, during Fiscal 2021, we incurred $14 of costs in “Operating and administrative expenses” on the Consolidated Statement of I</w:t>
      </w:r>
      <w:r>
        <w:rPr>
          <w:rFonts w:eastAsia="Times New Roman"/>
          <w:color w:val="000000"/>
          <w:sz w:val="20"/>
          <w:szCs w:val="20"/>
        </w:rPr>
        <w:t>ncome.</w:t>
      </w:r>
    </w:p>
    <w:p w:rsidR="00000000" w:rsidRDefault="00DF5BC2">
      <w:pPr>
        <w:jc w:val="both"/>
        <w:rPr>
          <w:rFonts w:eastAsia="Times New Roman"/>
        </w:rPr>
      </w:pPr>
    </w:p>
    <w:p w:rsidR="00000000" w:rsidRDefault="00DF5BC2">
      <w:pPr>
        <w:divId w:val="33238764"/>
        <w:rPr>
          <w:rFonts w:eastAsia="Times New Roman"/>
        </w:rPr>
      </w:pPr>
      <w:r>
        <w:rPr>
          <w:rFonts w:eastAsia="Times New Roman"/>
          <w:b/>
          <w:bCs/>
          <w:color w:val="000000"/>
          <w:sz w:val="20"/>
          <w:szCs w:val="20"/>
          <w:u w:val="single"/>
        </w:rPr>
        <w:t>Note 25 — Impact of Global Pandemic</w:t>
      </w:r>
    </w:p>
    <w:p w:rsidR="00000000" w:rsidRDefault="00DF5BC2">
      <w:pPr>
        <w:divId w:val="600992360"/>
        <w:rPr>
          <w:rFonts w:eastAsia="Times New Roman"/>
        </w:rPr>
      </w:pPr>
    </w:p>
    <w:p w:rsidR="00000000" w:rsidRDefault="00DF5BC2">
      <w:pPr>
        <w:jc w:val="both"/>
        <w:rPr>
          <w:rFonts w:eastAsia="Times New Roman"/>
        </w:rPr>
      </w:pPr>
      <w:r>
        <w:rPr>
          <w:rFonts w:eastAsia="Times New Roman"/>
          <w:color w:val="000000"/>
          <w:sz w:val="20"/>
          <w:szCs w:val="20"/>
        </w:rPr>
        <w:t>In March 2020, the WHO declared a global pandemic attributable to the outbreak and continued spread of COVID-19 that has had a significant impact throughout the global economy. In connection with the mitigatio</w:t>
      </w:r>
      <w:r>
        <w:rPr>
          <w:rFonts w:eastAsia="Times New Roman"/>
          <w:color w:val="000000"/>
          <w:sz w:val="20"/>
          <w:szCs w:val="20"/>
        </w:rPr>
        <w:t xml:space="preserve">n and containment procedures recommended by the WHO, the CDC, and as imposed by federal, state, and local governmental authorities, including shelter-in-place orders, quarantines and similar restrictions, the Company implemented a variety of procedures to </w:t>
      </w:r>
      <w:r>
        <w:rPr>
          <w:rFonts w:eastAsia="Times New Roman"/>
          <w:color w:val="000000"/>
          <w:sz w:val="20"/>
          <w:szCs w:val="20"/>
        </w:rPr>
        <w:t>protect our employees, third-party business partners, and customers worldwide. The Company continues to provide essential products and services to its global customers in a safe and reliable manner, and will continue to do so in compliance with mandated re</w:t>
      </w:r>
      <w:r>
        <w:rPr>
          <w:rFonts w:eastAsia="Times New Roman"/>
          <w:color w:val="000000"/>
          <w:sz w:val="20"/>
          <w:szCs w:val="20"/>
        </w:rPr>
        <w:t>strictions presented by each of the markets it serves. The Company continues to evaluate and react to the potential effects of a prolonged disruption and the continued impact on its results of operations. These items may include, but are not limited to: th</w:t>
      </w:r>
      <w:r>
        <w:rPr>
          <w:rFonts w:eastAsia="Times New Roman"/>
          <w:color w:val="000000"/>
          <w:sz w:val="20"/>
          <w:szCs w:val="20"/>
        </w:rPr>
        <w:t>e financial condition of its customers; decreased availability and demand for its products and services; realization of accounts receivable; impairment considerations related to certain current assets, long-lived assets and goodwill; delays related to curr</w:t>
      </w:r>
      <w:r>
        <w:rPr>
          <w:rFonts w:eastAsia="Times New Roman"/>
          <w:color w:val="000000"/>
          <w:sz w:val="20"/>
          <w:szCs w:val="20"/>
        </w:rPr>
        <w:t>ent and future projects; and the effects of government stimulus efforts including tax legislation in response to COVID-19. While its operations and financial performance continue to be impacted by COVID-19, the Company cannot predict the duration or magnit</w:t>
      </w:r>
      <w:r>
        <w:rPr>
          <w:rFonts w:eastAsia="Times New Roman"/>
          <w:color w:val="000000"/>
          <w:sz w:val="20"/>
          <w:szCs w:val="20"/>
        </w:rPr>
        <w:t>ude of the pandemic and the total effects on its business, financial position, results of operations, liquidity or cash flows at this time.</w:t>
      </w:r>
    </w:p>
    <w:p w:rsidR="00000000" w:rsidRDefault="00DF5BC2">
      <w:pPr>
        <w:jc w:val="center"/>
        <w:divId w:val="935749178"/>
        <w:rPr>
          <w:rFonts w:eastAsia="Times New Roman"/>
        </w:rPr>
      </w:pPr>
      <w:r>
        <w:rPr>
          <w:rFonts w:eastAsia="Times New Roman"/>
          <w:color w:val="000000"/>
          <w:sz w:val="20"/>
          <w:szCs w:val="20"/>
        </w:rPr>
        <w:t>F-64</w:t>
      </w:r>
    </w:p>
    <w:p w:rsidR="00000000" w:rsidRDefault="00DF5BC2">
      <w:pPr>
        <w:rPr>
          <w:rFonts w:eastAsia="Times New Roman"/>
        </w:rPr>
      </w:pPr>
      <w:r>
        <w:rPr>
          <w:rFonts w:eastAsia="Times New Roman"/>
        </w:rPr>
        <w:pict>
          <v:rect id="_x0000_i1178" style="width:0;height:1.5pt" o:hralign="center" o:hrstd="t" o:hr="t" fillcolor="#a0a0a0" stroked="f"/>
        </w:pict>
      </w:r>
    </w:p>
    <w:p w:rsidR="00000000" w:rsidRDefault="00DF5BC2">
      <w:pPr>
        <w:divId w:val="1900624784"/>
        <w:rPr>
          <w:rFonts w:eastAsia="Times New Roman"/>
        </w:rPr>
      </w:pPr>
      <w:hyperlink w:anchor="ica38aa2cb9a04eba8f8cadac27ee7fb9_7" w:history="1">
        <w:r>
          <w:rPr>
            <w:rStyle w:val="a3"/>
            <w:rFonts w:eastAsia="Times New Roman"/>
            <w:sz w:val="20"/>
            <w:szCs w:val="20"/>
          </w:rPr>
          <w:t>Table of Content</w:t>
        </w:r>
        <w:r>
          <w:rPr>
            <w:rStyle w:val="a3"/>
            <w:rFonts w:eastAsia="Times New Roman"/>
            <w:sz w:val="20"/>
            <w:szCs w:val="20"/>
          </w:rPr>
          <w:t>s</w:t>
        </w:r>
      </w:hyperlink>
    </w:p>
    <w:p w:rsidR="00000000" w:rsidRDefault="00DF5BC2">
      <w:pPr>
        <w:divId w:val="487063668"/>
        <w:rPr>
          <w:rFonts w:eastAsia="Times New Roman"/>
        </w:rPr>
      </w:pPr>
    </w:p>
    <w:p w:rsidR="00000000" w:rsidRDefault="00DF5BC2">
      <w:pPr>
        <w:jc w:val="center"/>
        <w:divId w:val="1656491676"/>
        <w:rPr>
          <w:rFonts w:eastAsia="Times New Roman"/>
        </w:rPr>
      </w:pPr>
      <w:r>
        <w:rPr>
          <w:rFonts w:eastAsia="Times New Roman"/>
          <w:b/>
          <w:bCs/>
          <w:color w:val="000000"/>
          <w:sz w:val="20"/>
          <w:szCs w:val="20"/>
        </w:rPr>
        <w:t>UGI CORPORATION</w:t>
      </w:r>
    </w:p>
    <w:p w:rsidR="00000000" w:rsidRDefault="00DF5BC2">
      <w:pPr>
        <w:jc w:val="center"/>
        <w:divId w:val="1656491676"/>
        <w:rPr>
          <w:rFonts w:eastAsia="Times New Roman"/>
        </w:rPr>
      </w:pPr>
      <w:r>
        <w:rPr>
          <w:rFonts w:eastAsia="Times New Roman"/>
          <w:b/>
          <w:bCs/>
          <w:color w:val="000000"/>
          <w:sz w:val="20"/>
          <w:szCs w:val="20"/>
        </w:rPr>
        <w:t>SCHEDULE I — CONDENSED FINANCIAL INFORMATION OF REGISTRANT (PARENT COMPANY)</w:t>
      </w:r>
    </w:p>
    <w:p w:rsidR="00000000" w:rsidRDefault="00DF5BC2">
      <w:pPr>
        <w:divId w:val="2118332532"/>
        <w:rPr>
          <w:rFonts w:eastAsia="Times New Roman"/>
        </w:rPr>
      </w:pPr>
    </w:p>
    <w:p w:rsidR="00000000" w:rsidRDefault="00DF5BC2">
      <w:pPr>
        <w:divId w:val="1696342006"/>
        <w:rPr>
          <w:rFonts w:eastAsia="Times New Roman"/>
        </w:rPr>
      </w:pPr>
    </w:p>
    <w:p w:rsidR="00000000" w:rsidRDefault="00DF5BC2">
      <w:pPr>
        <w:jc w:val="center"/>
        <w:rPr>
          <w:rFonts w:eastAsia="Times New Roman"/>
        </w:rPr>
      </w:pPr>
    </w:p>
    <w:p w:rsidR="00000000" w:rsidRDefault="00DF5BC2">
      <w:pPr>
        <w:jc w:val="center"/>
        <w:rPr>
          <w:rFonts w:eastAsia="Times New Roman"/>
        </w:rPr>
      </w:pPr>
      <w:r>
        <w:rPr>
          <w:rFonts w:eastAsia="Times New Roman"/>
          <w:color w:val="000000"/>
          <w:sz w:val="20"/>
          <w:szCs w:val="20"/>
        </w:rPr>
        <w:t>BALANCE SHEETS</w:t>
      </w:r>
    </w:p>
    <w:p w:rsidR="00000000" w:rsidRDefault="00DF5BC2">
      <w:pPr>
        <w:jc w:val="center"/>
        <w:rPr>
          <w:rFonts w:eastAsia="Times New Roman"/>
        </w:rPr>
      </w:pPr>
      <w:r>
        <w:rPr>
          <w:rFonts w:eastAsia="Times New Roman"/>
          <w:color w:val="000000"/>
          <w:sz w:val="20"/>
          <w:szCs w:val="20"/>
        </w:rPr>
        <w:t>(Millions of dollars)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88"/>
        <w:gridCol w:w="38"/>
        <w:gridCol w:w="120"/>
        <w:gridCol w:w="921"/>
        <w:gridCol w:w="36"/>
        <w:gridCol w:w="36"/>
        <w:gridCol w:w="36"/>
        <w:gridCol w:w="36"/>
        <w:gridCol w:w="120"/>
        <w:gridCol w:w="886"/>
        <w:gridCol w:w="36"/>
      </w:tblGrid>
      <w:tr w:rsidR="00000000">
        <w:trPr>
          <w:jc w:val="center"/>
        </w:trPr>
        <w:tc>
          <w:tcPr>
            <w:tcW w:w="50" w:type="pct"/>
            <w:vAlign w:val="center"/>
            <w:hideMark/>
          </w:tcPr>
          <w:p w:rsidR="00000000" w:rsidRDefault="00DF5BC2">
            <w:pPr>
              <w:jc w:val="center"/>
              <w:rPr>
                <w:rFonts w:eastAsia="Times New Roman"/>
              </w:rPr>
            </w:pPr>
          </w:p>
        </w:tc>
        <w:tc>
          <w:tcPr>
            <w:tcW w:w="3634"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Accounts receivable – related parties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Investments in subsidiaries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6,479 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4,898 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LIABILITIES AND COMMON STOCKHOLDERS’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Current maturities of long-term debt</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Accounts and notes payable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875 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817 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Commitments and contingencies (Note 1)</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Equity:</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divId w:val="1112171966"/>
              <w:rPr>
                <w:rFonts w:eastAsia="Times New Roman"/>
              </w:rPr>
            </w:pPr>
            <w:r>
              <w:rPr>
                <w:rFonts w:eastAsia="Times New Roman"/>
                <w:color w:val="000000"/>
                <w:sz w:val="20"/>
                <w:szCs w:val="20"/>
              </w:rPr>
              <w:t>Preferred Stock, without par value (authorized - 5,000,000; issued - 220,000 and 0, respectively)</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divId w:val="1632596083"/>
              <w:rPr>
                <w:rFonts w:eastAsia="Times New Roman"/>
              </w:rPr>
            </w:pPr>
            <w:r>
              <w:rPr>
                <w:rFonts w:eastAsia="Times New Roman"/>
                <w:color w:val="000000"/>
                <w:sz w:val="20"/>
                <w:szCs w:val="20"/>
              </w:rPr>
              <w:t>Common Stock, without par value (authorized – 450,000,000 shares; issued – 209,843,296 and 209,514,044 shares, respectively)</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1,394 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1,416 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4,081 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2,908 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Treasury stock, at cost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common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Total liabilities and common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6,631 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divId w:val="111897571"/>
        <w:rPr>
          <w:rFonts w:eastAsia="Times New Roman"/>
        </w:rPr>
      </w:pPr>
    </w:p>
    <w:p w:rsidR="00000000" w:rsidRDefault="00DF5BC2">
      <w:pPr>
        <w:jc w:val="both"/>
        <w:rPr>
          <w:rFonts w:eastAsia="Times New Roman"/>
        </w:rPr>
      </w:pPr>
      <w:r>
        <w:rPr>
          <w:rFonts w:eastAsia="Times New Roman"/>
          <w:color w:val="000000"/>
          <w:sz w:val="20"/>
          <w:szCs w:val="20"/>
        </w:rPr>
        <w:t>Note 1 — Commitments and Contingencies:</w:t>
      </w:r>
    </w:p>
    <w:p w:rsidR="00000000" w:rsidRDefault="00DF5BC2">
      <w:pPr>
        <w:jc w:val="both"/>
        <w:divId w:val="400523006"/>
        <w:rPr>
          <w:rFonts w:eastAsia="Times New Roman"/>
        </w:rPr>
      </w:pPr>
      <w:r>
        <w:rPr>
          <w:rFonts w:eastAsia="Times New Roman"/>
          <w:color w:val="000000"/>
          <w:sz w:val="20"/>
          <w:szCs w:val="20"/>
        </w:rPr>
        <w:t>At September </w:t>
      </w:r>
      <w:r>
        <w:rPr>
          <w:rFonts w:eastAsia="Times New Roman"/>
          <w:color w:val="000000"/>
          <w:sz w:val="20"/>
          <w:szCs w:val="20"/>
        </w:rPr>
        <w:t>30, 2021, UGI Corporation had agreed to indemnify the issuers of $75 of surety bonds issued on behalf of certain UGI subsidiaries. UGI Corporation is authorized to guarantee up to $475 of obligations to suppliers and customers of Energy Services and subsid</w:t>
      </w:r>
      <w:r>
        <w:rPr>
          <w:rFonts w:eastAsia="Times New Roman"/>
          <w:color w:val="000000"/>
          <w:sz w:val="20"/>
          <w:szCs w:val="20"/>
        </w:rPr>
        <w:t>iaries of which $397 of such obligations were outstanding as of September 30, 2021.</w:t>
      </w:r>
    </w:p>
    <w:p w:rsidR="00000000" w:rsidRDefault="00DF5BC2">
      <w:pPr>
        <w:jc w:val="both"/>
        <w:divId w:val="288518276"/>
        <w:rPr>
          <w:rFonts w:eastAsia="Times New Roman"/>
        </w:rPr>
      </w:pPr>
      <w:r>
        <w:rPr>
          <w:rFonts w:eastAsia="Times New Roman"/>
          <w:color w:val="000000"/>
          <w:sz w:val="20"/>
          <w:szCs w:val="20"/>
        </w:rPr>
        <w:t>Scheduled principal repayments of long-term debt during the next five fiscal years include $70 in Fiscal 2022, $38 in Fiscal 2023, $327 in Fiscal 2024 and $515 in Fiscal 20</w:t>
      </w:r>
      <w:r>
        <w:rPr>
          <w:rFonts w:eastAsia="Times New Roman"/>
          <w:color w:val="000000"/>
          <w:sz w:val="20"/>
          <w:szCs w:val="20"/>
        </w:rPr>
        <w:t>25.</w:t>
      </w:r>
    </w:p>
    <w:p w:rsidR="00000000" w:rsidRDefault="00DF5BC2">
      <w:pPr>
        <w:divId w:val="601649739"/>
        <w:rPr>
          <w:rFonts w:eastAsia="Times New Roman"/>
        </w:rPr>
      </w:pPr>
    </w:p>
    <w:p w:rsidR="00000000" w:rsidRDefault="00DF5BC2">
      <w:pPr>
        <w:jc w:val="center"/>
        <w:divId w:val="1597860841"/>
        <w:rPr>
          <w:rFonts w:eastAsia="Times New Roman"/>
        </w:rPr>
      </w:pPr>
      <w:r>
        <w:rPr>
          <w:rFonts w:eastAsia="Times New Roman"/>
          <w:color w:val="000000"/>
          <w:sz w:val="20"/>
          <w:szCs w:val="20"/>
        </w:rPr>
        <w:t>S-1</w:t>
      </w:r>
    </w:p>
    <w:p w:rsidR="00000000" w:rsidRDefault="00DF5BC2">
      <w:pPr>
        <w:rPr>
          <w:rFonts w:eastAsia="Times New Roman"/>
        </w:rPr>
      </w:pPr>
      <w:r>
        <w:rPr>
          <w:rFonts w:eastAsia="Times New Roman"/>
        </w:rPr>
        <w:pict>
          <v:rect id="_x0000_i1179" style="width:0;height:1.5pt" o:hralign="center" o:hrstd="t" o:hr="t" fillcolor="#a0a0a0" stroked="f"/>
        </w:pict>
      </w:r>
    </w:p>
    <w:p w:rsidR="00000000" w:rsidRDefault="00DF5BC2">
      <w:pPr>
        <w:divId w:val="2003894440"/>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647129741"/>
        <w:rPr>
          <w:rFonts w:eastAsia="Times New Roman"/>
        </w:rPr>
      </w:pPr>
    </w:p>
    <w:p w:rsidR="00000000" w:rsidRDefault="00DF5BC2">
      <w:pPr>
        <w:jc w:val="center"/>
        <w:divId w:val="1183931449"/>
        <w:rPr>
          <w:rFonts w:eastAsia="Times New Roman"/>
        </w:rPr>
      </w:pPr>
      <w:r>
        <w:rPr>
          <w:rFonts w:eastAsia="Times New Roman"/>
          <w:b/>
          <w:bCs/>
          <w:color w:val="000000"/>
          <w:sz w:val="20"/>
          <w:szCs w:val="20"/>
        </w:rPr>
        <w:t>UGI CORPORATION</w:t>
      </w:r>
    </w:p>
    <w:p w:rsidR="00000000" w:rsidRDefault="00DF5BC2">
      <w:pPr>
        <w:jc w:val="center"/>
        <w:divId w:val="1183931449"/>
        <w:rPr>
          <w:rFonts w:eastAsia="Times New Roman"/>
        </w:rPr>
      </w:pPr>
      <w:r>
        <w:rPr>
          <w:rFonts w:eastAsia="Times New Roman"/>
          <w:b/>
          <w:bCs/>
          <w:color w:val="000000"/>
          <w:sz w:val="20"/>
          <w:szCs w:val="20"/>
        </w:rPr>
        <w:t xml:space="preserve">SCHEDULE I — </w:t>
      </w:r>
      <w:r>
        <w:rPr>
          <w:rFonts w:eastAsia="Times New Roman"/>
          <w:b/>
          <w:bCs/>
          <w:color w:val="000000"/>
          <w:sz w:val="20"/>
          <w:szCs w:val="20"/>
        </w:rPr>
        <w:t>CONDENSED FINANCIAL INFORMATION OF REGISTRANT (PARENT COMPANY)</w:t>
      </w:r>
    </w:p>
    <w:p w:rsidR="00000000" w:rsidRDefault="00DF5BC2">
      <w:pPr>
        <w:jc w:val="center"/>
        <w:rPr>
          <w:rFonts w:eastAsia="Times New Roman"/>
        </w:rPr>
      </w:pPr>
      <w:r>
        <w:rPr>
          <w:rFonts w:eastAsia="Times New Roman"/>
          <w:color w:val="000000"/>
          <w:sz w:val="20"/>
          <w:szCs w:val="20"/>
        </w:rPr>
        <w:t>STATEMENTS OF INCOME</w:t>
      </w:r>
    </w:p>
    <w:p w:rsidR="00000000" w:rsidRDefault="00DF5BC2">
      <w:pPr>
        <w:jc w:val="center"/>
        <w:rPr>
          <w:rFonts w:eastAsia="Times New Roman"/>
        </w:rPr>
      </w:pPr>
      <w:r>
        <w:rPr>
          <w:rFonts w:eastAsia="Times New Roman"/>
          <w:color w:val="000000"/>
          <w:sz w:val="20"/>
          <w:szCs w:val="20"/>
        </w:rPr>
        <w:t>(Millions of dollars, except per share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63"/>
        <w:gridCol w:w="37"/>
        <w:gridCol w:w="121"/>
        <w:gridCol w:w="916"/>
        <w:gridCol w:w="36"/>
        <w:gridCol w:w="36"/>
        <w:gridCol w:w="36"/>
        <w:gridCol w:w="36"/>
        <w:gridCol w:w="121"/>
        <w:gridCol w:w="875"/>
        <w:gridCol w:w="36"/>
        <w:gridCol w:w="36"/>
        <w:gridCol w:w="36"/>
        <w:gridCol w:w="36"/>
        <w:gridCol w:w="121"/>
        <w:gridCol w:w="877"/>
        <w:gridCol w:w="36"/>
      </w:tblGrid>
      <w:tr w:rsidR="00000000">
        <w:trPr>
          <w:jc w:val="center"/>
        </w:trPr>
        <w:tc>
          <w:tcPr>
            <w:tcW w:w="50" w:type="pct"/>
            <w:vAlign w:val="center"/>
            <w:hideMark/>
          </w:tcPr>
          <w:p w:rsidR="00000000" w:rsidRDefault="00DF5BC2">
            <w:pPr>
              <w:jc w:val="center"/>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Year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Costs and expenses:</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operating income, net (a)</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Operating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Pension and other postretirement plans non-service expense</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Loss before equity in income of unconsolidated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Equity in income of unconsolidated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1,532 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income attributable to UGI Corporation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Equity in other comprehensive income (loss) of unconsolidated subsidiaries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Comprehensive income attributable to UGI Corporation</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Earnings per common share attributable to UGI Corporation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6.92 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Weighted - average common shares outstanding (thousands):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209,063 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208,928 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178,417 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212,126 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209,869 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181,111 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(a)</w:t>
      </w:r>
      <w:r>
        <w:rPr>
          <w:rFonts w:eastAsia="Times New Roman"/>
          <w:color w:val="000000"/>
          <w:sz w:val="20"/>
          <w:szCs w:val="20"/>
        </w:rPr>
        <w:t xml:space="preserve">UGI provides certain financial and administrative services to certain of its subsidiaries. UGI bills these subsidiaries monthly for all direct expenses incurred by UGI on behalf of its subsidiaries as well as allocated shares of indirect corporate expense </w:t>
      </w:r>
      <w:r>
        <w:rPr>
          <w:rFonts w:eastAsia="Times New Roman"/>
          <w:color w:val="000000"/>
          <w:sz w:val="20"/>
          <w:szCs w:val="20"/>
        </w:rPr>
        <w:t>incurred or paid with respect to services provided by UGI. The allocation of indirect UGI corporate expenses to certain of its subsidiaries utilizes a weighted, three-component formula comprising revenues, operating expenses, and net assets employed and co</w:t>
      </w:r>
      <w:r>
        <w:rPr>
          <w:rFonts w:eastAsia="Times New Roman"/>
          <w:color w:val="000000"/>
          <w:sz w:val="20"/>
          <w:szCs w:val="20"/>
        </w:rPr>
        <w:t>nsiders the relative percentage of such items for each subsidiary to the total of such items for all UGI operating subsidiaries for which general and administrative services are provided. Management believes that this allocation method is reasonable and eq</w:t>
      </w:r>
      <w:r>
        <w:rPr>
          <w:rFonts w:eastAsia="Times New Roman"/>
          <w:color w:val="000000"/>
          <w:sz w:val="20"/>
          <w:szCs w:val="20"/>
        </w:rPr>
        <w:t>uitable to its subsidiaries. These billed expenses are classified as “Other operating income, net” in the Statements of Income above.</w:t>
      </w:r>
    </w:p>
    <w:p w:rsidR="00000000" w:rsidRDefault="00DF5BC2">
      <w:pPr>
        <w:jc w:val="both"/>
        <w:rPr>
          <w:rFonts w:eastAsia="Times New Roman"/>
        </w:rPr>
      </w:pPr>
    </w:p>
    <w:p w:rsidR="00000000" w:rsidRDefault="00DF5BC2">
      <w:pPr>
        <w:jc w:val="center"/>
        <w:divId w:val="1029112474"/>
        <w:rPr>
          <w:rFonts w:eastAsia="Times New Roman"/>
        </w:rPr>
      </w:pPr>
      <w:r>
        <w:rPr>
          <w:rFonts w:eastAsia="Times New Roman"/>
          <w:color w:val="000000"/>
          <w:sz w:val="20"/>
          <w:szCs w:val="20"/>
        </w:rPr>
        <w:t>S-2</w:t>
      </w:r>
    </w:p>
    <w:p w:rsidR="00000000" w:rsidRDefault="00DF5BC2">
      <w:pPr>
        <w:rPr>
          <w:rFonts w:eastAsia="Times New Roman"/>
        </w:rPr>
      </w:pPr>
      <w:r>
        <w:rPr>
          <w:rFonts w:eastAsia="Times New Roman"/>
        </w:rPr>
        <w:pict>
          <v:rect id="_x0000_i1180" style="width:0;height:1.5pt" o:hralign="center" o:hrstd="t" o:hr="t" fillcolor="#a0a0a0" stroked="f"/>
        </w:pict>
      </w:r>
    </w:p>
    <w:p w:rsidR="00000000" w:rsidRDefault="00DF5BC2">
      <w:pPr>
        <w:divId w:val="1697661367"/>
        <w:rPr>
          <w:rFonts w:eastAsia="Times New Roman"/>
        </w:rPr>
      </w:pPr>
      <w:hyperlink w:anchor="ica38aa2cb9a04eba8f8cadac27ee7fb9_7" w:history="1">
        <w:r>
          <w:rPr>
            <w:rStyle w:val="a3"/>
            <w:rFonts w:eastAsia="Times New Roman"/>
            <w:sz w:val="20"/>
            <w:szCs w:val="20"/>
          </w:rPr>
          <w:t>Table of Contents</w:t>
        </w:r>
      </w:hyperlink>
    </w:p>
    <w:p w:rsidR="00000000" w:rsidRDefault="00DF5BC2">
      <w:pPr>
        <w:divId w:val="785008639"/>
        <w:rPr>
          <w:rFonts w:eastAsia="Times New Roman"/>
        </w:rPr>
      </w:pPr>
    </w:p>
    <w:p w:rsidR="00000000" w:rsidRDefault="00DF5BC2">
      <w:pPr>
        <w:jc w:val="center"/>
        <w:divId w:val="751121174"/>
        <w:rPr>
          <w:rFonts w:eastAsia="Times New Roman"/>
        </w:rPr>
      </w:pPr>
      <w:r>
        <w:rPr>
          <w:rFonts w:eastAsia="Times New Roman"/>
          <w:b/>
          <w:bCs/>
          <w:color w:val="000000"/>
          <w:sz w:val="20"/>
          <w:szCs w:val="20"/>
        </w:rPr>
        <w:t>UGI CORPORATION</w:t>
      </w:r>
    </w:p>
    <w:p w:rsidR="00000000" w:rsidRDefault="00DF5BC2">
      <w:pPr>
        <w:jc w:val="center"/>
        <w:divId w:val="751121174"/>
        <w:rPr>
          <w:rFonts w:eastAsia="Times New Roman"/>
        </w:rPr>
      </w:pPr>
      <w:r>
        <w:rPr>
          <w:rFonts w:eastAsia="Times New Roman"/>
          <w:b/>
          <w:bCs/>
          <w:color w:val="000000"/>
          <w:sz w:val="20"/>
          <w:szCs w:val="20"/>
        </w:rPr>
        <w:t>SCHEDULE I — CONDENSED FINANCIAL INFORMATION OF REGISTRANT (PARENT COMPANY)</w:t>
      </w:r>
    </w:p>
    <w:p w:rsidR="00000000" w:rsidRDefault="00DF5BC2">
      <w:pPr>
        <w:jc w:val="center"/>
        <w:rPr>
          <w:rFonts w:eastAsia="Times New Roman"/>
        </w:rPr>
      </w:pPr>
      <w:r>
        <w:rPr>
          <w:rFonts w:eastAsia="Times New Roman"/>
          <w:color w:val="000000"/>
          <w:sz w:val="20"/>
          <w:szCs w:val="20"/>
        </w:rPr>
        <w:t>STATEMENTS OF CASH FLOWS</w:t>
      </w:r>
    </w:p>
    <w:p w:rsidR="00000000" w:rsidRDefault="00DF5BC2">
      <w:pPr>
        <w:jc w:val="center"/>
        <w:rPr>
          <w:rFonts w:eastAsia="Times New Roman"/>
        </w:rPr>
      </w:pPr>
      <w:r>
        <w:rPr>
          <w:rFonts w:eastAsia="Times New Roman"/>
          <w:color w:val="000000"/>
          <w:sz w:val="20"/>
          <w:szCs w:val="20"/>
        </w:rPr>
        <w:t>(Millions of dollars)</w:t>
      </w:r>
    </w:p>
    <w:tbl>
      <w:tblPr>
        <w:tblW w:w="4992" w:type="pct"/>
        <w:tblCellMar>
          <w:top w:w="15" w:type="dxa"/>
          <w:left w:w="15" w:type="dxa"/>
          <w:bottom w:w="15" w:type="dxa"/>
          <w:right w:w="15" w:type="dxa"/>
        </w:tblCellMar>
        <w:tblLook w:val="04A0" w:firstRow="1" w:lastRow="0" w:firstColumn="1" w:lastColumn="0" w:noHBand="0" w:noVBand="1"/>
      </w:tblPr>
      <w:tblGrid>
        <w:gridCol w:w="39"/>
        <w:gridCol w:w="4862"/>
        <w:gridCol w:w="38"/>
        <w:gridCol w:w="120"/>
        <w:gridCol w:w="916"/>
        <w:gridCol w:w="36"/>
        <w:gridCol w:w="36"/>
        <w:gridCol w:w="36"/>
        <w:gridCol w:w="36"/>
        <w:gridCol w:w="120"/>
        <w:gridCol w:w="876"/>
        <w:gridCol w:w="36"/>
        <w:gridCol w:w="36"/>
        <w:gridCol w:w="36"/>
        <w:gridCol w:w="36"/>
        <w:gridCol w:w="120"/>
        <w:gridCol w:w="878"/>
        <w:gridCol w:w="36"/>
      </w:tblGrid>
      <w:tr w:rsidR="00000000">
        <w:trPr>
          <w:divId w:val="827982029"/>
        </w:trPr>
        <w:tc>
          <w:tcPr>
            <w:tcW w:w="50" w:type="pct"/>
            <w:vAlign w:val="center"/>
            <w:hideMark/>
          </w:tcPr>
          <w:p w:rsidR="00000000" w:rsidRDefault="00DF5BC2">
            <w:pPr>
              <w:jc w:val="center"/>
              <w:rPr>
                <w:rFonts w:eastAsia="Times New Roman"/>
              </w:rPr>
            </w:pPr>
          </w:p>
        </w:tc>
        <w:tc>
          <w:tcPr>
            <w:tcW w:w="296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1"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8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divId w:val="827982029"/>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Year Ended September 30,</w:t>
            </w:r>
          </w:p>
        </w:tc>
      </w:tr>
      <w:tr w:rsidR="00000000">
        <w:trPr>
          <w:divId w:val="827982029"/>
        </w:trPr>
        <w:tc>
          <w:tcPr>
            <w:tcW w:w="0" w:type="auto"/>
            <w:gridSpan w:val="3"/>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2019</w:t>
            </w:r>
          </w:p>
        </w:tc>
      </w:tr>
      <w:tr w:rsidR="00000000">
        <w:trPr>
          <w:divId w:val="82798202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NET CASH PROVIDED BY OPERATING ACTIVITIES (a)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Height w:val="300"/>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2798202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827982029"/>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82798202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investments in unconsolidated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(401)</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(768)</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cash used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Height w:val="300"/>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divId w:val="82798202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82798202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Payment of dividends on Common Stock</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(282)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(273)</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Issuances of debt,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846 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Repayments of long-term debt</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(385)</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Issuances of Common Stock</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Repurchases of UGI Common Stock</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vAlign w:val="center"/>
            <w:hideMark/>
          </w:tcPr>
          <w:p w:rsidR="00000000" w:rsidRDefault="00DF5BC2">
            <w:pPr>
              <w:spacing w:after="100"/>
              <w:jc w:val="right"/>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divId w:val="82798202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CCEEFF"/>
            <w:tcMar>
              <w:top w:w="30" w:type="dxa"/>
              <w:left w:w="38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Net cash provided (used)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and cash equivalents (decrease) increase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and cash equivalents: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divId w:val="827982029"/>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End of year</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Beginning of year</w:t>
            </w: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r>
      <w:tr w:rsidR="00000000">
        <w:trPr>
          <w:divId w:val="827982029"/>
        </w:trPr>
        <w:tc>
          <w:tcPr>
            <w:tcW w:w="0" w:type="auto"/>
            <w:gridSpan w:val="3"/>
            <w:shd w:val="clear" w:color="auto" w:fill="FFFFFF"/>
            <w:tcMar>
              <w:top w:w="30" w:type="dxa"/>
              <w:left w:w="60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Cash and cash equivalents (decrease) increase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r>
    </w:tbl>
    <w:p w:rsidR="00000000" w:rsidRDefault="00DF5BC2">
      <w:pPr>
        <w:ind w:hanging="360"/>
        <w:jc w:val="both"/>
        <w:rPr>
          <w:rFonts w:eastAsia="Times New Roman"/>
        </w:rPr>
      </w:pPr>
      <w:r>
        <w:rPr>
          <w:rFonts w:eastAsia="Times New Roman"/>
          <w:color w:val="000000"/>
          <w:sz w:val="20"/>
          <w:szCs w:val="20"/>
        </w:rPr>
        <w:t>(a)Includes dividends received from unconsolidated subsidiaries of $354, $352 and $163 for the years ended September </w:t>
      </w:r>
      <w:r>
        <w:rPr>
          <w:rFonts w:eastAsia="Times New Roman"/>
          <w:color w:val="000000"/>
          <w:sz w:val="20"/>
          <w:szCs w:val="20"/>
        </w:rPr>
        <w:t>30, 2021, 2020 and 2019, respectively.</w:t>
      </w:r>
    </w:p>
    <w:p w:rsidR="00000000" w:rsidRDefault="00DF5BC2">
      <w:pPr>
        <w:divId w:val="1199247126"/>
        <w:rPr>
          <w:rFonts w:eastAsia="Times New Roman"/>
        </w:rPr>
      </w:pPr>
    </w:p>
    <w:p w:rsidR="00000000" w:rsidRDefault="00DF5BC2">
      <w:pPr>
        <w:jc w:val="center"/>
        <w:divId w:val="1096290879"/>
        <w:rPr>
          <w:rFonts w:eastAsia="Times New Roman"/>
        </w:rPr>
      </w:pPr>
      <w:r>
        <w:rPr>
          <w:rFonts w:eastAsia="Times New Roman"/>
          <w:color w:val="000000"/>
          <w:sz w:val="20"/>
          <w:szCs w:val="20"/>
        </w:rPr>
        <w:t>S-3</w:t>
      </w:r>
    </w:p>
    <w:p w:rsidR="00000000" w:rsidRDefault="00DF5BC2">
      <w:pPr>
        <w:rPr>
          <w:rFonts w:eastAsia="Times New Roman"/>
        </w:rPr>
      </w:pPr>
      <w:r>
        <w:rPr>
          <w:rFonts w:eastAsia="Times New Roman"/>
        </w:rPr>
        <w:pict>
          <v:rect id="_x0000_i1181" style="width:0;height:1.5pt" o:hralign="center" o:hrstd="t" o:hr="t" fillcolor="#a0a0a0" stroked="f"/>
        </w:pict>
      </w:r>
    </w:p>
    <w:p w:rsidR="00000000" w:rsidRDefault="00DF5BC2">
      <w:pPr>
        <w:divId w:val="1252545697"/>
        <w:rPr>
          <w:rFonts w:eastAsia="Times New Roman"/>
        </w:rPr>
      </w:pPr>
      <w:hyperlink w:anchor="ica38aa2cb9a04eba8f8cadac27ee7fb9_7" w:history="1">
        <w:r>
          <w:rPr>
            <w:rStyle w:val="a3"/>
            <w:rFonts w:eastAsia="Times New Roman"/>
            <w:b/>
            <w:bCs/>
            <w:sz w:val="20"/>
            <w:szCs w:val="20"/>
          </w:rPr>
          <w:t>Table of Contents</w:t>
        </w:r>
      </w:hyperlink>
    </w:p>
    <w:p w:rsidR="00000000" w:rsidRDefault="00DF5BC2">
      <w:pPr>
        <w:jc w:val="center"/>
        <w:rPr>
          <w:rFonts w:eastAsia="Times New Roman"/>
        </w:rPr>
      </w:pPr>
      <w:r>
        <w:rPr>
          <w:rFonts w:eastAsia="Times New Roman"/>
          <w:b/>
          <w:bCs/>
          <w:color w:val="000000"/>
          <w:sz w:val="20"/>
          <w:szCs w:val="20"/>
        </w:rPr>
        <w:t>UGI CORPORATION AND SUBSIDIARIES</w:t>
      </w:r>
    </w:p>
    <w:p w:rsidR="00000000" w:rsidRDefault="00DF5BC2">
      <w:pPr>
        <w:jc w:val="center"/>
        <w:rPr>
          <w:rFonts w:eastAsia="Times New Roman"/>
        </w:rPr>
      </w:pPr>
      <w:r>
        <w:rPr>
          <w:rFonts w:eastAsia="Times New Roman"/>
          <w:b/>
          <w:bCs/>
          <w:color w:val="000000"/>
          <w:sz w:val="20"/>
          <w:szCs w:val="20"/>
        </w:rPr>
        <w:t xml:space="preserve">SCHEDULE II — </w:t>
      </w:r>
      <w:r>
        <w:rPr>
          <w:rFonts w:eastAsia="Times New Roman"/>
          <w:b/>
          <w:bCs/>
          <w:color w:val="000000"/>
          <w:sz w:val="20"/>
          <w:szCs w:val="20"/>
        </w:rPr>
        <w:t>VALUATION AND QUALIFYING ACCOUNTS</w:t>
      </w:r>
    </w:p>
    <w:p w:rsidR="00000000" w:rsidRDefault="00DF5BC2">
      <w:pPr>
        <w:jc w:val="center"/>
        <w:rPr>
          <w:rFonts w:eastAsia="Times New Roman"/>
        </w:rPr>
      </w:pPr>
      <w:r>
        <w:rPr>
          <w:rFonts w:eastAsia="Times New Roman"/>
          <w:color w:val="000000"/>
          <w:sz w:val="20"/>
          <w:szCs w:val="20"/>
        </w:rPr>
        <w:t>(Millions of dollars)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44"/>
        <w:gridCol w:w="3504"/>
        <w:gridCol w:w="37"/>
        <w:gridCol w:w="121"/>
        <w:gridCol w:w="842"/>
        <w:gridCol w:w="36"/>
        <w:gridCol w:w="36"/>
        <w:gridCol w:w="36"/>
        <w:gridCol w:w="36"/>
        <w:gridCol w:w="121"/>
        <w:gridCol w:w="810"/>
        <w:gridCol w:w="36"/>
        <w:gridCol w:w="36"/>
        <w:gridCol w:w="36"/>
        <w:gridCol w:w="36"/>
        <w:gridCol w:w="121"/>
        <w:gridCol w:w="811"/>
        <w:gridCol w:w="36"/>
        <w:gridCol w:w="70"/>
        <w:gridCol w:w="198"/>
        <w:gridCol w:w="36"/>
        <w:gridCol w:w="121"/>
        <w:gridCol w:w="818"/>
        <w:gridCol w:w="36"/>
        <w:gridCol w:w="45"/>
        <w:gridCol w:w="198"/>
        <w:gridCol w:w="36"/>
      </w:tblGrid>
      <w:tr w:rsidR="00000000">
        <w:trPr>
          <w:jc w:val="center"/>
        </w:trPr>
        <w:tc>
          <w:tcPr>
            <w:tcW w:w="50" w:type="pct"/>
            <w:vAlign w:val="center"/>
            <w:hideMark/>
          </w:tcPr>
          <w:p w:rsidR="00000000" w:rsidRDefault="00DF5BC2">
            <w:pPr>
              <w:jc w:val="center"/>
              <w:rPr>
                <w:rFonts w:eastAsia="Times New Roman"/>
              </w:rPr>
            </w:pPr>
          </w:p>
        </w:tc>
        <w:tc>
          <w:tcPr>
            <w:tcW w:w="2133"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26"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530"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c>
          <w:tcPr>
            <w:tcW w:w="50" w:type="pct"/>
            <w:vAlign w:val="center"/>
            <w:hideMark/>
          </w:tcPr>
          <w:p w:rsidR="00000000" w:rsidRDefault="00DF5BC2">
            <w:pPr>
              <w:spacing w:after="100"/>
              <w:rPr>
                <w:rFonts w:eastAsia="Times New Roman"/>
                <w:sz w:val="20"/>
                <w:szCs w:val="20"/>
              </w:rPr>
            </w:pPr>
          </w:p>
        </w:tc>
        <w:tc>
          <w:tcPr>
            <w:tcW w:w="142" w:type="pct"/>
            <w:vAlign w:val="center"/>
            <w:hideMark/>
          </w:tcPr>
          <w:p w:rsidR="00000000" w:rsidRDefault="00DF5BC2">
            <w:pPr>
              <w:spacing w:after="100"/>
              <w:rPr>
                <w:rFonts w:eastAsia="Times New Roman"/>
                <w:sz w:val="20"/>
                <w:szCs w:val="20"/>
              </w:rPr>
            </w:pPr>
          </w:p>
        </w:tc>
        <w:tc>
          <w:tcPr>
            <w:tcW w:w="5" w:type="pct"/>
            <w:vAlign w:val="center"/>
            <w:hideMark/>
          </w:tcPr>
          <w:p w:rsidR="00000000" w:rsidRDefault="00DF5BC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Balance at</w:t>
            </w:r>
            <w:r>
              <w:rPr>
                <w:rFonts w:eastAsia="Times New Roman"/>
                <w:color w:val="000000"/>
                <w:sz w:val="20"/>
                <w:szCs w:val="20"/>
              </w:rPr>
              <w:br/>
              <w:t>beginning</w:t>
            </w:r>
            <w:r>
              <w:rPr>
                <w:rFonts w:eastAsia="Times New Roman"/>
                <w:color w:val="000000"/>
                <w:sz w:val="20"/>
                <w:szCs w:val="20"/>
              </w:rPr>
              <w:br/>
              <w:t>of year</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Charged</w:t>
            </w:r>
            <w:r>
              <w:rPr>
                <w:rFonts w:eastAsia="Times New Roman"/>
                <w:color w:val="000000"/>
                <w:sz w:val="20"/>
                <w:szCs w:val="20"/>
              </w:rPr>
              <w:br/>
              <w:t>(credited)</w:t>
            </w:r>
            <w:r>
              <w:rPr>
                <w:rFonts w:eastAsia="Times New Roman"/>
                <w:color w:val="000000"/>
                <w:sz w:val="20"/>
                <w:szCs w:val="20"/>
              </w:rPr>
              <w:br/>
              <w:t>to costs and</w:t>
            </w:r>
            <w:r>
              <w:rPr>
                <w:rFonts w:eastAsia="Times New Roman"/>
                <w:color w:val="000000"/>
                <w:sz w:val="20"/>
                <w:szCs w:val="20"/>
              </w:rPr>
              <w:br/>
              <w:t>expenses</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Other</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F5BC2">
            <w:pPr>
              <w:spacing w:after="100"/>
              <w:jc w:val="center"/>
              <w:rPr>
                <w:rFonts w:eastAsia="Times New Roman"/>
              </w:rPr>
            </w:pPr>
            <w:r>
              <w:rPr>
                <w:rFonts w:eastAsia="Times New Roman"/>
                <w:color w:val="000000"/>
                <w:sz w:val="20"/>
                <w:szCs w:val="20"/>
              </w:rPr>
              <w:t>Balance at</w:t>
            </w:r>
            <w:r>
              <w:rPr>
                <w:rFonts w:eastAsia="Times New Roman"/>
                <w:color w:val="000000"/>
                <w:sz w:val="20"/>
                <w:szCs w:val="20"/>
              </w:rPr>
              <w:br/>
              <w:t>end of</w:t>
            </w:r>
            <w:r>
              <w:rPr>
                <w:rFonts w:eastAsia="Times New Roman"/>
                <w:color w:val="000000"/>
                <w:sz w:val="20"/>
                <w:szCs w:val="20"/>
              </w:rPr>
              <w:br/>
              <w:t>year</w:t>
            </w:r>
          </w:p>
        </w:tc>
        <w:tc>
          <w:tcPr>
            <w:tcW w:w="0" w:type="auto"/>
            <w:gridSpan w:val="3"/>
            <w:tcMar>
              <w:top w:w="0" w:type="dxa"/>
              <w:left w:w="20" w:type="dxa"/>
              <w:bottom w:w="0" w:type="dxa"/>
              <w:right w:w="20" w:type="dxa"/>
            </w:tcMar>
            <w:vAlign w:val="center"/>
            <w:hideMark/>
          </w:tcPr>
          <w:p w:rsidR="00000000" w:rsidRDefault="00DF5BC2">
            <w:pPr>
              <w:spacing w:after="100"/>
              <w:jc w:val="center"/>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Year Ended September 30,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Allowance for doubtful accounts</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(1)</w:t>
            </w:r>
          </w:p>
        </w:tc>
        <w:tc>
          <w:tcPr>
            <w:tcW w:w="0" w:type="auto"/>
            <w:shd w:val="clear" w:color="auto" w:fill="CCEE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reserves:</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Deferred tax assets valuation allowance</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(2)</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Year Ended September 30, 2020</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Allowance for doubtful accounts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(1)</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reserves: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Deferred tax assets valuation allowance</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(2)</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b/>
                <w:bCs/>
                <w:color w:val="000000"/>
                <w:sz w:val="20"/>
                <w:szCs w:val="20"/>
              </w:rPr>
              <w:t>Year Ended September 30, 2019</w:t>
            </w: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Allowance for doubtful accounts</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(1)</w:t>
            </w: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Other reserves: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F5BC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Deferred tax assets valuation allowance</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117 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F5BC2">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F5BC2">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F5BC2">
            <w:pPr>
              <w:spacing w:after="100"/>
              <w:jc w:val="right"/>
              <w:rPr>
                <w:rFonts w:eastAsia="Times New Roman"/>
              </w:rPr>
            </w:pPr>
            <w:r>
              <w:rPr>
                <w:rFonts w:eastAsia="Times New Roman"/>
                <w:color w:val="000000"/>
                <w:sz w:val="20"/>
                <w:szCs w:val="20"/>
              </w:rPr>
              <w:t>91 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F5BC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F5BC2">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DF5BC2">
            <w:pPr>
              <w:spacing w:after="100"/>
              <w:rPr>
                <w:rFonts w:eastAsia="Times New Roman"/>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r w:rsidR="00000000">
        <w:trPr>
          <w:jc w:val="center"/>
        </w:trPr>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c>
          <w:tcPr>
            <w:tcW w:w="0" w:type="auto"/>
            <w:gridSpan w:val="3"/>
            <w:vAlign w:val="center"/>
            <w:hideMark/>
          </w:tcPr>
          <w:p w:rsidR="00000000" w:rsidRDefault="00DF5BC2">
            <w:pPr>
              <w:spacing w:after="100"/>
              <w:rPr>
                <w:rFonts w:eastAsia="Times New Roman"/>
                <w:sz w:val="20"/>
                <w:szCs w:val="20"/>
              </w:rPr>
            </w:pPr>
          </w:p>
        </w:tc>
      </w:tr>
    </w:tbl>
    <w:p w:rsidR="00000000" w:rsidRDefault="00DF5BC2">
      <w:pPr>
        <w:ind w:hanging="360"/>
        <w:jc w:val="both"/>
        <w:rPr>
          <w:rFonts w:eastAsia="Times New Roman"/>
        </w:rPr>
      </w:pPr>
      <w:r>
        <w:rPr>
          <w:rFonts w:eastAsia="Times New Roman"/>
          <w:color w:val="000000"/>
          <w:sz w:val="20"/>
          <w:szCs w:val="20"/>
        </w:rPr>
        <w:t>(1)Uncollectible accounts written off, net of recoveries.</w:t>
      </w:r>
    </w:p>
    <w:p w:rsidR="00000000" w:rsidRDefault="00DF5BC2">
      <w:pPr>
        <w:ind w:hanging="360"/>
        <w:jc w:val="both"/>
        <w:rPr>
          <w:rFonts w:eastAsia="Times New Roman"/>
        </w:rPr>
      </w:pPr>
      <w:r>
        <w:rPr>
          <w:rFonts w:eastAsia="Times New Roman"/>
          <w:color w:val="000000"/>
          <w:sz w:val="20"/>
          <w:szCs w:val="20"/>
        </w:rPr>
        <w:t>(2)Primarily a notional interest deduction valu</w:t>
      </w:r>
      <w:r>
        <w:rPr>
          <w:rFonts w:eastAsia="Times New Roman"/>
          <w:color w:val="000000"/>
          <w:sz w:val="20"/>
          <w:szCs w:val="20"/>
        </w:rPr>
        <w:t>ation allowance adjustment.</w:t>
      </w:r>
    </w:p>
    <w:p w:rsidR="00000000" w:rsidRDefault="00DF5BC2">
      <w:pPr>
        <w:jc w:val="both"/>
        <w:divId w:val="286161885"/>
        <w:rPr>
          <w:rFonts w:eastAsia="Times New Roman"/>
        </w:rPr>
      </w:pPr>
    </w:p>
    <w:p w:rsidR="00DF5BC2" w:rsidRDefault="00DF5BC2">
      <w:pPr>
        <w:jc w:val="center"/>
        <w:divId w:val="2072345370"/>
        <w:rPr>
          <w:rFonts w:eastAsia="Times New Roman"/>
        </w:rPr>
      </w:pPr>
      <w:r>
        <w:rPr>
          <w:rFonts w:eastAsia="Times New Roman"/>
          <w:color w:val="000000"/>
          <w:sz w:val="20"/>
          <w:szCs w:val="20"/>
        </w:rPr>
        <w:t>S-4</w:t>
      </w:r>
    </w:p>
    <w:sectPr w:rsidR="00DF5BC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F5BC2"/>
    <w:rsid w:val="00DF5BC2"/>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iso4217"/>
  <w:attachedSchema w:val="http://www.sec.gov/inlineXBRL/transformation/2015-08-31"/>
  <w:attachedSchema w:val="http://xbrl.sec.gov/dei/2021"/>
  <w:attachedSchema w:val="http://www.xbrl.org/inlineXBRL/transformation/2020-02-12"/>
  <w:attachedSchema w:val="http://www.xbrl.org/2009/utr"/>
  <w:attachedSchema w:val="http://www.w3.org/1999/xlink"/>
  <w:attachedSchema w:val="http://www.ugicorp.com/20210930"/>
  <w:attachedSchema w:val="http://www.xbrl.org/2003/linkbase"/>
  <w:attachedSchema w:val="http://xbrl.sec.gov/country/2021"/>
  <w:attachedSchema w:val="http://xbrl.org/2006/xbrldi"/>
  <w:attachedSchema w:val="http://www.xbrl.org/2013/inlineXBRL"/>
  <w:attachedSchema w:val="http://www.xbrl.org/2003/instance"/>
  <w:attachedSchema w:val="http://fasb.org/srt/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818">
      <w:marLeft w:val="0"/>
      <w:marRight w:val="0"/>
      <w:marTop w:val="200"/>
      <w:marBottom w:val="0"/>
      <w:divBdr>
        <w:top w:val="none" w:sz="0" w:space="0" w:color="auto"/>
        <w:left w:val="none" w:sz="0" w:space="0" w:color="auto"/>
        <w:bottom w:val="none" w:sz="0" w:space="0" w:color="auto"/>
        <w:right w:val="none" w:sz="0" w:space="0" w:color="auto"/>
      </w:divBdr>
    </w:div>
    <w:div w:id="6836480">
      <w:marLeft w:val="0"/>
      <w:marRight w:val="0"/>
      <w:marTop w:val="200"/>
      <w:marBottom w:val="0"/>
      <w:divBdr>
        <w:top w:val="none" w:sz="0" w:space="0" w:color="auto"/>
        <w:left w:val="none" w:sz="0" w:space="0" w:color="auto"/>
        <w:bottom w:val="none" w:sz="0" w:space="0" w:color="auto"/>
        <w:right w:val="none" w:sz="0" w:space="0" w:color="auto"/>
      </w:divBdr>
    </w:div>
    <w:div w:id="7143662">
      <w:marLeft w:val="0"/>
      <w:marRight w:val="0"/>
      <w:marTop w:val="200"/>
      <w:marBottom w:val="0"/>
      <w:divBdr>
        <w:top w:val="none" w:sz="0" w:space="0" w:color="auto"/>
        <w:left w:val="none" w:sz="0" w:space="0" w:color="auto"/>
        <w:bottom w:val="none" w:sz="0" w:space="0" w:color="auto"/>
        <w:right w:val="none" w:sz="0" w:space="0" w:color="auto"/>
      </w:divBdr>
    </w:div>
    <w:div w:id="7948047">
      <w:marLeft w:val="0"/>
      <w:marRight w:val="0"/>
      <w:marTop w:val="0"/>
      <w:marBottom w:val="0"/>
      <w:divBdr>
        <w:top w:val="none" w:sz="0" w:space="0" w:color="auto"/>
        <w:left w:val="none" w:sz="0" w:space="0" w:color="auto"/>
        <w:bottom w:val="none" w:sz="0" w:space="0" w:color="auto"/>
        <w:right w:val="none" w:sz="0" w:space="0" w:color="auto"/>
      </w:divBdr>
      <w:divsChild>
        <w:div w:id="1398240050">
          <w:marLeft w:val="0"/>
          <w:marRight w:val="0"/>
          <w:marTop w:val="0"/>
          <w:marBottom w:val="0"/>
          <w:divBdr>
            <w:top w:val="none" w:sz="0" w:space="0" w:color="auto"/>
            <w:left w:val="none" w:sz="0" w:space="0" w:color="auto"/>
            <w:bottom w:val="none" w:sz="0" w:space="0" w:color="auto"/>
            <w:right w:val="none" w:sz="0" w:space="0" w:color="auto"/>
          </w:divBdr>
        </w:div>
      </w:divsChild>
    </w:div>
    <w:div w:id="8992460">
      <w:marLeft w:val="0"/>
      <w:marRight w:val="0"/>
      <w:marTop w:val="0"/>
      <w:marBottom w:val="0"/>
      <w:divBdr>
        <w:top w:val="none" w:sz="0" w:space="0" w:color="auto"/>
        <w:left w:val="none" w:sz="0" w:space="0" w:color="auto"/>
        <w:bottom w:val="none" w:sz="0" w:space="0" w:color="auto"/>
        <w:right w:val="none" w:sz="0" w:space="0" w:color="auto"/>
      </w:divBdr>
      <w:divsChild>
        <w:div w:id="1271284260">
          <w:marLeft w:val="0"/>
          <w:marRight w:val="0"/>
          <w:marTop w:val="0"/>
          <w:marBottom w:val="0"/>
          <w:divBdr>
            <w:top w:val="none" w:sz="0" w:space="0" w:color="auto"/>
            <w:left w:val="none" w:sz="0" w:space="0" w:color="auto"/>
            <w:bottom w:val="none" w:sz="0" w:space="0" w:color="auto"/>
            <w:right w:val="none" w:sz="0" w:space="0" w:color="auto"/>
          </w:divBdr>
        </w:div>
      </w:divsChild>
    </w:div>
    <w:div w:id="11762274">
      <w:marLeft w:val="0"/>
      <w:marRight w:val="0"/>
      <w:marTop w:val="0"/>
      <w:marBottom w:val="0"/>
      <w:divBdr>
        <w:top w:val="none" w:sz="0" w:space="0" w:color="auto"/>
        <w:left w:val="none" w:sz="0" w:space="0" w:color="auto"/>
        <w:bottom w:val="none" w:sz="0" w:space="0" w:color="auto"/>
        <w:right w:val="none" w:sz="0" w:space="0" w:color="auto"/>
      </w:divBdr>
      <w:divsChild>
        <w:div w:id="862326775">
          <w:marLeft w:val="0"/>
          <w:marRight w:val="0"/>
          <w:marTop w:val="0"/>
          <w:marBottom w:val="0"/>
          <w:divBdr>
            <w:top w:val="none" w:sz="0" w:space="0" w:color="auto"/>
            <w:left w:val="none" w:sz="0" w:space="0" w:color="auto"/>
            <w:bottom w:val="none" w:sz="0" w:space="0" w:color="auto"/>
            <w:right w:val="none" w:sz="0" w:space="0" w:color="auto"/>
          </w:divBdr>
        </w:div>
      </w:divsChild>
    </w:div>
    <w:div w:id="13768485">
      <w:marLeft w:val="0"/>
      <w:marRight w:val="0"/>
      <w:marTop w:val="0"/>
      <w:marBottom w:val="0"/>
      <w:divBdr>
        <w:top w:val="none" w:sz="0" w:space="0" w:color="auto"/>
        <w:left w:val="none" w:sz="0" w:space="0" w:color="auto"/>
        <w:bottom w:val="none" w:sz="0" w:space="0" w:color="auto"/>
        <w:right w:val="none" w:sz="0" w:space="0" w:color="auto"/>
      </w:divBdr>
    </w:div>
    <w:div w:id="13923143">
      <w:marLeft w:val="0"/>
      <w:marRight w:val="0"/>
      <w:marTop w:val="0"/>
      <w:marBottom w:val="0"/>
      <w:divBdr>
        <w:top w:val="none" w:sz="0" w:space="0" w:color="auto"/>
        <w:left w:val="none" w:sz="0" w:space="0" w:color="auto"/>
        <w:bottom w:val="none" w:sz="0" w:space="0" w:color="auto"/>
        <w:right w:val="none" w:sz="0" w:space="0" w:color="auto"/>
      </w:divBdr>
      <w:divsChild>
        <w:div w:id="1658418761">
          <w:marLeft w:val="0"/>
          <w:marRight w:val="0"/>
          <w:marTop w:val="0"/>
          <w:marBottom w:val="0"/>
          <w:divBdr>
            <w:top w:val="none" w:sz="0" w:space="0" w:color="auto"/>
            <w:left w:val="none" w:sz="0" w:space="0" w:color="auto"/>
            <w:bottom w:val="none" w:sz="0" w:space="0" w:color="auto"/>
            <w:right w:val="none" w:sz="0" w:space="0" w:color="auto"/>
          </w:divBdr>
        </w:div>
      </w:divsChild>
    </w:div>
    <w:div w:id="14499069">
      <w:marLeft w:val="0"/>
      <w:marRight w:val="0"/>
      <w:marTop w:val="0"/>
      <w:marBottom w:val="0"/>
      <w:divBdr>
        <w:top w:val="none" w:sz="0" w:space="0" w:color="auto"/>
        <w:left w:val="none" w:sz="0" w:space="0" w:color="auto"/>
        <w:bottom w:val="none" w:sz="0" w:space="0" w:color="auto"/>
        <w:right w:val="none" w:sz="0" w:space="0" w:color="auto"/>
      </w:divBdr>
      <w:divsChild>
        <w:div w:id="1913345417">
          <w:marLeft w:val="0"/>
          <w:marRight w:val="0"/>
          <w:marTop w:val="0"/>
          <w:marBottom w:val="0"/>
          <w:divBdr>
            <w:top w:val="none" w:sz="0" w:space="0" w:color="auto"/>
            <w:left w:val="none" w:sz="0" w:space="0" w:color="auto"/>
            <w:bottom w:val="none" w:sz="0" w:space="0" w:color="auto"/>
            <w:right w:val="none" w:sz="0" w:space="0" w:color="auto"/>
          </w:divBdr>
        </w:div>
      </w:divsChild>
    </w:div>
    <w:div w:id="14700060">
      <w:marLeft w:val="0"/>
      <w:marRight w:val="0"/>
      <w:marTop w:val="100"/>
      <w:marBottom w:val="0"/>
      <w:divBdr>
        <w:top w:val="none" w:sz="0" w:space="0" w:color="auto"/>
        <w:left w:val="none" w:sz="0" w:space="0" w:color="auto"/>
        <w:bottom w:val="none" w:sz="0" w:space="0" w:color="auto"/>
        <w:right w:val="none" w:sz="0" w:space="0" w:color="auto"/>
      </w:divBdr>
    </w:div>
    <w:div w:id="15471796">
      <w:marLeft w:val="0"/>
      <w:marRight w:val="0"/>
      <w:marTop w:val="0"/>
      <w:marBottom w:val="200"/>
      <w:divBdr>
        <w:top w:val="none" w:sz="0" w:space="0" w:color="auto"/>
        <w:left w:val="none" w:sz="0" w:space="0" w:color="auto"/>
        <w:bottom w:val="none" w:sz="0" w:space="0" w:color="auto"/>
        <w:right w:val="none" w:sz="0" w:space="0" w:color="auto"/>
      </w:divBdr>
    </w:div>
    <w:div w:id="17201061">
      <w:marLeft w:val="0"/>
      <w:marRight w:val="0"/>
      <w:marTop w:val="0"/>
      <w:marBottom w:val="0"/>
      <w:divBdr>
        <w:top w:val="none" w:sz="0" w:space="0" w:color="auto"/>
        <w:left w:val="none" w:sz="0" w:space="0" w:color="auto"/>
        <w:bottom w:val="none" w:sz="0" w:space="0" w:color="auto"/>
        <w:right w:val="none" w:sz="0" w:space="0" w:color="auto"/>
      </w:divBdr>
    </w:div>
    <w:div w:id="19211007">
      <w:marLeft w:val="0"/>
      <w:marRight w:val="0"/>
      <w:marTop w:val="200"/>
      <w:marBottom w:val="0"/>
      <w:divBdr>
        <w:top w:val="none" w:sz="0" w:space="0" w:color="auto"/>
        <w:left w:val="none" w:sz="0" w:space="0" w:color="auto"/>
        <w:bottom w:val="none" w:sz="0" w:space="0" w:color="auto"/>
        <w:right w:val="none" w:sz="0" w:space="0" w:color="auto"/>
      </w:divBdr>
    </w:div>
    <w:div w:id="25259162">
      <w:marLeft w:val="0"/>
      <w:marRight w:val="0"/>
      <w:marTop w:val="100"/>
      <w:marBottom w:val="0"/>
      <w:divBdr>
        <w:top w:val="none" w:sz="0" w:space="0" w:color="auto"/>
        <w:left w:val="none" w:sz="0" w:space="0" w:color="auto"/>
        <w:bottom w:val="none" w:sz="0" w:space="0" w:color="auto"/>
        <w:right w:val="none" w:sz="0" w:space="0" w:color="auto"/>
      </w:divBdr>
    </w:div>
    <w:div w:id="25371913">
      <w:marLeft w:val="0"/>
      <w:marRight w:val="0"/>
      <w:marTop w:val="20"/>
      <w:marBottom w:val="0"/>
      <w:divBdr>
        <w:top w:val="none" w:sz="0" w:space="0" w:color="auto"/>
        <w:left w:val="none" w:sz="0" w:space="0" w:color="auto"/>
        <w:bottom w:val="none" w:sz="0" w:space="0" w:color="auto"/>
        <w:right w:val="none" w:sz="0" w:space="0" w:color="auto"/>
      </w:divBdr>
    </w:div>
    <w:div w:id="26218604">
      <w:marLeft w:val="0"/>
      <w:marRight w:val="0"/>
      <w:marTop w:val="0"/>
      <w:marBottom w:val="0"/>
      <w:divBdr>
        <w:top w:val="none" w:sz="0" w:space="0" w:color="auto"/>
        <w:left w:val="none" w:sz="0" w:space="0" w:color="auto"/>
        <w:bottom w:val="none" w:sz="0" w:space="0" w:color="auto"/>
        <w:right w:val="none" w:sz="0" w:space="0" w:color="auto"/>
      </w:divBdr>
    </w:div>
    <w:div w:id="27535021">
      <w:marLeft w:val="0"/>
      <w:marRight w:val="0"/>
      <w:marTop w:val="200"/>
      <w:marBottom w:val="0"/>
      <w:divBdr>
        <w:top w:val="none" w:sz="0" w:space="0" w:color="auto"/>
        <w:left w:val="none" w:sz="0" w:space="0" w:color="auto"/>
        <w:bottom w:val="none" w:sz="0" w:space="0" w:color="auto"/>
        <w:right w:val="none" w:sz="0" w:space="0" w:color="auto"/>
      </w:divBdr>
    </w:div>
    <w:div w:id="30345414">
      <w:marLeft w:val="0"/>
      <w:marRight w:val="0"/>
      <w:marTop w:val="200"/>
      <w:marBottom w:val="0"/>
      <w:divBdr>
        <w:top w:val="none" w:sz="0" w:space="0" w:color="auto"/>
        <w:left w:val="none" w:sz="0" w:space="0" w:color="auto"/>
        <w:bottom w:val="none" w:sz="0" w:space="0" w:color="auto"/>
        <w:right w:val="none" w:sz="0" w:space="0" w:color="auto"/>
      </w:divBdr>
    </w:div>
    <w:div w:id="30427142">
      <w:marLeft w:val="0"/>
      <w:marRight w:val="0"/>
      <w:marTop w:val="0"/>
      <w:marBottom w:val="0"/>
      <w:divBdr>
        <w:top w:val="none" w:sz="0" w:space="0" w:color="auto"/>
        <w:left w:val="none" w:sz="0" w:space="0" w:color="auto"/>
        <w:bottom w:val="none" w:sz="0" w:space="0" w:color="auto"/>
        <w:right w:val="none" w:sz="0" w:space="0" w:color="auto"/>
      </w:divBdr>
    </w:div>
    <w:div w:id="32655024">
      <w:marLeft w:val="0"/>
      <w:marRight w:val="0"/>
      <w:marTop w:val="100"/>
      <w:marBottom w:val="0"/>
      <w:divBdr>
        <w:top w:val="none" w:sz="0" w:space="0" w:color="auto"/>
        <w:left w:val="none" w:sz="0" w:space="0" w:color="auto"/>
        <w:bottom w:val="none" w:sz="0" w:space="0" w:color="auto"/>
        <w:right w:val="none" w:sz="0" w:space="0" w:color="auto"/>
      </w:divBdr>
    </w:div>
    <w:div w:id="33238764">
      <w:marLeft w:val="0"/>
      <w:marRight w:val="0"/>
      <w:marTop w:val="0"/>
      <w:marBottom w:val="0"/>
      <w:divBdr>
        <w:top w:val="none" w:sz="0" w:space="0" w:color="auto"/>
        <w:left w:val="none" w:sz="0" w:space="0" w:color="auto"/>
        <w:bottom w:val="none" w:sz="0" w:space="0" w:color="auto"/>
        <w:right w:val="none" w:sz="0" w:space="0" w:color="auto"/>
      </w:divBdr>
    </w:div>
    <w:div w:id="33778338">
      <w:marLeft w:val="0"/>
      <w:marRight w:val="0"/>
      <w:marTop w:val="0"/>
      <w:marBottom w:val="0"/>
      <w:divBdr>
        <w:top w:val="none" w:sz="0" w:space="0" w:color="auto"/>
        <w:left w:val="none" w:sz="0" w:space="0" w:color="auto"/>
        <w:bottom w:val="none" w:sz="0" w:space="0" w:color="auto"/>
        <w:right w:val="none" w:sz="0" w:space="0" w:color="auto"/>
      </w:divBdr>
    </w:div>
    <w:div w:id="42406684">
      <w:marLeft w:val="0"/>
      <w:marRight w:val="0"/>
      <w:marTop w:val="0"/>
      <w:marBottom w:val="0"/>
      <w:divBdr>
        <w:top w:val="none" w:sz="0" w:space="0" w:color="auto"/>
        <w:left w:val="none" w:sz="0" w:space="0" w:color="auto"/>
        <w:bottom w:val="none" w:sz="0" w:space="0" w:color="auto"/>
        <w:right w:val="none" w:sz="0" w:space="0" w:color="auto"/>
      </w:divBdr>
    </w:div>
    <w:div w:id="43215513">
      <w:marLeft w:val="0"/>
      <w:marRight w:val="0"/>
      <w:marTop w:val="0"/>
      <w:marBottom w:val="0"/>
      <w:divBdr>
        <w:top w:val="none" w:sz="0" w:space="0" w:color="auto"/>
        <w:left w:val="none" w:sz="0" w:space="0" w:color="auto"/>
        <w:bottom w:val="none" w:sz="0" w:space="0" w:color="auto"/>
        <w:right w:val="none" w:sz="0" w:space="0" w:color="auto"/>
      </w:divBdr>
    </w:div>
    <w:div w:id="45879645">
      <w:marLeft w:val="0"/>
      <w:marRight w:val="0"/>
      <w:marTop w:val="60"/>
      <w:marBottom w:val="0"/>
      <w:divBdr>
        <w:top w:val="none" w:sz="0" w:space="0" w:color="auto"/>
        <w:left w:val="none" w:sz="0" w:space="0" w:color="auto"/>
        <w:bottom w:val="none" w:sz="0" w:space="0" w:color="auto"/>
        <w:right w:val="none" w:sz="0" w:space="0" w:color="auto"/>
      </w:divBdr>
    </w:div>
    <w:div w:id="49691878">
      <w:marLeft w:val="0"/>
      <w:marRight w:val="0"/>
      <w:marTop w:val="200"/>
      <w:marBottom w:val="0"/>
      <w:divBdr>
        <w:top w:val="none" w:sz="0" w:space="0" w:color="auto"/>
        <w:left w:val="none" w:sz="0" w:space="0" w:color="auto"/>
        <w:bottom w:val="none" w:sz="0" w:space="0" w:color="auto"/>
        <w:right w:val="none" w:sz="0" w:space="0" w:color="auto"/>
      </w:divBdr>
    </w:div>
    <w:div w:id="55206412">
      <w:marLeft w:val="0"/>
      <w:marRight w:val="0"/>
      <w:marTop w:val="100"/>
      <w:marBottom w:val="0"/>
      <w:divBdr>
        <w:top w:val="none" w:sz="0" w:space="0" w:color="auto"/>
        <w:left w:val="none" w:sz="0" w:space="0" w:color="auto"/>
        <w:bottom w:val="none" w:sz="0" w:space="0" w:color="auto"/>
        <w:right w:val="none" w:sz="0" w:space="0" w:color="auto"/>
      </w:divBdr>
      <w:divsChild>
        <w:div w:id="1070687892">
          <w:marLeft w:val="0"/>
          <w:marRight w:val="0"/>
          <w:marTop w:val="0"/>
          <w:marBottom w:val="240"/>
          <w:divBdr>
            <w:top w:val="none" w:sz="0" w:space="0" w:color="auto"/>
            <w:left w:val="none" w:sz="0" w:space="0" w:color="auto"/>
            <w:bottom w:val="none" w:sz="0" w:space="0" w:color="auto"/>
            <w:right w:val="none" w:sz="0" w:space="0" w:color="auto"/>
          </w:divBdr>
        </w:div>
        <w:div w:id="1487361288">
          <w:marLeft w:val="0"/>
          <w:marRight w:val="0"/>
          <w:marTop w:val="0"/>
          <w:marBottom w:val="240"/>
          <w:divBdr>
            <w:top w:val="none" w:sz="0" w:space="0" w:color="auto"/>
            <w:left w:val="none" w:sz="0" w:space="0" w:color="auto"/>
            <w:bottom w:val="none" w:sz="0" w:space="0" w:color="auto"/>
            <w:right w:val="none" w:sz="0" w:space="0" w:color="auto"/>
          </w:divBdr>
        </w:div>
        <w:div w:id="1094471394">
          <w:marLeft w:val="0"/>
          <w:marRight w:val="0"/>
          <w:marTop w:val="0"/>
          <w:marBottom w:val="240"/>
          <w:divBdr>
            <w:top w:val="none" w:sz="0" w:space="0" w:color="auto"/>
            <w:left w:val="none" w:sz="0" w:space="0" w:color="auto"/>
            <w:bottom w:val="none" w:sz="0" w:space="0" w:color="auto"/>
            <w:right w:val="none" w:sz="0" w:space="0" w:color="auto"/>
          </w:divBdr>
        </w:div>
        <w:div w:id="1362970777">
          <w:marLeft w:val="0"/>
          <w:marRight w:val="0"/>
          <w:marTop w:val="0"/>
          <w:marBottom w:val="240"/>
          <w:divBdr>
            <w:top w:val="none" w:sz="0" w:space="0" w:color="auto"/>
            <w:left w:val="none" w:sz="0" w:space="0" w:color="auto"/>
            <w:bottom w:val="none" w:sz="0" w:space="0" w:color="auto"/>
            <w:right w:val="none" w:sz="0" w:space="0" w:color="auto"/>
          </w:divBdr>
        </w:div>
      </w:divsChild>
    </w:div>
    <w:div w:id="55517708">
      <w:marLeft w:val="0"/>
      <w:marRight w:val="0"/>
      <w:marTop w:val="0"/>
      <w:marBottom w:val="0"/>
      <w:divBdr>
        <w:top w:val="none" w:sz="0" w:space="0" w:color="auto"/>
        <w:left w:val="none" w:sz="0" w:space="0" w:color="auto"/>
        <w:bottom w:val="none" w:sz="0" w:space="0" w:color="auto"/>
        <w:right w:val="none" w:sz="0" w:space="0" w:color="auto"/>
      </w:divBdr>
      <w:divsChild>
        <w:div w:id="1883900422">
          <w:marLeft w:val="0"/>
          <w:marRight w:val="0"/>
          <w:marTop w:val="0"/>
          <w:marBottom w:val="0"/>
          <w:divBdr>
            <w:top w:val="none" w:sz="0" w:space="0" w:color="auto"/>
            <w:left w:val="none" w:sz="0" w:space="0" w:color="auto"/>
            <w:bottom w:val="none" w:sz="0" w:space="0" w:color="auto"/>
            <w:right w:val="none" w:sz="0" w:space="0" w:color="auto"/>
          </w:divBdr>
        </w:div>
      </w:divsChild>
    </w:div>
    <w:div w:id="58210679">
      <w:marLeft w:val="0"/>
      <w:marRight w:val="0"/>
      <w:marTop w:val="200"/>
      <w:marBottom w:val="0"/>
      <w:divBdr>
        <w:top w:val="none" w:sz="0" w:space="0" w:color="auto"/>
        <w:left w:val="none" w:sz="0" w:space="0" w:color="auto"/>
        <w:bottom w:val="none" w:sz="0" w:space="0" w:color="auto"/>
        <w:right w:val="none" w:sz="0" w:space="0" w:color="auto"/>
      </w:divBdr>
    </w:div>
    <w:div w:id="60760486">
      <w:marLeft w:val="0"/>
      <w:marRight w:val="0"/>
      <w:marTop w:val="200"/>
      <w:marBottom w:val="0"/>
      <w:divBdr>
        <w:top w:val="none" w:sz="0" w:space="0" w:color="auto"/>
        <w:left w:val="none" w:sz="0" w:space="0" w:color="auto"/>
        <w:bottom w:val="none" w:sz="0" w:space="0" w:color="auto"/>
        <w:right w:val="none" w:sz="0" w:space="0" w:color="auto"/>
      </w:divBdr>
    </w:div>
    <w:div w:id="60835503">
      <w:marLeft w:val="0"/>
      <w:marRight w:val="0"/>
      <w:marTop w:val="0"/>
      <w:marBottom w:val="0"/>
      <w:divBdr>
        <w:top w:val="none" w:sz="0" w:space="0" w:color="auto"/>
        <w:left w:val="none" w:sz="0" w:space="0" w:color="auto"/>
        <w:bottom w:val="none" w:sz="0" w:space="0" w:color="auto"/>
        <w:right w:val="none" w:sz="0" w:space="0" w:color="auto"/>
      </w:divBdr>
      <w:divsChild>
        <w:div w:id="2101439519">
          <w:marLeft w:val="0"/>
          <w:marRight w:val="0"/>
          <w:marTop w:val="0"/>
          <w:marBottom w:val="0"/>
          <w:divBdr>
            <w:top w:val="none" w:sz="0" w:space="0" w:color="auto"/>
            <w:left w:val="none" w:sz="0" w:space="0" w:color="auto"/>
            <w:bottom w:val="none" w:sz="0" w:space="0" w:color="auto"/>
            <w:right w:val="none" w:sz="0" w:space="0" w:color="auto"/>
          </w:divBdr>
        </w:div>
      </w:divsChild>
    </w:div>
    <w:div w:id="65764940">
      <w:marLeft w:val="0"/>
      <w:marRight w:val="0"/>
      <w:marTop w:val="200"/>
      <w:marBottom w:val="0"/>
      <w:divBdr>
        <w:top w:val="none" w:sz="0" w:space="0" w:color="auto"/>
        <w:left w:val="none" w:sz="0" w:space="0" w:color="auto"/>
        <w:bottom w:val="none" w:sz="0" w:space="0" w:color="auto"/>
        <w:right w:val="none" w:sz="0" w:space="0" w:color="auto"/>
      </w:divBdr>
    </w:div>
    <w:div w:id="74519155">
      <w:marLeft w:val="0"/>
      <w:marRight w:val="0"/>
      <w:marTop w:val="0"/>
      <w:marBottom w:val="0"/>
      <w:divBdr>
        <w:top w:val="none" w:sz="0" w:space="0" w:color="auto"/>
        <w:left w:val="none" w:sz="0" w:space="0" w:color="auto"/>
        <w:bottom w:val="none" w:sz="0" w:space="0" w:color="auto"/>
        <w:right w:val="none" w:sz="0" w:space="0" w:color="auto"/>
      </w:divBdr>
      <w:divsChild>
        <w:div w:id="1650011082">
          <w:marLeft w:val="0"/>
          <w:marRight w:val="0"/>
          <w:marTop w:val="0"/>
          <w:marBottom w:val="0"/>
          <w:divBdr>
            <w:top w:val="none" w:sz="0" w:space="0" w:color="auto"/>
            <w:left w:val="none" w:sz="0" w:space="0" w:color="auto"/>
            <w:bottom w:val="none" w:sz="0" w:space="0" w:color="auto"/>
            <w:right w:val="none" w:sz="0" w:space="0" w:color="auto"/>
          </w:divBdr>
        </w:div>
      </w:divsChild>
    </w:div>
    <w:div w:id="76093975">
      <w:marLeft w:val="0"/>
      <w:marRight w:val="0"/>
      <w:marTop w:val="0"/>
      <w:marBottom w:val="0"/>
      <w:divBdr>
        <w:top w:val="none" w:sz="0" w:space="0" w:color="auto"/>
        <w:left w:val="none" w:sz="0" w:space="0" w:color="auto"/>
        <w:bottom w:val="none" w:sz="0" w:space="0" w:color="auto"/>
        <w:right w:val="none" w:sz="0" w:space="0" w:color="auto"/>
      </w:divBdr>
    </w:div>
    <w:div w:id="77168453">
      <w:marLeft w:val="0"/>
      <w:marRight w:val="0"/>
      <w:marTop w:val="200"/>
      <w:marBottom w:val="0"/>
      <w:divBdr>
        <w:top w:val="none" w:sz="0" w:space="0" w:color="auto"/>
        <w:left w:val="none" w:sz="0" w:space="0" w:color="auto"/>
        <w:bottom w:val="none" w:sz="0" w:space="0" w:color="auto"/>
        <w:right w:val="none" w:sz="0" w:space="0" w:color="auto"/>
      </w:divBdr>
    </w:div>
    <w:div w:id="77411426">
      <w:marLeft w:val="0"/>
      <w:marRight w:val="0"/>
      <w:marTop w:val="0"/>
      <w:marBottom w:val="0"/>
      <w:divBdr>
        <w:top w:val="none" w:sz="0" w:space="0" w:color="auto"/>
        <w:left w:val="none" w:sz="0" w:space="0" w:color="auto"/>
        <w:bottom w:val="none" w:sz="0" w:space="0" w:color="auto"/>
        <w:right w:val="none" w:sz="0" w:space="0" w:color="auto"/>
      </w:divBdr>
      <w:divsChild>
        <w:div w:id="1867282414">
          <w:marLeft w:val="0"/>
          <w:marRight w:val="0"/>
          <w:marTop w:val="0"/>
          <w:marBottom w:val="0"/>
          <w:divBdr>
            <w:top w:val="none" w:sz="0" w:space="0" w:color="auto"/>
            <w:left w:val="none" w:sz="0" w:space="0" w:color="auto"/>
            <w:bottom w:val="none" w:sz="0" w:space="0" w:color="auto"/>
            <w:right w:val="none" w:sz="0" w:space="0" w:color="auto"/>
          </w:divBdr>
        </w:div>
      </w:divsChild>
    </w:div>
    <w:div w:id="80298783">
      <w:marLeft w:val="0"/>
      <w:marRight w:val="0"/>
      <w:marTop w:val="0"/>
      <w:marBottom w:val="0"/>
      <w:divBdr>
        <w:top w:val="none" w:sz="0" w:space="0" w:color="auto"/>
        <w:left w:val="none" w:sz="0" w:space="0" w:color="auto"/>
        <w:bottom w:val="none" w:sz="0" w:space="0" w:color="auto"/>
        <w:right w:val="none" w:sz="0" w:space="0" w:color="auto"/>
      </w:divBdr>
      <w:divsChild>
        <w:div w:id="1931619771">
          <w:marLeft w:val="0"/>
          <w:marRight w:val="0"/>
          <w:marTop w:val="0"/>
          <w:marBottom w:val="0"/>
          <w:divBdr>
            <w:top w:val="none" w:sz="0" w:space="0" w:color="auto"/>
            <w:left w:val="none" w:sz="0" w:space="0" w:color="auto"/>
            <w:bottom w:val="none" w:sz="0" w:space="0" w:color="auto"/>
            <w:right w:val="none" w:sz="0" w:space="0" w:color="auto"/>
          </w:divBdr>
        </w:div>
      </w:divsChild>
    </w:div>
    <w:div w:id="81145370">
      <w:marLeft w:val="0"/>
      <w:marRight w:val="0"/>
      <w:marTop w:val="0"/>
      <w:marBottom w:val="0"/>
      <w:divBdr>
        <w:top w:val="none" w:sz="0" w:space="0" w:color="auto"/>
        <w:left w:val="none" w:sz="0" w:space="0" w:color="auto"/>
        <w:bottom w:val="none" w:sz="0" w:space="0" w:color="auto"/>
        <w:right w:val="none" w:sz="0" w:space="0" w:color="auto"/>
      </w:divBdr>
    </w:div>
    <w:div w:id="85197723">
      <w:marLeft w:val="0"/>
      <w:marRight w:val="0"/>
      <w:marTop w:val="200"/>
      <w:marBottom w:val="0"/>
      <w:divBdr>
        <w:top w:val="none" w:sz="0" w:space="0" w:color="auto"/>
        <w:left w:val="none" w:sz="0" w:space="0" w:color="auto"/>
        <w:bottom w:val="none" w:sz="0" w:space="0" w:color="auto"/>
        <w:right w:val="none" w:sz="0" w:space="0" w:color="auto"/>
      </w:divBdr>
    </w:div>
    <w:div w:id="88352766">
      <w:marLeft w:val="0"/>
      <w:marRight w:val="0"/>
      <w:marTop w:val="0"/>
      <w:marBottom w:val="0"/>
      <w:divBdr>
        <w:top w:val="none" w:sz="0" w:space="0" w:color="auto"/>
        <w:left w:val="none" w:sz="0" w:space="0" w:color="auto"/>
        <w:bottom w:val="none" w:sz="0" w:space="0" w:color="auto"/>
        <w:right w:val="none" w:sz="0" w:space="0" w:color="auto"/>
      </w:divBdr>
      <w:divsChild>
        <w:div w:id="1729113278">
          <w:marLeft w:val="0"/>
          <w:marRight w:val="0"/>
          <w:marTop w:val="0"/>
          <w:marBottom w:val="0"/>
          <w:divBdr>
            <w:top w:val="none" w:sz="0" w:space="0" w:color="auto"/>
            <w:left w:val="none" w:sz="0" w:space="0" w:color="auto"/>
            <w:bottom w:val="none" w:sz="0" w:space="0" w:color="auto"/>
            <w:right w:val="none" w:sz="0" w:space="0" w:color="auto"/>
          </w:divBdr>
        </w:div>
      </w:divsChild>
    </w:div>
    <w:div w:id="91434943">
      <w:marLeft w:val="0"/>
      <w:marRight w:val="0"/>
      <w:marTop w:val="0"/>
      <w:marBottom w:val="0"/>
      <w:divBdr>
        <w:top w:val="none" w:sz="0" w:space="0" w:color="auto"/>
        <w:left w:val="none" w:sz="0" w:space="0" w:color="auto"/>
        <w:bottom w:val="none" w:sz="0" w:space="0" w:color="auto"/>
        <w:right w:val="none" w:sz="0" w:space="0" w:color="auto"/>
      </w:divBdr>
    </w:div>
    <w:div w:id="95098182">
      <w:marLeft w:val="0"/>
      <w:marRight w:val="0"/>
      <w:marTop w:val="0"/>
      <w:marBottom w:val="0"/>
      <w:divBdr>
        <w:top w:val="none" w:sz="0" w:space="0" w:color="auto"/>
        <w:left w:val="none" w:sz="0" w:space="0" w:color="auto"/>
        <w:bottom w:val="none" w:sz="0" w:space="0" w:color="auto"/>
        <w:right w:val="none" w:sz="0" w:space="0" w:color="auto"/>
      </w:divBdr>
    </w:div>
    <w:div w:id="95176371">
      <w:marLeft w:val="0"/>
      <w:marRight w:val="0"/>
      <w:marTop w:val="100"/>
      <w:marBottom w:val="0"/>
      <w:divBdr>
        <w:top w:val="none" w:sz="0" w:space="0" w:color="auto"/>
        <w:left w:val="none" w:sz="0" w:space="0" w:color="auto"/>
        <w:bottom w:val="none" w:sz="0" w:space="0" w:color="auto"/>
        <w:right w:val="none" w:sz="0" w:space="0" w:color="auto"/>
      </w:divBdr>
    </w:div>
    <w:div w:id="97533339">
      <w:marLeft w:val="0"/>
      <w:marRight w:val="0"/>
      <w:marTop w:val="0"/>
      <w:marBottom w:val="0"/>
      <w:divBdr>
        <w:top w:val="none" w:sz="0" w:space="0" w:color="auto"/>
        <w:left w:val="none" w:sz="0" w:space="0" w:color="auto"/>
        <w:bottom w:val="none" w:sz="0" w:space="0" w:color="auto"/>
        <w:right w:val="none" w:sz="0" w:space="0" w:color="auto"/>
      </w:divBdr>
      <w:divsChild>
        <w:div w:id="739139307">
          <w:marLeft w:val="0"/>
          <w:marRight w:val="0"/>
          <w:marTop w:val="0"/>
          <w:marBottom w:val="0"/>
          <w:divBdr>
            <w:top w:val="none" w:sz="0" w:space="0" w:color="auto"/>
            <w:left w:val="none" w:sz="0" w:space="0" w:color="auto"/>
            <w:bottom w:val="none" w:sz="0" w:space="0" w:color="auto"/>
            <w:right w:val="none" w:sz="0" w:space="0" w:color="auto"/>
          </w:divBdr>
        </w:div>
      </w:divsChild>
    </w:div>
    <w:div w:id="97800562">
      <w:marLeft w:val="0"/>
      <w:marRight w:val="0"/>
      <w:marTop w:val="0"/>
      <w:marBottom w:val="0"/>
      <w:divBdr>
        <w:top w:val="none" w:sz="0" w:space="0" w:color="auto"/>
        <w:left w:val="none" w:sz="0" w:space="0" w:color="auto"/>
        <w:bottom w:val="none" w:sz="0" w:space="0" w:color="auto"/>
        <w:right w:val="none" w:sz="0" w:space="0" w:color="auto"/>
      </w:divBdr>
      <w:divsChild>
        <w:div w:id="1328827437">
          <w:marLeft w:val="0"/>
          <w:marRight w:val="0"/>
          <w:marTop w:val="0"/>
          <w:marBottom w:val="0"/>
          <w:divBdr>
            <w:top w:val="none" w:sz="0" w:space="0" w:color="auto"/>
            <w:left w:val="none" w:sz="0" w:space="0" w:color="auto"/>
            <w:bottom w:val="none" w:sz="0" w:space="0" w:color="auto"/>
            <w:right w:val="none" w:sz="0" w:space="0" w:color="auto"/>
          </w:divBdr>
        </w:div>
      </w:divsChild>
    </w:div>
    <w:div w:id="99106197">
      <w:marLeft w:val="0"/>
      <w:marRight w:val="0"/>
      <w:marTop w:val="0"/>
      <w:marBottom w:val="0"/>
      <w:divBdr>
        <w:top w:val="none" w:sz="0" w:space="0" w:color="auto"/>
        <w:left w:val="none" w:sz="0" w:space="0" w:color="auto"/>
        <w:bottom w:val="none" w:sz="0" w:space="0" w:color="auto"/>
        <w:right w:val="none" w:sz="0" w:space="0" w:color="auto"/>
      </w:divBdr>
    </w:div>
    <w:div w:id="100879874">
      <w:marLeft w:val="0"/>
      <w:marRight w:val="0"/>
      <w:marTop w:val="0"/>
      <w:marBottom w:val="0"/>
      <w:divBdr>
        <w:top w:val="none" w:sz="0" w:space="0" w:color="auto"/>
        <w:left w:val="none" w:sz="0" w:space="0" w:color="auto"/>
        <w:bottom w:val="none" w:sz="0" w:space="0" w:color="auto"/>
        <w:right w:val="none" w:sz="0" w:space="0" w:color="auto"/>
      </w:divBdr>
      <w:divsChild>
        <w:div w:id="675235064">
          <w:marLeft w:val="0"/>
          <w:marRight w:val="0"/>
          <w:marTop w:val="0"/>
          <w:marBottom w:val="0"/>
          <w:divBdr>
            <w:top w:val="none" w:sz="0" w:space="0" w:color="auto"/>
            <w:left w:val="none" w:sz="0" w:space="0" w:color="auto"/>
            <w:bottom w:val="none" w:sz="0" w:space="0" w:color="auto"/>
            <w:right w:val="none" w:sz="0" w:space="0" w:color="auto"/>
          </w:divBdr>
        </w:div>
      </w:divsChild>
    </w:div>
    <w:div w:id="103614814">
      <w:marLeft w:val="0"/>
      <w:marRight w:val="0"/>
      <w:marTop w:val="0"/>
      <w:marBottom w:val="0"/>
      <w:divBdr>
        <w:top w:val="none" w:sz="0" w:space="0" w:color="auto"/>
        <w:left w:val="none" w:sz="0" w:space="0" w:color="auto"/>
        <w:bottom w:val="none" w:sz="0" w:space="0" w:color="auto"/>
        <w:right w:val="none" w:sz="0" w:space="0" w:color="auto"/>
      </w:divBdr>
      <w:divsChild>
        <w:div w:id="774178263">
          <w:marLeft w:val="0"/>
          <w:marRight w:val="0"/>
          <w:marTop w:val="0"/>
          <w:marBottom w:val="0"/>
          <w:divBdr>
            <w:top w:val="none" w:sz="0" w:space="0" w:color="auto"/>
            <w:left w:val="none" w:sz="0" w:space="0" w:color="auto"/>
            <w:bottom w:val="none" w:sz="0" w:space="0" w:color="auto"/>
            <w:right w:val="none" w:sz="0" w:space="0" w:color="auto"/>
          </w:divBdr>
        </w:div>
      </w:divsChild>
    </w:div>
    <w:div w:id="105775145">
      <w:marLeft w:val="0"/>
      <w:marRight w:val="0"/>
      <w:marTop w:val="200"/>
      <w:marBottom w:val="0"/>
      <w:divBdr>
        <w:top w:val="none" w:sz="0" w:space="0" w:color="auto"/>
        <w:left w:val="none" w:sz="0" w:space="0" w:color="auto"/>
        <w:bottom w:val="none" w:sz="0" w:space="0" w:color="auto"/>
        <w:right w:val="none" w:sz="0" w:space="0" w:color="auto"/>
      </w:divBdr>
    </w:div>
    <w:div w:id="107701527">
      <w:marLeft w:val="0"/>
      <w:marRight w:val="0"/>
      <w:marTop w:val="200"/>
      <w:marBottom w:val="0"/>
      <w:divBdr>
        <w:top w:val="none" w:sz="0" w:space="0" w:color="auto"/>
        <w:left w:val="none" w:sz="0" w:space="0" w:color="auto"/>
        <w:bottom w:val="none" w:sz="0" w:space="0" w:color="auto"/>
        <w:right w:val="none" w:sz="0" w:space="0" w:color="auto"/>
      </w:divBdr>
    </w:div>
    <w:div w:id="107747772">
      <w:marLeft w:val="0"/>
      <w:marRight w:val="0"/>
      <w:marTop w:val="0"/>
      <w:marBottom w:val="0"/>
      <w:divBdr>
        <w:top w:val="none" w:sz="0" w:space="0" w:color="auto"/>
        <w:left w:val="none" w:sz="0" w:space="0" w:color="auto"/>
        <w:bottom w:val="none" w:sz="0" w:space="0" w:color="auto"/>
        <w:right w:val="none" w:sz="0" w:space="0" w:color="auto"/>
      </w:divBdr>
    </w:div>
    <w:div w:id="111290485">
      <w:marLeft w:val="0"/>
      <w:marRight w:val="0"/>
      <w:marTop w:val="0"/>
      <w:marBottom w:val="0"/>
      <w:divBdr>
        <w:top w:val="none" w:sz="0" w:space="0" w:color="auto"/>
        <w:left w:val="none" w:sz="0" w:space="0" w:color="auto"/>
        <w:bottom w:val="none" w:sz="0" w:space="0" w:color="auto"/>
        <w:right w:val="none" w:sz="0" w:space="0" w:color="auto"/>
      </w:divBdr>
      <w:divsChild>
        <w:div w:id="741177996">
          <w:marLeft w:val="0"/>
          <w:marRight w:val="0"/>
          <w:marTop w:val="0"/>
          <w:marBottom w:val="0"/>
          <w:divBdr>
            <w:top w:val="none" w:sz="0" w:space="0" w:color="auto"/>
            <w:left w:val="none" w:sz="0" w:space="0" w:color="auto"/>
            <w:bottom w:val="none" w:sz="0" w:space="0" w:color="auto"/>
            <w:right w:val="none" w:sz="0" w:space="0" w:color="auto"/>
          </w:divBdr>
        </w:div>
      </w:divsChild>
    </w:div>
    <w:div w:id="111897571">
      <w:marLeft w:val="0"/>
      <w:marRight w:val="0"/>
      <w:marTop w:val="0"/>
      <w:marBottom w:val="0"/>
      <w:divBdr>
        <w:top w:val="none" w:sz="0" w:space="0" w:color="auto"/>
        <w:left w:val="none" w:sz="0" w:space="0" w:color="auto"/>
        <w:bottom w:val="none" w:sz="0" w:space="0" w:color="auto"/>
        <w:right w:val="none" w:sz="0" w:space="0" w:color="auto"/>
      </w:divBdr>
    </w:div>
    <w:div w:id="112478178">
      <w:marLeft w:val="0"/>
      <w:marRight w:val="0"/>
      <w:marTop w:val="100"/>
      <w:marBottom w:val="0"/>
      <w:divBdr>
        <w:top w:val="none" w:sz="0" w:space="0" w:color="auto"/>
        <w:left w:val="none" w:sz="0" w:space="0" w:color="auto"/>
        <w:bottom w:val="none" w:sz="0" w:space="0" w:color="auto"/>
        <w:right w:val="none" w:sz="0" w:space="0" w:color="auto"/>
      </w:divBdr>
    </w:div>
    <w:div w:id="114838543">
      <w:marLeft w:val="0"/>
      <w:marRight w:val="0"/>
      <w:marTop w:val="0"/>
      <w:marBottom w:val="200"/>
      <w:divBdr>
        <w:top w:val="none" w:sz="0" w:space="0" w:color="auto"/>
        <w:left w:val="none" w:sz="0" w:space="0" w:color="auto"/>
        <w:bottom w:val="none" w:sz="0" w:space="0" w:color="auto"/>
        <w:right w:val="none" w:sz="0" w:space="0" w:color="auto"/>
      </w:divBdr>
    </w:div>
    <w:div w:id="116461165">
      <w:marLeft w:val="0"/>
      <w:marRight w:val="0"/>
      <w:marTop w:val="0"/>
      <w:marBottom w:val="0"/>
      <w:divBdr>
        <w:top w:val="none" w:sz="0" w:space="0" w:color="auto"/>
        <w:left w:val="none" w:sz="0" w:space="0" w:color="auto"/>
        <w:bottom w:val="none" w:sz="0" w:space="0" w:color="auto"/>
        <w:right w:val="none" w:sz="0" w:space="0" w:color="auto"/>
      </w:divBdr>
      <w:divsChild>
        <w:div w:id="462774933">
          <w:marLeft w:val="0"/>
          <w:marRight w:val="0"/>
          <w:marTop w:val="0"/>
          <w:marBottom w:val="0"/>
          <w:divBdr>
            <w:top w:val="none" w:sz="0" w:space="0" w:color="auto"/>
            <w:left w:val="none" w:sz="0" w:space="0" w:color="auto"/>
            <w:bottom w:val="none" w:sz="0" w:space="0" w:color="auto"/>
            <w:right w:val="none" w:sz="0" w:space="0" w:color="auto"/>
          </w:divBdr>
        </w:div>
      </w:divsChild>
    </w:div>
    <w:div w:id="119079003">
      <w:marLeft w:val="0"/>
      <w:marRight w:val="0"/>
      <w:marTop w:val="0"/>
      <w:marBottom w:val="0"/>
      <w:divBdr>
        <w:top w:val="none" w:sz="0" w:space="0" w:color="auto"/>
        <w:left w:val="none" w:sz="0" w:space="0" w:color="auto"/>
        <w:bottom w:val="none" w:sz="0" w:space="0" w:color="auto"/>
        <w:right w:val="none" w:sz="0" w:space="0" w:color="auto"/>
      </w:divBdr>
    </w:div>
    <w:div w:id="123275562">
      <w:marLeft w:val="0"/>
      <w:marRight w:val="0"/>
      <w:marTop w:val="100"/>
      <w:marBottom w:val="0"/>
      <w:divBdr>
        <w:top w:val="none" w:sz="0" w:space="0" w:color="auto"/>
        <w:left w:val="none" w:sz="0" w:space="0" w:color="auto"/>
        <w:bottom w:val="none" w:sz="0" w:space="0" w:color="auto"/>
        <w:right w:val="none" w:sz="0" w:space="0" w:color="auto"/>
      </w:divBdr>
    </w:div>
    <w:div w:id="127864098">
      <w:marLeft w:val="0"/>
      <w:marRight w:val="0"/>
      <w:marTop w:val="0"/>
      <w:marBottom w:val="0"/>
      <w:divBdr>
        <w:top w:val="none" w:sz="0" w:space="0" w:color="auto"/>
        <w:left w:val="none" w:sz="0" w:space="0" w:color="auto"/>
        <w:bottom w:val="none" w:sz="0" w:space="0" w:color="auto"/>
        <w:right w:val="none" w:sz="0" w:space="0" w:color="auto"/>
      </w:divBdr>
      <w:divsChild>
        <w:div w:id="618531254">
          <w:marLeft w:val="0"/>
          <w:marRight w:val="0"/>
          <w:marTop w:val="0"/>
          <w:marBottom w:val="0"/>
          <w:divBdr>
            <w:top w:val="none" w:sz="0" w:space="0" w:color="auto"/>
            <w:left w:val="none" w:sz="0" w:space="0" w:color="auto"/>
            <w:bottom w:val="none" w:sz="0" w:space="0" w:color="auto"/>
            <w:right w:val="none" w:sz="0" w:space="0" w:color="auto"/>
          </w:divBdr>
        </w:div>
      </w:divsChild>
    </w:div>
    <w:div w:id="134106590">
      <w:marLeft w:val="0"/>
      <w:marRight w:val="0"/>
      <w:marTop w:val="200"/>
      <w:marBottom w:val="0"/>
      <w:divBdr>
        <w:top w:val="none" w:sz="0" w:space="0" w:color="auto"/>
        <w:left w:val="none" w:sz="0" w:space="0" w:color="auto"/>
        <w:bottom w:val="none" w:sz="0" w:space="0" w:color="auto"/>
        <w:right w:val="none" w:sz="0" w:space="0" w:color="auto"/>
      </w:divBdr>
    </w:div>
    <w:div w:id="136993480">
      <w:marLeft w:val="0"/>
      <w:marRight w:val="0"/>
      <w:marTop w:val="0"/>
      <w:marBottom w:val="200"/>
      <w:divBdr>
        <w:top w:val="none" w:sz="0" w:space="0" w:color="auto"/>
        <w:left w:val="none" w:sz="0" w:space="0" w:color="auto"/>
        <w:bottom w:val="none" w:sz="0" w:space="0" w:color="auto"/>
        <w:right w:val="none" w:sz="0" w:space="0" w:color="auto"/>
      </w:divBdr>
    </w:div>
    <w:div w:id="139079442">
      <w:marLeft w:val="0"/>
      <w:marRight w:val="0"/>
      <w:marTop w:val="0"/>
      <w:marBottom w:val="0"/>
      <w:divBdr>
        <w:top w:val="none" w:sz="0" w:space="0" w:color="auto"/>
        <w:left w:val="none" w:sz="0" w:space="0" w:color="auto"/>
        <w:bottom w:val="none" w:sz="0" w:space="0" w:color="auto"/>
        <w:right w:val="none" w:sz="0" w:space="0" w:color="auto"/>
      </w:divBdr>
      <w:divsChild>
        <w:div w:id="1572429724">
          <w:marLeft w:val="0"/>
          <w:marRight w:val="0"/>
          <w:marTop w:val="0"/>
          <w:marBottom w:val="0"/>
          <w:divBdr>
            <w:top w:val="none" w:sz="0" w:space="0" w:color="auto"/>
            <w:left w:val="none" w:sz="0" w:space="0" w:color="auto"/>
            <w:bottom w:val="none" w:sz="0" w:space="0" w:color="auto"/>
            <w:right w:val="none" w:sz="0" w:space="0" w:color="auto"/>
          </w:divBdr>
        </w:div>
      </w:divsChild>
    </w:div>
    <w:div w:id="142740158">
      <w:marLeft w:val="0"/>
      <w:marRight w:val="0"/>
      <w:marTop w:val="200"/>
      <w:marBottom w:val="0"/>
      <w:divBdr>
        <w:top w:val="none" w:sz="0" w:space="0" w:color="auto"/>
        <w:left w:val="none" w:sz="0" w:space="0" w:color="auto"/>
        <w:bottom w:val="none" w:sz="0" w:space="0" w:color="auto"/>
        <w:right w:val="none" w:sz="0" w:space="0" w:color="auto"/>
      </w:divBdr>
    </w:div>
    <w:div w:id="143158612">
      <w:marLeft w:val="0"/>
      <w:marRight w:val="0"/>
      <w:marTop w:val="60"/>
      <w:marBottom w:val="0"/>
      <w:divBdr>
        <w:top w:val="none" w:sz="0" w:space="0" w:color="auto"/>
        <w:left w:val="none" w:sz="0" w:space="0" w:color="auto"/>
        <w:bottom w:val="none" w:sz="0" w:space="0" w:color="auto"/>
        <w:right w:val="none" w:sz="0" w:space="0" w:color="auto"/>
      </w:divBdr>
    </w:div>
    <w:div w:id="143207699">
      <w:marLeft w:val="0"/>
      <w:marRight w:val="0"/>
      <w:marTop w:val="200"/>
      <w:marBottom w:val="0"/>
      <w:divBdr>
        <w:top w:val="none" w:sz="0" w:space="0" w:color="auto"/>
        <w:left w:val="none" w:sz="0" w:space="0" w:color="auto"/>
        <w:bottom w:val="none" w:sz="0" w:space="0" w:color="auto"/>
        <w:right w:val="none" w:sz="0" w:space="0" w:color="auto"/>
      </w:divBdr>
    </w:div>
    <w:div w:id="144661041">
      <w:marLeft w:val="0"/>
      <w:marRight w:val="0"/>
      <w:marTop w:val="0"/>
      <w:marBottom w:val="200"/>
      <w:divBdr>
        <w:top w:val="none" w:sz="0" w:space="0" w:color="auto"/>
        <w:left w:val="none" w:sz="0" w:space="0" w:color="auto"/>
        <w:bottom w:val="none" w:sz="0" w:space="0" w:color="auto"/>
        <w:right w:val="none" w:sz="0" w:space="0" w:color="auto"/>
      </w:divBdr>
    </w:div>
    <w:div w:id="148911046">
      <w:marLeft w:val="0"/>
      <w:marRight w:val="0"/>
      <w:marTop w:val="0"/>
      <w:marBottom w:val="0"/>
      <w:divBdr>
        <w:top w:val="none" w:sz="0" w:space="0" w:color="auto"/>
        <w:left w:val="none" w:sz="0" w:space="0" w:color="auto"/>
        <w:bottom w:val="none" w:sz="0" w:space="0" w:color="auto"/>
        <w:right w:val="none" w:sz="0" w:space="0" w:color="auto"/>
      </w:divBdr>
      <w:divsChild>
        <w:div w:id="113521908">
          <w:marLeft w:val="0"/>
          <w:marRight w:val="0"/>
          <w:marTop w:val="0"/>
          <w:marBottom w:val="0"/>
          <w:divBdr>
            <w:top w:val="none" w:sz="0" w:space="0" w:color="auto"/>
            <w:left w:val="none" w:sz="0" w:space="0" w:color="auto"/>
            <w:bottom w:val="none" w:sz="0" w:space="0" w:color="auto"/>
            <w:right w:val="none" w:sz="0" w:space="0" w:color="auto"/>
          </w:divBdr>
        </w:div>
        <w:div w:id="390928970">
          <w:marLeft w:val="0"/>
          <w:marRight w:val="0"/>
          <w:marTop w:val="0"/>
          <w:marBottom w:val="0"/>
          <w:divBdr>
            <w:top w:val="none" w:sz="0" w:space="0" w:color="auto"/>
            <w:left w:val="none" w:sz="0" w:space="0" w:color="auto"/>
            <w:bottom w:val="none" w:sz="0" w:space="0" w:color="auto"/>
            <w:right w:val="none" w:sz="0" w:space="0" w:color="auto"/>
          </w:divBdr>
        </w:div>
        <w:div w:id="565722594">
          <w:marLeft w:val="0"/>
          <w:marRight w:val="0"/>
          <w:marTop w:val="0"/>
          <w:marBottom w:val="0"/>
          <w:divBdr>
            <w:top w:val="none" w:sz="0" w:space="0" w:color="auto"/>
            <w:left w:val="none" w:sz="0" w:space="0" w:color="auto"/>
            <w:bottom w:val="none" w:sz="0" w:space="0" w:color="auto"/>
            <w:right w:val="none" w:sz="0" w:space="0" w:color="auto"/>
          </w:divBdr>
        </w:div>
        <w:div w:id="507256701">
          <w:marLeft w:val="0"/>
          <w:marRight w:val="0"/>
          <w:marTop w:val="0"/>
          <w:marBottom w:val="0"/>
          <w:divBdr>
            <w:top w:val="none" w:sz="0" w:space="0" w:color="auto"/>
            <w:left w:val="none" w:sz="0" w:space="0" w:color="auto"/>
            <w:bottom w:val="none" w:sz="0" w:space="0" w:color="auto"/>
            <w:right w:val="none" w:sz="0" w:space="0" w:color="auto"/>
          </w:divBdr>
        </w:div>
      </w:divsChild>
    </w:div>
    <w:div w:id="149176747">
      <w:marLeft w:val="0"/>
      <w:marRight w:val="0"/>
      <w:marTop w:val="0"/>
      <w:marBottom w:val="0"/>
      <w:divBdr>
        <w:top w:val="none" w:sz="0" w:space="0" w:color="auto"/>
        <w:left w:val="none" w:sz="0" w:space="0" w:color="auto"/>
        <w:bottom w:val="none" w:sz="0" w:space="0" w:color="auto"/>
        <w:right w:val="none" w:sz="0" w:space="0" w:color="auto"/>
      </w:divBdr>
    </w:div>
    <w:div w:id="149714654">
      <w:marLeft w:val="0"/>
      <w:marRight w:val="0"/>
      <w:marTop w:val="200"/>
      <w:marBottom w:val="0"/>
      <w:divBdr>
        <w:top w:val="none" w:sz="0" w:space="0" w:color="auto"/>
        <w:left w:val="none" w:sz="0" w:space="0" w:color="auto"/>
        <w:bottom w:val="none" w:sz="0" w:space="0" w:color="auto"/>
        <w:right w:val="none" w:sz="0" w:space="0" w:color="auto"/>
      </w:divBdr>
    </w:div>
    <w:div w:id="152184529">
      <w:marLeft w:val="0"/>
      <w:marRight w:val="0"/>
      <w:marTop w:val="0"/>
      <w:marBottom w:val="0"/>
      <w:divBdr>
        <w:top w:val="none" w:sz="0" w:space="0" w:color="auto"/>
        <w:left w:val="none" w:sz="0" w:space="0" w:color="auto"/>
        <w:bottom w:val="none" w:sz="0" w:space="0" w:color="auto"/>
        <w:right w:val="none" w:sz="0" w:space="0" w:color="auto"/>
      </w:divBdr>
    </w:div>
    <w:div w:id="155386065">
      <w:marLeft w:val="0"/>
      <w:marRight w:val="0"/>
      <w:marTop w:val="100"/>
      <w:marBottom w:val="0"/>
      <w:divBdr>
        <w:top w:val="none" w:sz="0" w:space="0" w:color="auto"/>
        <w:left w:val="none" w:sz="0" w:space="0" w:color="auto"/>
        <w:bottom w:val="none" w:sz="0" w:space="0" w:color="auto"/>
        <w:right w:val="none" w:sz="0" w:space="0" w:color="auto"/>
      </w:divBdr>
    </w:div>
    <w:div w:id="158693468">
      <w:marLeft w:val="0"/>
      <w:marRight w:val="0"/>
      <w:marTop w:val="0"/>
      <w:marBottom w:val="0"/>
      <w:divBdr>
        <w:top w:val="none" w:sz="0" w:space="0" w:color="auto"/>
        <w:left w:val="none" w:sz="0" w:space="0" w:color="auto"/>
        <w:bottom w:val="none" w:sz="0" w:space="0" w:color="auto"/>
        <w:right w:val="none" w:sz="0" w:space="0" w:color="auto"/>
      </w:divBdr>
    </w:div>
    <w:div w:id="159390715">
      <w:marLeft w:val="0"/>
      <w:marRight w:val="0"/>
      <w:marTop w:val="0"/>
      <w:marBottom w:val="0"/>
      <w:divBdr>
        <w:top w:val="none" w:sz="0" w:space="0" w:color="auto"/>
        <w:left w:val="none" w:sz="0" w:space="0" w:color="auto"/>
        <w:bottom w:val="none" w:sz="0" w:space="0" w:color="auto"/>
        <w:right w:val="none" w:sz="0" w:space="0" w:color="auto"/>
      </w:divBdr>
    </w:div>
    <w:div w:id="163664325">
      <w:marLeft w:val="0"/>
      <w:marRight w:val="0"/>
      <w:marTop w:val="0"/>
      <w:marBottom w:val="0"/>
      <w:divBdr>
        <w:top w:val="none" w:sz="0" w:space="0" w:color="auto"/>
        <w:left w:val="none" w:sz="0" w:space="0" w:color="auto"/>
        <w:bottom w:val="none" w:sz="0" w:space="0" w:color="auto"/>
        <w:right w:val="none" w:sz="0" w:space="0" w:color="auto"/>
      </w:divBdr>
      <w:divsChild>
        <w:div w:id="1413897002">
          <w:marLeft w:val="0"/>
          <w:marRight w:val="0"/>
          <w:marTop w:val="0"/>
          <w:marBottom w:val="0"/>
          <w:divBdr>
            <w:top w:val="none" w:sz="0" w:space="0" w:color="auto"/>
            <w:left w:val="none" w:sz="0" w:space="0" w:color="auto"/>
            <w:bottom w:val="none" w:sz="0" w:space="0" w:color="auto"/>
            <w:right w:val="none" w:sz="0" w:space="0" w:color="auto"/>
          </w:divBdr>
        </w:div>
      </w:divsChild>
    </w:div>
    <w:div w:id="164787577">
      <w:marLeft w:val="0"/>
      <w:marRight w:val="0"/>
      <w:marTop w:val="0"/>
      <w:marBottom w:val="0"/>
      <w:divBdr>
        <w:top w:val="none" w:sz="0" w:space="0" w:color="auto"/>
        <w:left w:val="none" w:sz="0" w:space="0" w:color="auto"/>
        <w:bottom w:val="none" w:sz="0" w:space="0" w:color="auto"/>
        <w:right w:val="none" w:sz="0" w:space="0" w:color="auto"/>
      </w:divBdr>
    </w:div>
    <w:div w:id="165903250">
      <w:marLeft w:val="0"/>
      <w:marRight w:val="0"/>
      <w:marTop w:val="0"/>
      <w:marBottom w:val="0"/>
      <w:divBdr>
        <w:top w:val="none" w:sz="0" w:space="0" w:color="auto"/>
        <w:left w:val="none" w:sz="0" w:space="0" w:color="auto"/>
        <w:bottom w:val="none" w:sz="0" w:space="0" w:color="auto"/>
        <w:right w:val="none" w:sz="0" w:space="0" w:color="auto"/>
      </w:divBdr>
      <w:divsChild>
        <w:div w:id="331644303">
          <w:marLeft w:val="0"/>
          <w:marRight w:val="0"/>
          <w:marTop w:val="0"/>
          <w:marBottom w:val="0"/>
          <w:divBdr>
            <w:top w:val="none" w:sz="0" w:space="0" w:color="auto"/>
            <w:left w:val="none" w:sz="0" w:space="0" w:color="auto"/>
            <w:bottom w:val="none" w:sz="0" w:space="0" w:color="auto"/>
            <w:right w:val="none" w:sz="0" w:space="0" w:color="auto"/>
          </w:divBdr>
        </w:div>
      </w:divsChild>
    </w:div>
    <w:div w:id="166528529">
      <w:marLeft w:val="0"/>
      <w:marRight w:val="0"/>
      <w:marTop w:val="0"/>
      <w:marBottom w:val="0"/>
      <w:divBdr>
        <w:top w:val="none" w:sz="0" w:space="0" w:color="auto"/>
        <w:left w:val="none" w:sz="0" w:space="0" w:color="auto"/>
        <w:bottom w:val="none" w:sz="0" w:space="0" w:color="auto"/>
        <w:right w:val="none" w:sz="0" w:space="0" w:color="auto"/>
      </w:divBdr>
    </w:div>
    <w:div w:id="168377040">
      <w:marLeft w:val="0"/>
      <w:marRight w:val="0"/>
      <w:marTop w:val="0"/>
      <w:marBottom w:val="0"/>
      <w:divBdr>
        <w:top w:val="none" w:sz="0" w:space="0" w:color="auto"/>
        <w:left w:val="none" w:sz="0" w:space="0" w:color="auto"/>
        <w:bottom w:val="none" w:sz="0" w:space="0" w:color="auto"/>
        <w:right w:val="none" w:sz="0" w:space="0" w:color="auto"/>
      </w:divBdr>
    </w:div>
    <w:div w:id="168522407">
      <w:marLeft w:val="0"/>
      <w:marRight w:val="0"/>
      <w:marTop w:val="100"/>
      <w:marBottom w:val="0"/>
      <w:divBdr>
        <w:top w:val="none" w:sz="0" w:space="0" w:color="auto"/>
        <w:left w:val="none" w:sz="0" w:space="0" w:color="auto"/>
        <w:bottom w:val="none" w:sz="0" w:space="0" w:color="auto"/>
        <w:right w:val="none" w:sz="0" w:space="0" w:color="auto"/>
      </w:divBdr>
    </w:div>
    <w:div w:id="171605020">
      <w:marLeft w:val="0"/>
      <w:marRight w:val="0"/>
      <w:marTop w:val="0"/>
      <w:marBottom w:val="160"/>
      <w:divBdr>
        <w:top w:val="none" w:sz="0" w:space="0" w:color="auto"/>
        <w:left w:val="none" w:sz="0" w:space="0" w:color="auto"/>
        <w:bottom w:val="none" w:sz="0" w:space="0" w:color="auto"/>
        <w:right w:val="none" w:sz="0" w:space="0" w:color="auto"/>
      </w:divBdr>
    </w:div>
    <w:div w:id="173035800">
      <w:marLeft w:val="0"/>
      <w:marRight w:val="0"/>
      <w:marTop w:val="100"/>
      <w:marBottom w:val="0"/>
      <w:divBdr>
        <w:top w:val="none" w:sz="0" w:space="0" w:color="auto"/>
        <w:left w:val="none" w:sz="0" w:space="0" w:color="auto"/>
        <w:bottom w:val="none" w:sz="0" w:space="0" w:color="auto"/>
        <w:right w:val="none" w:sz="0" w:space="0" w:color="auto"/>
      </w:divBdr>
    </w:div>
    <w:div w:id="174392389">
      <w:marLeft w:val="0"/>
      <w:marRight w:val="0"/>
      <w:marTop w:val="0"/>
      <w:marBottom w:val="0"/>
      <w:divBdr>
        <w:top w:val="none" w:sz="0" w:space="0" w:color="auto"/>
        <w:left w:val="none" w:sz="0" w:space="0" w:color="auto"/>
        <w:bottom w:val="none" w:sz="0" w:space="0" w:color="auto"/>
        <w:right w:val="none" w:sz="0" w:space="0" w:color="auto"/>
      </w:divBdr>
      <w:divsChild>
        <w:div w:id="2136827648">
          <w:marLeft w:val="0"/>
          <w:marRight w:val="0"/>
          <w:marTop w:val="0"/>
          <w:marBottom w:val="0"/>
          <w:divBdr>
            <w:top w:val="none" w:sz="0" w:space="0" w:color="auto"/>
            <w:left w:val="none" w:sz="0" w:space="0" w:color="auto"/>
            <w:bottom w:val="none" w:sz="0" w:space="0" w:color="auto"/>
            <w:right w:val="none" w:sz="0" w:space="0" w:color="auto"/>
          </w:divBdr>
        </w:div>
      </w:divsChild>
    </w:div>
    <w:div w:id="182206696">
      <w:marLeft w:val="0"/>
      <w:marRight w:val="0"/>
      <w:marTop w:val="0"/>
      <w:marBottom w:val="160"/>
      <w:divBdr>
        <w:top w:val="none" w:sz="0" w:space="0" w:color="auto"/>
        <w:left w:val="none" w:sz="0" w:space="0" w:color="auto"/>
        <w:bottom w:val="none" w:sz="0" w:space="0" w:color="auto"/>
        <w:right w:val="none" w:sz="0" w:space="0" w:color="auto"/>
      </w:divBdr>
    </w:div>
    <w:div w:id="187453463">
      <w:marLeft w:val="0"/>
      <w:marRight w:val="0"/>
      <w:marTop w:val="100"/>
      <w:marBottom w:val="0"/>
      <w:divBdr>
        <w:top w:val="none" w:sz="0" w:space="0" w:color="auto"/>
        <w:left w:val="none" w:sz="0" w:space="0" w:color="auto"/>
        <w:bottom w:val="none" w:sz="0" w:space="0" w:color="auto"/>
        <w:right w:val="none" w:sz="0" w:space="0" w:color="auto"/>
      </w:divBdr>
    </w:div>
    <w:div w:id="189681888">
      <w:marLeft w:val="0"/>
      <w:marRight w:val="0"/>
      <w:marTop w:val="0"/>
      <w:marBottom w:val="0"/>
      <w:divBdr>
        <w:top w:val="none" w:sz="0" w:space="0" w:color="auto"/>
        <w:left w:val="none" w:sz="0" w:space="0" w:color="auto"/>
        <w:bottom w:val="none" w:sz="0" w:space="0" w:color="auto"/>
        <w:right w:val="none" w:sz="0" w:space="0" w:color="auto"/>
      </w:divBdr>
      <w:divsChild>
        <w:div w:id="2118405769">
          <w:marLeft w:val="0"/>
          <w:marRight w:val="0"/>
          <w:marTop w:val="0"/>
          <w:marBottom w:val="0"/>
          <w:divBdr>
            <w:top w:val="none" w:sz="0" w:space="0" w:color="auto"/>
            <w:left w:val="none" w:sz="0" w:space="0" w:color="auto"/>
            <w:bottom w:val="none" w:sz="0" w:space="0" w:color="auto"/>
            <w:right w:val="none" w:sz="0" w:space="0" w:color="auto"/>
          </w:divBdr>
        </w:div>
      </w:divsChild>
    </w:div>
    <w:div w:id="190605974">
      <w:marLeft w:val="0"/>
      <w:marRight w:val="0"/>
      <w:marTop w:val="200"/>
      <w:marBottom w:val="0"/>
      <w:divBdr>
        <w:top w:val="none" w:sz="0" w:space="0" w:color="auto"/>
        <w:left w:val="none" w:sz="0" w:space="0" w:color="auto"/>
        <w:bottom w:val="none" w:sz="0" w:space="0" w:color="auto"/>
        <w:right w:val="none" w:sz="0" w:space="0" w:color="auto"/>
      </w:divBdr>
    </w:div>
    <w:div w:id="191916680">
      <w:marLeft w:val="0"/>
      <w:marRight w:val="0"/>
      <w:marTop w:val="200"/>
      <w:marBottom w:val="0"/>
      <w:divBdr>
        <w:top w:val="none" w:sz="0" w:space="0" w:color="auto"/>
        <w:left w:val="none" w:sz="0" w:space="0" w:color="auto"/>
        <w:bottom w:val="none" w:sz="0" w:space="0" w:color="auto"/>
        <w:right w:val="none" w:sz="0" w:space="0" w:color="auto"/>
      </w:divBdr>
    </w:div>
    <w:div w:id="192812962">
      <w:marLeft w:val="0"/>
      <w:marRight w:val="0"/>
      <w:marTop w:val="0"/>
      <w:marBottom w:val="0"/>
      <w:divBdr>
        <w:top w:val="none" w:sz="0" w:space="0" w:color="auto"/>
        <w:left w:val="none" w:sz="0" w:space="0" w:color="auto"/>
        <w:bottom w:val="none" w:sz="0" w:space="0" w:color="auto"/>
        <w:right w:val="none" w:sz="0" w:space="0" w:color="auto"/>
      </w:divBdr>
      <w:divsChild>
        <w:div w:id="1272905896">
          <w:marLeft w:val="0"/>
          <w:marRight w:val="0"/>
          <w:marTop w:val="0"/>
          <w:marBottom w:val="0"/>
          <w:divBdr>
            <w:top w:val="none" w:sz="0" w:space="0" w:color="auto"/>
            <w:left w:val="none" w:sz="0" w:space="0" w:color="auto"/>
            <w:bottom w:val="none" w:sz="0" w:space="0" w:color="auto"/>
            <w:right w:val="none" w:sz="0" w:space="0" w:color="auto"/>
          </w:divBdr>
        </w:div>
        <w:div w:id="1142191359">
          <w:marLeft w:val="0"/>
          <w:marRight w:val="0"/>
          <w:marTop w:val="0"/>
          <w:marBottom w:val="0"/>
          <w:divBdr>
            <w:top w:val="none" w:sz="0" w:space="0" w:color="auto"/>
            <w:left w:val="none" w:sz="0" w:space="0" w:color="auto"/>
            <w:bottom w:val="none" w:sz="0" w:space="0" w:color="auto"/>
            <w:right w:val="none" w:sz="0" w:space="0" w:color="auto"/>
          </w:divBdr>
        </w:div>
        <w:div w:id="240677867">
          <w:marLeft w:val="0"/>
          <w:marRight w:val="0"/>
          <w:marTop w:val="0"/>
          <w:marBottom w:val="0"/>
          <w:divBdr>
            <w:top w:val="none" w:sz="0" w:space="0" w:color="auto"/>
            <w:left w:val="none" w:sz="0" w:space="0" w:color="auto"/>
            <w:bottom w:val="none" w:sz="0" w:space="0" w:color="auto"/>
            <w:right w:val="none" w:sz="0" w:space="0" w:color="auto"/>
          </w:divBdr>
        </w:div>
        <w:div w:id="767851716">
          <w:marLeft w:val="0"/>
          <w:marRight w:val="0"/>
          <w:marTop w:val="0"/>
          <w:marBottom w:val="0"/>
          <w:divBdr>
            <w:top w:val="none" w:sz="0" w:space="0" w:color="auto"/>
            <w:left w:val="none" w:sz="0" w:space="0" w:color="auto"/>
            <w:bottom w:val="none" w:sz="0" w:space="0" w:color="auto"/>
            <w:right w:val="none" w:sz="0" w:space="0" w:color="auto"/>
          </w:divBdr>
        </w:div>
      </w:divsChild>
    </w:div>
    <w:div w:id="193200953">
      <w:marLeft w:val="0"/>
      <w:marRight w:val="0"/>
      <w:marTop w:val="200"/>
      <w:marBottom w:val="0"/>
      <w:divBdr>
        <w:top w:val="none" w:sz="0" w:space="0" w:color="auto"/>
        <w:left w:val="none" w:sz="0" w:space="0" w:color="auto"/>
        <w:bottom w:val="none" w:sz="0" w:space="0" w:color="auto"/>
        <w:right w:val="none" w:sz="0" w:space="0" w:color="auto"/>
      </w:divBdr>
    </w:div>
    <w:div w:id="193663120">
      <w:marLeft w:val="0"/>
      <w:marRight w:val="0"/>
      <w:marTop w:val="200"/>
      <w:marBottom w:val="0"/>
      <w:divBdr>
        <w:top w:val="none" w:sz="0" w:space="0" w:color="auto"/>
        <w:left w:val="none" w:sz="0" w:space="0" w:color="auto"/>
        <w:bottom w:val="none" w:sz="0" w:space="0" w:color="auto"/>
        <w:right w:val="none" w:sz="0" w:space="0" w:color="auto"/>
      </w:divBdr>
    </w:div>
    <w:div w:id="194201584">
      <w:marLeft w:val="0"/>
      <w:marRight w:val="0"/>
      <w:marTop w:val="0"/>
      <w:marBottom w:val="0"/>
      <w:divBdr>
        <w:top w:val="none" w:sz="0" w:space="0" w:color="auto"/>
        <w:left w:val="none" w:sz="0" w:space="0" w:color="auto"/>
        <w:bottom w:val="none" w:sz="0" w:space="0" w:color="auto"/>
        <w:right w:val="none" w:sz="0" w:space="0" w:color="auto"/>
      </w:divBdr>
    </w:div>
    <w:div w:id="195432156">
      <w:marLeft w:val="0"/>
      <w:marRight w:val="0"/>
      <w:marTop w:val="0"/>
      <w:marBottom w:val="0"/>
      <w:divBdr>
        <w:top w:val="none" w:sz="0" w:space="0" w:color="auto"/>
        <w:left w:val="none" w:sz="0" w:space="0" w:color="auto"/>
        <w:bottom w:val="none" w:sz="0" w:space="0" w:color="auto"/>
        <w:right w:val="none" w:sz="0" w:space="0" w:color="auto"/>
      </w:divBdr>
    </w:div>
    <w:div w:id="198595390">
      <w:marLeft w:val="0"/>
      <w:marRight w:val="0"/>
      <w:marTop w:val="200"/>
      <w:marBottom w:val="0"/>
      <w:divBdr>
        <w:top w:val="none" w:sz="0" w:space="0" w:color="auto"/>
        <w:left w:val="none" w:sz="0" w:space="0" w:color="auto"/>
        <w:bottom w:val="none" w:sz="0" w:space="0" w:color="auto"/>
        <w:right w:val="none" w:sz="0" w:space="0" w:color="auto"/>
      </w:divBdr>
    </w:div>
    <w:div w:id="200633414">
      <w:marLeft w:val="0"/>
      <w:marRight w:val="0"/>
      <w:marTop w:val="0"/>
      <w:marBottom w:val="0"/>
      <w:divBdr>
        <w:top w:val="none" w:sz="0" w:space="0" w:color="auto"/>
        <w:left w:val="none" w:sz="0" w:space="0" w:color="auto"/>
        <w:bottom w:val="none" w:sz="0" w:space="0" w:color="auto"/>
        <w:right w:val="none" w:sz="0" w:space="0" w:color="auto"/>
      </w:divBdr>
      <w:divsChild>
        <w:div w:id="1673986912">
          <w:marLeft w:val="0"/>
          <w:marRight w:val="0"/>
          <w:marTop w:val="0"/>
          <w:marBottom w:val="0"/>
          <w:divBdr>
            <w:top w:val="none" w:sz="0" w:space="0" w:color="auto"/>
            <w:left w:val="none" w:sz="0" w:space="0" w:color="auto"/>
            <w:bottom w:val="none" w:sz="0" w:space="0" w:color="auto"/>
            <w:right w:val="none" w:sz="0" w:space="0" w:color="auto"/>
          </w:divBdr>
        </w:div>
      </w:divsChild>
    </w:div>
    <w:div w:id="201406787">
      <w:marLeft w:val="0"/>
      <w:marRight w:val="0"/>
      <w:marTop w:val="100"/>
      <w:marBottom w:val="0"/>
      <w:divBdr>
        <w:top w:val="none" w:sz="0" w:space="0" w:color="auto"/>
        <w:left w:val="none" w:sz="0" w:space="0" w:color="auto"/>
        <w:bottom w:val="none" w:sz="0" w:space="0" w:color="auto"/>
        <w:right w:val="none" w:sz="0" w:space="0" w:color="auto"/>
      </w:divBdr>
    </w:div>
    <w:div w:id="202792415">
      <w:marLeft w:val="0"/>
      <w:marRight w:val="0"/>
      <w:marTop w:val="100"/>
      <w:marBottom w:val="0"/>
      <w:divBdr>
        <w:top w:val="none" w:sz="0" w:space="0" w:color="auto"/>
        <w:left w:val="none" w:sz="0" w:space="0" w:color="auto"/>
        <w:bottom w:val="none" w:sz="0" w:space="0" w:color="auto"/>
        <w:right w:val="none" w:sz="0" w:space="0" w:color="auto"/>
      </w:divBdr>
    </w:div>
    <w:div w:id="203955281">
      <w:marLeft w:val="0"/>
      <w:marRight w:val="0"/>
      <w:marTop w:val="200"/>
      <w:marBottom w:val="0"/>
      <w:divBdr>
        <w:top w:val="none" w:sz="0" w:space="0" w:color="auto"/>
        <w:left w:val="none" w:sz="0" w:space="0" w:color="auto"/>
        <w:bottom w:val="none" w:sz="0" w:space="0" w:color="auto"/>
        <w:right w:val="none" w:sz="0" w:space="0" w:color="auto"/>
      </w:divBdr>
    </w:div>
    <w:div w:id="208224952">
      <w:marLeft w:val="0"/>
      <w:marRight w:val="0"/>
      <w:marTop w:val="0"/>
      <w:marBottom w:val="0"/>
      <w:divBdr>
        <w:top w:val="none" w:sz="0" w:space="0" w:color="auto"/>
        <w:left w:val="none" w:sz="0" w:space="0" w:color="auto"/>
        <w:bottom w:val="none" w:sz="0" w:space="0" w:color="auto"/>
        <w:right w:val="none" w:sz="0" w:space="0" w:color="auto"/>
      </w:divBdr>
      <w:divsChild>
        <w:div w:id="565995214">
          <w:marLeft w:val="0"/>
          <w:marRight w:val="0"/>
          <w:marTop w:val="0"/>
          <w:marBottom w:val="0"/>
          <w:divBdr>
            <w:top w:val="none" w:sz="0" w:space="0" w:color="auto"/>
            <w:left w:val="none" w:sz="0" w:space="0" w:color="auto"/>
            <w:bottom w:val="none" w:sz="0" w:space="0" w:color="auto"/>
            <w:right w:val="none" w:sz="0" w:space="0" w:color="auto"/>
          </w:divBdr>
        </w:div>
      </w:divsChild>
    </w:div>
    <w:div w:id="209923827">
      <w:marLeft w:val="0"/>
      <w:marRight w:val="0"/>
      <w:marTop w:val="0"/>
      <w:marBottom w:val="0"/>
      <w:divBdr>
        <w:top w:val="none" w:sz="0" w:space="0" w:color="auto"/>
        <w:left w:val="none" w:sz="0" w:space="0" w:color="auto"/>
        <w:bottom w:val="none" w:sz="0" w:space="0" w:color="auto"/>
        <w:right w:val="none" w:sz="0" w:space="0" w:color="auto"/>
      </w:divBdr>
      <w:divsChild>
        <w:div w:id="1582642110">
          <w:marLeft w:val="0"/>
          <w:marRight w:val="0"/>
          <w:marTop w:val="0"/>
          <w:marBottom w:val="0"/>
          <w:divBdr>
            <w:top w:val="none" w:sz="0" w:space="0" w:color="auto"/>
            <w:left w:val="none" w:sz="0" w:space="0" w:color="auto"/>
            <w:bottom w:val="none" w:sz="0" w:space="0" w:color="auto"/>
            <w:right w:val="none" w:sz="0" w:space="0" w:color="auto"/>
          </w:divBdr>
        </w:div>
      </w:divsChild>
    </w:div>
    <w:div w:id="209928746">
      <w:marLeft w:val="0"/>
      <w:marRight w:val="0"/>
      <w:marTop w:val="200"/>
      <w:marBottom w:val="0"/>
      <w:divBdr>
        <w:top w:val="none" w:sz="0" w:space="0" w:color="auto"/>
        <w:left w:val="none" w:sz="0" w:space="0" w:color="auto"/>
        <w:bottom w:val="none" w:sz="0" w:space="0" w:color="auto"/>
        <w:right w:val="none" w:sz="0" w:space="0" w:color="auto"/>
      </w:divBdr>
    </w:div>
    <w:div w:id="210776003">
      <w:marLeft w:val="0"/>
      <w:marRight w:val="0"/>
      <w:marTop w:val="100"/>
      <w:marBottom w:val="0"/>
      <w:divBdr>
        <w:top w:val="none" w:sz="0" w:space="0" w:color="auto"/>
        <w:left w:val="none" w:sz="0" w:space="0" w:color="auto"/>
        <w:bottom w:val="none" w:sz="0" w:space="0" w:color="auto"/>
        <w:right w:val="none" w:sz="0" w:space="0" w:color="auto"/>
      </w:divBdr>
    </w:div>
    <w:div w:id="211120408">
      <w:marLeft w:val="0"/>
      <w:marRight w:val="0"/>
      <w:marTop w:val="200"/>
      <w:marBottom w:val="0"/>
      <w:divBdr>
        <w:top w:val="none" w:sz="0" w:space="0" w:color="auto"/>
        <w:left w:val="none" w:sz="0" w:space="0" w:color="auto"/>
        <w:bottom w:val="none" w:sz="0" w:space="0" w:color="auto"/>
        <w:right w:val="none" w:sz="0" w:space="0" w:color="auto"/>
      </w:divBdr>
    </w:div>
    <w:div w:id="211380474">
      <w:marLeft w:val="0"/>
      <w:marRight w:val="0"/>
      <w:marTop w:val="200"/>
      <w:marBottom w:val="0"/>
      <w:divBdr>
        <w:top w:val="none" w:sz="0" w:space="0" w:color="auto"/>
        <w:left w:val="none" w:sz="0" w:space="0" w:color="auto"/>
        <w:bottom w:val="none" w:sz="0" w:space="0" w:color="auto"/>
        <w:right w:val="none" w:sz="0" w:space="0" w:color="auto"/>
      </w:divBdr>
    </w:div>
    <w:div w:id="212547368">
      <w:marLeft w:val="0"/>
      <w:marRight w:val="0"/>
      <w:marTop w:val="200"/>
      <w:marBottom w:val="0"/>
      <w:divBdr>
        <w:top w:val="none" w:sz="0" w:space="0" w:color="auto"/>
        <w:left w:val="none" w:sz="0" w:space="0" w:color="auto"/>
        <w:bottom w:val="none" w:sz="0" w:space="0" w:color="auto"/>
        <w:right w:val="none" w:sz="0" w:space="0" w:color="auto"/>
      </w:divBdr>
    </w:div>
    <w:div w:id="218594286">
      <w:marLeft w:val="0"/>
      <w:marRight w:val="0"/>
      <w:marTop w:val="0"/>
      <w:marBottom w:val="0"/>
      <w:divBdr>
        <w:top w:val="none" w:sz="0" w:space="0" w:color="auto"/>
        <w:left w:val="none" w:sz="0" w:space="0" w:color="auto"/>
        <w:bottom w:val="none" w:sz="0" w:space="0" w:color="auto"/>
        <w:right w:val="none" w:sz="0" w:space="0" w:color="auto"/>
      </w:divBdr>
      <w:divsChild>
        <w:div w:id="485895525">
          <w:marLeft w:val="0"/>
          <w:marRight w:val="0"/>
          <w:marTop w:val="0"/>
          <w:marBottom w:val="0"/>
          <w:divBdr>
            <w:top w:val="none" w:sz="0" w:space="0" w:color="auto"/>
            <w:left w:val="none" w:sz="0" w:space="0" w:color="auto"/>
            <w:bottom w:val="none" w:sz="0" w:space="0" w:color="auto"/>
            <w:right w:val="none" w:sz="0" w:space="0" w:color="auto"/>
          </w:divBdr>
        </w:div>
      </w:divsChild>
    </w:div>
    <w:div w:id="219245655">
      <w:marLeft w:val="0"/>
      <w:marRight w:val="0"/>
      <w:marTop w:val="0"/>
      <w:marBottom w:val="0"/>
      <w:divBdr>
        <w:top w:val="none" w:sz="0" w:space="0" w:color="auto"/>
        <w:left w:val="none" w:sz="0" w:space="0" w:color="auto"/>
        <w:bottom w:val="none" w:sz="0" w:space="0" w:color="auto"/>
        <w:right w:val="none" w:sz="0" w:space="0" w:color="auto"/>
      </w:divBdr>
    </w:div>
    <w:div w:id="221216116">
      <w:marLeft w:val="0"/>
      <w:marRight w:val="0"/>
      <w:marTop w:val="0"/>
      <w:marBottom w:val="200"/>
      <w:divBdr>
        <w:top w:val="none" w:sz="0" w:space="0" w:color="auto"/>
        <w:left w:val="none" w:sz="0" w:space="0" w:color="auto"/>
        <w:bottom w:val="none" w:sz="0" w:space="0" w:color="auto"/>
        <w:right w:val="none" w:sz="0" w:space="0" w:color="auto"/>
      </w:divBdr>
    </w:div>
    <w:div w:id="223420530">
      <w:marLeft w:val="0"/>
      <w:marRight w:val="0"/>
      <w:marTop w:val="0"/>
      <w:marBottom w:val="0"/>
      <w:divBdr>
        <w:top w:val="none" w:sz="0" w:space="0" w:color="auto"/>
        <w:left w:val="none" w:sz="0" w:space="0" w:color="auto"/>
        <w:bottom w:val="none" w:sz="0" w:space="0" w:color="auto"/>
        <w:right w:val="none" w:sz="0" w:space="0" w:color="auto"/>
      </w:divBdr>
    </w:div>
    <w:div w:id="226309402">
      <w:marLeft w:val="0"/>
      <w:marRight w:val="0"/>
      <w:marTop w:val="0"/>
      <w:marBottom w:val="0"/>
      <w:divBdr>
        <w:top w:val="none" w:sz="0" w:space="0" w:color="auto"/>
        <w:left w:val="none" w:sz="0" w:space="0" w:color="auto"/>
        <w:bottom w:val="none" w:sz="0" w:space="0" w:color="auto"/>
        <w:right w:val="none" w:sz="0" w:space="0" w:color="auto"/>
      </w:divBdr>
    </w:div>
    <w:div w:id="226845119">
      <w:marLeft w:val="0"/>
      <w:marRight w:val="0"/>
      <w:marTop w:val="0"/>
      <w:marBottom w:val="0"/>
      <w:divBdr>
        <w:top w:val="none" w:sz="0" w:space="0" w:color="auto"/>
        <w:left w:val="none" w:sz="0" w:space="0" w:color="auto"/>
        <w:bottom w:val="none" w:sz="0" w:space="0" w:color="auto"/>
        <w:right w:val="none" w:sz="0" w:space="0" w:color="auto"/>
      </w:divBdr>
      <w:divsChild>
        <w:div w:id="394201135">
          <w:marLeft w:val="0"/>
          <w:marRight w:val="0"/>
          <w:marTop w:val="0"/>
          <w:marBottom w:val="0"/>
          <w:divBdr>
            <w:top w:val="none" w:sz="0" w:space="0" w:color="auto"/>
            <w:left w:val="none" w:sz="0" w:space="0" w:color="auto"/>
            <w:bottom w:val="none" w:sz="0" w:space="0" w:color="auto"/>
            <w:right w:val="none" w:sz="0" w:space="0" w:color="auto"/>
          </w:divBdr>
        </w:div>
      </w:divsChild>
    </w:div>
    <w:div w:id="228003743">
      <w:marLeft w:val="0"/>
      <w:marRight w:val="0"/>
      <w:marTop w:val="0"/>
      <w:marBottom w:val="0"/>
      <w:divBdr>
        <w:top w:val="none" w:sz="0" w:space="0" w:color="auto"/>
        <w:left w:val="none" w:sz="0" w:space="0" w:color="auto"/>
        <w:bottom w:val="none" w:sz="0" w:space="0" w:color="auto"/>
        <w:right w:val="none" w:sz="0" w:space="0" w:color="auto"/>
      </w:divBdr>
    </w:div>
    <w:div w:id="232278514">
      <w:marLeft w:val="0"/>
      <w:marRight w:val="0"/>
      <w:marTop w:val="200"/>
      <w:marBottom w:val="0"/>
      <w:divBdr>
        <w:top w:val="none" w:sz="0" w:space="0" w:color="auto"/>
        <w:left w:val="none" w:sz="0" w:space="0" w:color="auto"/>
        <w:bottom w:val="none" w:sz="0" w:space="0" w:color="auto"/>
        <w:right w:val="none" w:sz="0" w:space="0" w:color="auto"/>
      </w:divBdr>
    </w:div>
    <w:div w:id="232742890">
      <w:marLeft w:val="0"/>
      <w:marRight w:val="0"/>
      <w:marTop w:val="200"/>
      <w:marBottom w:val="0"/>
      <w:divBdr>
        <w:top w:val="none" w:sz="0" w:space="0" w:color="auto"/>
        <w:left w:val="none" w:sz="0" w:space="0" w:color="auto"/>
        <w:bottom w:val="none" w:sz="0" w:space="0" w:color="auto"/>
        <w:right w:val="none" w:sz="0" w:space="0" w:color="auto"/>
      </w:divBdr>
    </w:div>
    <w:div w:id="233047513">
      <w:marLeft w:val="0"/>
      <w:marRight w:val="0"/>
      <w:marTop w:val="200"/>
      <w:marBottom w:val="0"/>
      <w:divBdr>
        <w:top w:val="none" w:sz="0" w:space="0" w:color="auto"/>
        <w:left w:val="none" w:sz="0" w:space="0" w:color="auto"/>
        <w:bottom w:val="none" w:sz="0" w:space="0" w:color="auto"/>
        <w:right w:val="none" w:sz="0" w:space="0" w:color="auto"/>
      </w:divBdr>
    </w:div>
    <w:div w:id="235630209">
      <w:marLeft w:val="0"/>
      <w:marRight w:val="0"/>
      <w:marTop w:val="0"/>
      <w:marBottom w:val="0"/>
      <w:divBdr>
        <w:top w:val="none" w:sz="0" w:space="0" w:color="auto"/>
        <w:left w:val="none" w:sz="0" w:space="0" w:color="auto"/>
        <w:bottom w:val="none" w:sz="0" w:space="0" w:color="auto"/>
        <w:right w:val="none" w:sz="0" w:space="0" w:color="auto"/>
      </w:divBdr>
      <w:divsChild>
        <w:div w:id="1037127205">
          <w:marLeft w:val="0"/>
          <w:marRight w:val="0"/>
          <w:marTop w:val="0"/>
          <w:marBottom w:val="0"/>
          <w:divBdr>
            <w:top w:val="none" w:sz="0" w:space="0" w:color="auto"/>
            <w:left w:val="none" w:sz="0" w:space="0" w:color="auto"/>
            <w:bottom w:val="none" w:sz="0" w:space="0" w:color="auto"/>
            <w:right w:val="none" w:sz="0" w:space="0" w:color="auto"/>
          </w:divBdr>
        </w:div>
      </w:divsChild>
    </w:div>
    <w:div w:id="238101191">
      <w:marLeft w:val="0"/>
      <w:marRight w:val="0"/>
      <w:marTop w:val="0"/>
      <w:marBottom w:val="0"/>
      <w:divBdr>
        <w:top w:val="none" w:sz="0" w:space="0" w:color="auto"/>
        <w:left w:val="none" w:sz="0" w:space="0" w:color="auto"/>
        <w:bottom w:val="none" w:sz="0" w:space="0" w:color="auto"/>
        <w:right w:val="none" w:sz="0" w:space="0" w:color="auto"/>
      </w:divBdr>
      <w:divsChild>
        <w:div w:id="48187567">
          <w:marLeft w:val="0"/>
          <w:marRight w:val="0"/>
          <w:marTop w:val="0"/>
          <w:marBottom w:val="0"/>
          <w:divBdr>
            <w:top w:val="none" w:sz="0" w:space="0" w:color="auto"/>
            <w:left w:val="none" w:sz="0" w:space="0" w:color="auto"/>
            <w:bottom w:val="none" w:sz="0" w:space="0" w:color="auto"/>
            <w:right w:val="none" w:sz="0" w:space="0" w:color="auto"/>
          </w:divBdr>
        </w:div>
      </w:divsChild>
    </w:div>
    <w:div w:id="240914322">
      <w:marLeft w:val="0"/>
      <w:marRight w:val="0"/>
      <w:marTop w:val="0"/>
      <w:marBottom w:val="0"/>
      <w:divBdr>
        <w:top w:val="none" w:sz="0" w:space="0" w:color="auto"/>
        <w:left w:val="none" w:sz="0" w:space="0" w:color="auto"/>
        <w:bottom w:val="none" w:sz="0" w:space="0" w:color="auto"/>
        <w:right w:val="none" w:sz="0" w:space="0" w:color="auto"/>
      </w:divBdr>
    </w:div>
    <w:div w:id="243731989">
      <w:marLeft w:val="0"/>
      <w:marRight w:val="0"/>
      <w:marTop w:val="0"/>
      <w:marBottom w:val="0"/>
      <w:divBdr>
        <w:top w:val="none" w:sz="0" w:space="0" w:color="auto"/>
        <w:left w:val="none" w:sz="0" w:space="0" w:color="auto"/>
        <w:bottom w:val="none" w:sz="0" w:space="0" w:color="auto"/>
        <w:right w:val="none" w:sz="0" w:space="0" w:color="auto"/>
      </w:divBdr>
    </w:div>
    <w:div w:id="246422809">
      <w:marLeft w:val="0"/>
      <w:marRight w:val="0"/>
      <w:marTop w:val="0"/>
      <w:marBottom w:val="0"/>
      <w:divBdr>
        <w:top w:val="none" w:sz="0" w:space="0" w:color="auto"/>
        <w:left w:val="none" w:sz="0" w:space="0" w:color="auto"/>
        <w:bottom w:val="none" w:sz="0" w:space="0" w:color="auto"/>
        <w:right w:val="none" w:sz="0" w:space="0" w:color="auto"/>
      </w:divBdr>
    </w:div>
    <w:div w:id="246964080">
      <w:marLeft w:val="0"/>
      <w:marRight w:val="0"/>
      <w:marTop w:val="0"/>
      <w:marBottom w:val="160"/>
      <w:divBdr>
        <w:top w:val="none" w:sz="0" w:space="0" w:color="auto"/>
        <w:left w:val="none" w:sz="0" w:space="0" w:color="auto"/>
        <w:bottom w:val="none" w:sz="0" w:space="0" w:color="auto"/>
        <w:right w:val="none" w:sz="0" w:space="0" w:color="auto"/>
      </w:divBdr>
    </w:div>
    <w:div w:id="247664265">
      <w:marLeft w:val="0"/>
      <w:marRight w:val="0"/>
      <w:marTop w:val="200"/>
      <w:marBottom w:val="0"/>
      <w:divBdr>
        <w:top w:val="none" w:sz="0" w:space="0" w:color="auto"/>
        <w:left w:val="none" w:sz="0" w:space="0" w:color="auto"/>
        <w:bottom w:val="none" w:sz="0" w:space="0" w:color="auto"/>
        <w:right w:val="none" w:sz="0" w:space="0" w:color="auto"/>
      </w:divBdr>
    </w:div>
    <w:div w:id="248080568">
      <w:marLeft w:val="0"/>
      <w:marRight w:val="0"/>
      <w:marTop w:val="200"/>
      <w:marBottom w:val="0"/>
      <w:divBdr>
        <w:top w:val="none" w:sz="0" w:space="0" w:color="auto"/>
        <w:left w:val="none" w:sz="0" w:space="0" w:color="auto"/>
        <w:bottom w:val="none" w:sz="0" w:space="0" w:color="auto"/>
        <w:right w:val="none" w:sz="0" w:space="0" w:color="auto"/>
      </w:divBdr>
    </w:div>
    <w:div w:id="251015563">
      <w:marLeft w:val="0"/>
      <w:marRight w:val="0"/>
      <w:marTop w:val="200"/>
      <w:marBottom w:val="0"/>
      <w:divBdr>
        <w:top w:val="none" w:sz="0" w:space="0" w:color="auto"/>
        <w:left w:val="none" w:sz="0" w:space="0" w:color="auto"/>
        <w:bottom w:val="none" w:sz="0" w:space="0" w:color="auto"/>
        <w:right w:val="none" w:sz="0" w:space="0" w:color="auto"/>
      </w:divBdr>
    </w:div>
    <w:div w:id="251550517">
      <w:marLeft w:val="0"/>
      <w:marRight w:val="0"/>
      <w:marTop w:val="0"/>
      <w:marBottom w:val="0"/>
      <w:divBdr>
        <w:top w:val="none" w:sz="0" w:space="0" w:color="auto"/>
        <w:left w:val="none" w:sz="0" w:space="0" w:color="auto"/>
        <w:bottom w:val="none" w:sz="0" w:space="0" w:color="auto"/>
        <w:right w:val="none" w:sz="0" w:space="0" w:color="auto"/>
      </w:divBdr>
      <w:divsChild>
        <w:div w:id="847212546">
          <w:marLeft w:val="0"/>
          <w:marRight w:val="0"/>
          <w:marTop w:val="0"/>
          <w:marBottom w:val="0"/>
          <w:divBdr>
            <w:top w:val="none" w:sz="0" w:space="0" w:color="auto"/>
            <w:left w:val="none" w:sz="0" w:space="0" w:color="auto"/>
            <w:bottom w:val="none" w:sz="0" w:space="0" w:color="auto"/>
            <w:right w:val="none" w:sz="0" w:space="0" w:color="auto"/>
          </w:divBdr>
        </w:div>
        <w:div w:id="346753028">
          <w:marLeft w:val="0"/>
          <w:marRight w:val="0"/>
          <w:marTop w:val="0"/>
          <w:marBottom w:val="0"/>
          <w:divBdr>
            <w:top w:val="none" w:sz="0" w:space="0" w:color="auto"/>
            <w:left w:val="none" w:sz="0" w:space="0" w:color="auto"/>
            <w:bottom w:val="none" w:sz="0" w:space="0" w:color="auto"/>
            <w:right w:val="none" w:sz="0" w:space="0" w:color="auto"/>
          </w:divBdr>
        </w:div>
        <w:div w:id="306251259">
          <w:marLeft w:val="0"/>
          <w:marRight w:val="0"/>
          <w:marTop w:val="0"/>
          <w:marBottom w:val="0"/>
          <w:divBdr>
            <w:top w:val="none" w:sz="0" w:space="0" w:color="auto"/>
            <w:left w:val="none" w:sz="0" w:space="0" w:color="auto"/>
            <w:bottom w:val="none" w:sz="0" w:space="0" w:color="auto"/>
            <w:right w:val="none" w:sz="0" w:space="0" w:color="auto"/>
          </w:divBdr>
        </w:div>
        <w:div w:id="1762219578">
          <w:marLeft w:val="0"/>
          <w:marRight w:val="0"/>
          <w:marTop w:val="0"/>
          <w:marBottom w:val="0"/>
          <w:divBdr>
            <w:top w:val="none" w:sz="0" w:space="0" w:color="auto"/>
            <w:left w:val="none" w:sz="0" w:space="0" w:color="auto"/>
            <w:bottom w:val="none" w:sz="0" w:space="0" w:color="auto"/>
            <w:right w:val="none" w:sz="0" w:space="0" w:color="auto"/>
          </w:divBdr>
        </w:div>
      </w:divsChild>
    </w:div>
    <w:div w:id="253710179">
      <w:marLeft w:val="0"/>
      <w:marRight w:val="0"/>
      <w:marTop w:val="100"/>
      <w:marBottom w:val="0"/>
      <w:divBdr>
        <w:top w:val="none" w:sz="0" w:space="0" w:color="auto"/>
        <w:left w:val="none" w:sz="0" w:space="0" w:color="auto"/>
        <w:bottom w:val="none" w:sz="0" w:space="0" w:color="auto"/>
        <w:right w:val="none" w:sz="0" w:space="0" w:color="auto"/>
      </w:divBdr>
    </w:div>
    <w:div w:id="253904210">
      <w:marLeft w:val="0"/>
      <w:marRight w:val="0"/>
      <w:marTop w:val="0"/>
      <w:marBottom w:val="0"/>
      <w:divBdr>
        <w:top w:val="none" w:sz="0" w:space="0" w:color="auto"/>
        <w:left w:val="none" w:sz="0" w:space="0" w:color="auto"/>
        <w:bottom w:val="none" w:sz="0" w:space="0" w:color="auto"/>
        <w:right w:val="none" w:sz="0" w:space="0" w:color="auto"/>
      </w:divBdr>
    </w:div>
    <w:div w:id="255213953">
      <w:marLeft w:val="0"/>
      <w:marRight w:val="0"/>
      <w:marTop w:val="200"/>
      <w:marBottom w:val="0"/>
      <w:divBdr>
        <w:top w:val="none" w:sz="0" w:space="0" w:color="auto"/>
        <w:left w:val="none" w:sz="0" w:space="0" w:color="auto"/>
        <w:bottom w:val="none" w:sz="0" w:space="0" w:color="auto"/>
        <w:right w:val="none" w:sz="0" w:space="0" w:color="auto"/>
      </w:divBdr>
    </w:div>
    <w:div w:id="258831945">
      <w:marLeft w:val="0"/>
      <w:marRight w:val="0"/>
      <w:marTop w:val="200"/>
      <w:marBottom w:val="0"/>
      <w:divBdr>
        <w:top w:val="none" w:sz="0" w:space="0" w:color="auto"/>
        <w:left w:val="none" w:sz="0" w:space="0" w:color="auto"/>
        <w:bottom w:val="none" w:sz="0" w:space="0" w:color="auto"/>
        <w:right w:val="none" w:sz="0" w:space="0" w:color="auto"/>
      </w:divBdr>
    </w:div>
    <w:div w:id="259457321">
      <w:marLeft w:val="0"/>
      <w:marRight w:val="0"/>
      <w:marTop w:val="200"/>
      <w:marBottom w:val="0"/>
      <w:divBdr>
        <w:top w:val="none" w:sz="0" w:space="0" w:color="auto"/>
        <w:left w:val="none" w:sz="0" w:space="0" w:color="auto"/>
        <w:bottom w:val="none" w:sz="0" w:space="0" w:color="auto"/>
        <w:right w:val="none" w:sz="0" w:space="0" w:color="auto"/>
      </w:divBdr>
    </w:div>
    <w:div w:id="260114926">
      <w:marLeft w:val="0"/>
      <w:marRight w:val="0"/>
      <w:marTop w:val="0"/>
      <w:marBottom w:val="0"/>
      <w:divBdr>
        <w:top w:val="none" w:sz="0" w:space="0" w:color="auto"/>
        <w:left w:val="none" w:sz="0" w:space="0" w:color="auto"/>
        <w:bottom w:val="none" w:sz="0" w:space="0" w:color="auto"/>
        <w:right w:val="none" w:sz="0" w:space="0" w:color="auto"/>
      </w:divBdr>
    </w:div>
    <w:div w:id="260575828">
      <w:marLeft w:val="0"/>
      <w:marRight w:val="0"/>
      <w:marTop w:val="200"/>
      <w:marBottom w:val="0"/>
      <w:divBdr>
        <w:top w:val="none" w:sz="0" w:space="0" w:color="auto"/>
        <w:left w:val="none" w:sz="0" w:space="0" w:color="auto"/>
        <w:bottom w:val="none" w:sz="0" w:space="0" w:color="auto"/>
        <w:right w:val="none" w:sz="0" w:space="0" w:color="auto"/>
      </w:divBdr>
    </w:div>
    <w:div w:id="265188868">
      <w:marLeft w:val="0"/>
      <w:marRight w:val="0"/>
      <w:marTop w:val="180"/>
      <w:marBottom w:val="0"/>
      <w:divBdr>
        <w:top w:val="none" w:sz="0" w:space="0" w:color="auto"/>
        <w:left w:val="none" w:sz="0" w:space="0" w:color="auto"/>
        <w:bottom w:val="none" w:sz="0" w:space="0" w:color="auto"/>
        <w:right w:val="none" w:sz="0" w:space="0" w:color="auto"/>
      </w:divBdr>
    </w:div>
    <w:div w:id="266237939">
      <w:marLeft w:val="0"/>
      <w:marRight w:val="0"/>
      <w:marTop w:val="0"/>
      <w:marBottom w:val="200"/>
      <w:divBdr>
        <w:top w:val="none" w:sz="0" w:space="0" w:color="auto"/>
        <w:left w:val="none" w:sz="0" w:space="0" w:color="auto"/>
        <w:bottom w:val="none" w:sz="0" w:space="0" w:color="auto"/>
        <w:right w:val="none" w:sz="0" w:space="0" w:color="auto"/>
      </w:divBdr>
    </w:div>
    <w:div w:id="267544895">
      <w:marLeft w:val="0"/>
      <w:marRight w:val="0"/>
      <w:marTop w:val="0"/>
      <w:marBottom w:val="0"/>
      <w:divBdr>
        <w:top w:val="none" w:sz="0" w:space="0" w:color="auto"/>
        <w:left w:val="none" w:sz="0" w:space="0" w:color="auto"/>
        <w:bottom w:val="none" w:sz="0" w:space="0" w:color="auto"/>
        <w:right w:val="none" w:sz="0" w:space="0" w:color="auto"/>
      </w:divBdr>
      <w:divsChild>
        <w:div w:id="1063599359">
          <w:marLeft w:val="0"/>
          <w:marRight w:val="0"/>
          <w:marTop w:val="0"/>
          <w:marBottom w:val="0"/>
          <w:divBdr>
            <w:top w:val="none" w:sz="0" w:space="0" w:color="auto"/>
            <w:left w:val="none" w:sz="0" w:space="0" w:color="auto"/>
            <w:bottom w:val="none" w:sz="0" w:space="0" w:color="auto"/>
            <w:right w:val="none" w:sz="0" w:space="0" w:color="auto"/>
          </w:divBdr>
        </w:div>
      </w:divsChild>
    </w:div>
    <w:div w:id="269506568">
      <w:marLeft w:val="0"/>
      <w:marRight w:val="0"/>
      <w:marTop w:val="0"/>
      <w:marBottom w:val="0"/>
      <w:divBdr>
        <w:top w:val="none" w:sz="0" w:space="0" w:color="auto"/>
        <w:left w:val="none" w:sz="0" w:space="0" w:color="auto"/>
        <w:bottom w:val="none" w:sz="0" w:space="0" w:color="auto"/>
        <w:right w:val="none" w:sz="0" w:space="0" w:color="auto"/>
      </w:divBdr>
    </w:div>
    <w:div w:id="273947348">
      <w:marLeft w:val="0"/>
      <w:marRight w:val="0"/>
      <w:marTop w:val="200"/>
      <w:marBottom w:val="0"/>
      <w:divBdr>
        <w:top w:val="none" w:sz="0" w:space="0" w:color="auto"/>
        <w:left w:val="none" w:sz="0" w:space="0" w:color="auto"/>
        <w:bottom w:val="none" w:sz="0" w:space="0" w:color="auto"/>
        <w:right w:val="none" w:sz="0" w:space="0" w:color="auto"/>
      </w:divBdr>
    </w:div>
    <w:div w:id="280461002">
      <w:marLeft w:val="0"/>
      <w:marRight w:val="0"/>
      <w:marTop w:val="0"/>
      <w:marBottom w:val="0"/>
      <w:divBdr>
        <w:top w:val="none" w:sz="0" w:space="0" w:color="auto"/>
        <w:left w:val="none" w:sz="0" w:space="0" w:color="auto"/>
        <w:bottom w:val="none" w:sz="0" w:space="0" w:color="auto"/>
        <w:right w:val="none" w:sz="0" w:space="0" w:color="auto"/>
      </w:divBdr>
      <w:divsChild>
        <w:div w:id="124857898">
          <w:marLeft w:val="0"/>
          <w:marRight w:val="0"/>
          <w:marTop w:val="0"/>
          <w:marBottom w:val="0"/>
          <w:divBdr>
            <w:top w:val="none" w:sz="0" w:space="0" w:color="auto"/>
            <w:left w:val="none" w:sz="0" w:space="0" w:color="auto"/>
            <w:bottom w:val="none" w:sz="0" w:space="0" w:color="auto"/>
            <w:right w:val="none" w:sz="0" w:space="0" w:color="auto"/>
          </w:divBdr>
        </w:div>
      </w:divsChild>
    </w:div>
    <w:div w:id="280496042">
      <w:marLeft w:val="0"/>
      <w:marRight w:val="0"/>
      <w:marTop w:val="0"/>
      <w:marBottom w:val="0"/>
      <w:divBdr>
        <w:top w:val="none" w:sz="0" w:space="0" w:color="auto"/>
        <w:left w:val="none" w:sz="0" w:space="0" w:color="auto"/>
        <w:bottom w:val="none" w:sz="0" w:space="0" w:color="auto"/>
        <w:right w:val="none" w:sz="0" w:space="0" w:color="auto"/>
      </w:divBdr>
    </w:div>
    <w:div w:id="282343241">
      <w:marLeft w:val="0"/>
      <w:marRight w:val="0"/>
      <w:marTop w:val="200"/>
      <w:marBottom w:val="0"/>
      <w:divBdr>
        <w:top w:val="none" w:sz="0" w:space="0" w:color="auto"/>
        <w:left w:val="none" w:sz="0" w:space="0" w:color="auto"/>
        <w:bottom w:val="none" w:sz="0" w:space="0" w:color="auto"/>
        <w:right w:val="none" w:sz="0" w:space="0" w:color="auto"/>
      </w:divBdr>
    </w:div>
    <w:div w:id="282614133">
      <w:marLeft w:val="0"/>
      <w:marRight w:val="0"/>
      <w:marTop w:val="0"/>
      <w:marBottom w:val="0"/>
      <w:divBdr>
        <w:top w:val="none" w:sz="0" w:space="0" w:color="auto"/>
        <w:left w:val="none" w:sz="0" w:space="0" w:color="auto"/>
        <w:bottom w:val="none" w:sz="0" w:space="0" w:color="auto"/>
        <w:right w:val="none" w:sz="0" w:space="0" w:color="auto"/>
      </w:divBdr>
      <w:divsChild>
        <w:div w:id="685908451">
          <w:marLeft w:val="0"/>
          <w:marRight w:val="0"/>
          <w:marTop w:val="0"/>
          <w:marBottom w:val="0"/>
          <w:divBdr>
            <w:top w:val="none" w:sz="0" w:space="0" w:color="auto"/>
            <w:left w:val="none" w:sz="0" w:space="0" w:color="auto"/>
            <w:bottom w:val="none" w:sz="0" w:space="0" w:color="auto"/>
            <w:right w:val="none" w:sz="0" w:space="0" w:color="auto"/>
          </w:divBdr>
        </w:div>
        <w:div w:id="151332248">
          <w:marLeft w:val="0"/>
          <w:marRight w:val="0"/>
          <w:marTop w:val="0"/>
          <w:marBottom w:val="0"/>
          <w:divBdr>
            <w:top w:val="none" w:sz="0" w:space="0" w:color="auto"/>
            <w:left w:val="none" w:sz="0" w:space="0" w:color="auto"/>
            <w:bottom w:val="none" w:sz="0" w:space="0" w:color="auto"/>
            <w:right w:val="none" w:sz="0" w:space="0" w:color="auto"/>
          </w:divBdr>
        </w:div>
        <w:div w:id="1347361818">
          <w:marLeft w:val="0"/>
          <w:marRight w:val="0"/>
          <w:marTop w:val="0"/>
          <w:marBottom w:val="0"/>
          <w:divBdr>
            <w:top w:val="none" w:sz="0" w:space="0" w:color="auto"/>
            <w:left w:val="none" w:sz="0" w:space="0" w:color="auto"/>
            <w:bottom w:val="none" w:sz="0" w:space="0" w:color="auto"/>
            <w:right w:val="none" w:sz="0" w:space="0" w:color="auto"/>
          </w:divBdr>
        </w:div>
        <w:div w:id="493452310">
          <w:marLeft w:val="0"/>
          <w:marRight w:val="0"/>
          <w:marTop w:val="0"/>
          <w:marBottom w:val="0"/>
          <w:divBdr>
            <w:top w:val="none" w:sz="0" w:space="0" w:color="auto"/>
            <w:left w:val="none" w:sz="0" w:space="0" w:color="auto"/>
            <w:bottom w:val="none" w:sz="0" w:space="0" w:color="auto"/>
            <w:right w:val="none" w:sz="0" w:space="0" w:color="auto"/>
          </w:divBdr>
        </w:div>
      </w:divsChild>
    </w:div>
    <w:div w:id="283582023">
      <w:marLeft w:val="0"/>
      <w:marRight w:val="0"/>
      <w:marTop w:val="0"/>
      <w:marBottom w:val="0"/>
      <w:divBdr>
        <w:top w:val="none" w:sz="0" w:space="0" w:color="auto"/>
        <w:left w:val="none" w:sz="0" w:space="0" w:color="auto"/>
        <w:bottom w:val="none" w:sz="0" w:space="0" w:color="auto"/>
        <w:right w:val="none" w:sz="0" w:space="0" w:color="auto"/>
      </w:divBdr>
      <w:divsChild>
        <w:div w:id="407070888">
          <w:marLeft w:val="0"/>
          <w:marRight w:val="0"/>
          <w:marTop w:val="0"/>
          <w:marBottom w:val="0"/>
          <w:divBdr>
            <w:top w:val="none" w:sz="0" w:space="0" w:color="auto"/>
            <w:left w:val="none" w:sz="0" w:space="0" w:color="auto"/>
            <w:bottom w:val="none" w:sz="0" w:space="0" w:color="auto"/>
            <w:right w:val="none" w:sz="0" w:space="0" w:color="auto"/>
          </w:divBdr>
        </w:div>
      </w:divsChild>
    </w:div>
    <w:div w:id="283729632">
      <w:marLeft w:val="0"/>
      <w:marRight w:val="0"/>
      <w:marTop w:val="0"/>
      <w:marBottom w:val="0"/>
      <w:divBdr>
        <w:top w:val="none" w:sz="0" w:space="0" w:color="auto"/>
        <w:left w:val="none" w:sz="0" w:space="0" w:color="auto"/>
        <w:bottom w:val="none" w:sz="0" w:space="0" w:color="auto"/>
        <w:right w:val="none" w:sz="0" w:space="0" w:color="auto"/>
      </w:divBdr>
      <w:divsChild>
        <w:div w:id="2108697383">
          <w:marLeft w:val="0"/>
          <w:marRight w:val="0"/>
          <w:marTop w:val="0"/>
          <w:marBottom w:val="0"/>
          <w:divBdr>
            <w:top w:val="none" w:sz="0" w:space="0" w:color="auto"/>
            <w:left w:val="none" w:sz="0" w:space="0" w:color="auto"/>
            <w:bottom w:val="none" w:sz="0" w:space="0" w:color="auto"/>
            <w:right w:val="none" w:sz="0" w:space="0" w:color="auto"/>
          </w:divBdr>
        </w:div>
      </w:divsChild>
    </w:div>
    <w:div w:id="284192837">
      <w:marLeft w:val="0"/>
      <w:marRight w:val="0"/>
      <w:marTop w:val="200"/>
      <w:marBottom w:val="0"/>
      <w:divBdr>
        <w:top w:val="none" w:sz="0" w:space="0" w:color="auto"/>
        <w:left w:val="none" w:sz="0" w:space="0" w:color="auto"/>
        <w:bottom w:val="none" w:sz="0" w:space="0" w:color="auto"/>
        <w:right w:val="none" w:sz="0" w:space="0" w:color="auto"/>
      </w:divBdr>
    </w:div>
    <w:div w:id="286161885">
      <w:marLeft w:val="0"/>
      <w:marRight w:val="0"/>
      <w:marTop w:val="120"/>
      <w:marBottom w:val="0"/>
      <w:divBdr>
        <w:top w:val="none" w:sz="0" w:space="0" w:color="auto"/>
        <w:left w:val="none" w:sz="0" w:space="0" w:color="auto"/>
        <w:bottom w:val="none" w:sz="0" w:space="0" w:color="auto"/>
        <w:right w:val="none" w:sz="0" w:space="0" w:color="auto"/>
      </w:divBdr>
    </w:div>
    <w:div w:id="286817319">
      <w:marLeft w:val="0"/>
      <w:marRight w:val="0"/>
      <w:marTop w:val="200"/>
      <w:marBottom w:val="0"/>
      <w:divBdr>
        <w:top w:val="none" w:sz="0" w:space="0" w:color="auto"/>
        <w:left w:val="none" w:sz="0" w:space="0" w:color="auto"/>
        <w:bottom w:val="none" w:sz="0" w:space="0" w:color="auto"/>
        <w:right w:val="none" w:sz="0" w:space="0" w:color="auto"/>
      </w:divBdr>
    </w:div>
    <w:div w:id="288359239">
      <w:marLeft w:val="0"/>
      <w:marRight w:val="0"/>
      <w:marTop w:val="0"/>
      <w:marBottom w:val="0"/>
      <w:divBdr>
        <w:top w:val="none" w:sz="0" w:space="0" w:color="auto"/>
        <w:left w:val="none" w:sz="0" w:space="0" w:color="auto"/>
        <w:bottom w:val="none" w:sz="0" w:space="0" w:color="auto"/>
        <w:right w:val="none" w:sz="0" w:space="0" w:color="auto"/>
      </w:divBdr>
      <w:divsChild>
        <w:div w:id="1706716535">
          <w:marLeft w:val="0"/>
          <w:marRight w:val="0"/>
          <w:marTop w:val="0"/>
          <w:marBottom w:val="0"/>
          <w:divBdr>
            <w:top w:val="none" w:sz="0" w:space="0" w:color="auto"/>
            <w:left w:val="none" w:sz="0" w:space="0" w:color="auto"/>
            <w:bottom w:val="none" w:sz="0" w:space="0" w:color="auto"/>
            <w:right w:val="none" w:sz="0" w:space="0" w:color="auto"/>
          </w:divBdr>
        </w:div>
      </w:divsChild>
    </w:div>
    <w:div w:id="288518276">
      <w:marLeft w:val="0"/>
      <w:marRight w:val="0"/>
      <w:marTop w:val="200"/>
      <w:marBottom w:val="0"/>
      <w:divBdr>
        <w:top w:val="none" w:sz="0" w:space="0" w:color="auto"/>
        <w:left w:val="none" w:sz="0" w:space="0" w:color="auto"/>
        <w:bottom w:val="none" w:sz="0" w:space="0" w:color="auto"/>
        <w:right w:val="none" w:sz="0" w:space="0" w:color="auto"/>
      </w:divBdr>
    </w:div>
    <w:div w:id="288707874">
      <w:marLeft w:val="0"/>
      <w:marRight w:val="0"/>
      <w:marTop w:val="200"/>
      <w:marBottom w:val="0"/>
      <w:divBdr>
        <w:top w:val="none" w:sz="0" w:space="0" w:color="auto"/>
        <w:left w:val="none" w:sz="0" w:space="0" w:color="auto"/>
        <w:bottom w:val="none" w:sz="0" w:space="0" w:color="auto"/>
        <w:right w:val="none" w:sz="0" w:space="0" w:color="auto"/>
      </w:divBdr>
    </w:div>
    <w:div w:id="291791038">
      <w:marLeft w:val="0"/>
      <w:marRight w:val="0"/>
      <w:marTop w:val="200"/>
      <w:marBottom w:val="0"/>
      <w:divBdr>
        <w:top w:val="none" w:sz="0" w:space="0" w:color="auto"/>
        <w:left w:val="none" w:sz="0" w:space="0" w:color="auto"/>
        <w:bottom w:val="none" w:sz="0" w:space="0" w:color="auto"/>
        <w:right w:val="none" w:sz="0" w:space="0" w:color="auto"/>
      </w:divBdr>
    </w:div>
    <w:div w:id="294796973">
      <w:marLeft w:val="0"/>
      <w:marRight w:val="0"/>
      <w:marTop w:val="200"/>
      <w:marBottom w:val="0"/>
      <w:divBdr>
        <w:top w:val="none" w:sz="0" w:space="0" w:color="auto"/>
        <w:left w:val="none" w:sz="0" w:space="0" w:color="auto"/>
        <w:bottom w:val="none" w:sz="0" w:space="0" w:color="auto"/>
        <w:right w:val="none" w:sz="0" w:space="0" w:color="auto"/>
      </w:divBdr>
    </w:div>
    <w:div w:id="294993843">
      <w:marLeft w:val="0"/>
      <w:marRight w:val="0"/>
      <w:marTop w:val="200"/>
      <w:marBottom w:val="200"/>
      <w:divBdr>
        <w:top w:val="none" w:sz="0" w:space="0" w:color="auto"/>
        <w:left w:val="none" w:sz="0" w:space="0" w:color="auto"/>
        <w:bottom w:val="none" w:sz="0" w:space="0" w:color="auto"/>
        <w:right w:val="none" w:sz="0" w:space="0" w:color="auto"/>
      </w:divBdr>
    </w:div>
    <w:div w:id="297147907">
      <w:marLeft w:val="0"/>
      <w:marRight w:val="0"/>
      <w:marTop w:val="100"/>
      <w:marBottom w:val="0"/>
      <w:divBdr>
        <w:top w:val="none" w:sz="0" w:space="0" w:color="auto"/>
        <w:left w:val="none" w:sz="0" w:space="0" w:color="auto"/>
        <w:bottom w:val="none" w:sz="0" w:space="0" w:color="auto"/>
        <w:right w:val="none" w:sz="0" w:space="0" w:color="auto"/>
      </w:divBdr>
    </w:div>
    <w:div w:id="297228905">
      <w:marLeft w:val="0"/>
      <w:marRight w:val="0"/>
      <w:marTop w:val="0"/>
      <w:marBottom w:val="0"/>
      <w:divBdr>
        <w:top w:val="none" w:sz="0" w:space="0" w:color="auto"/>
        <w:left w:val="none" w:sz="0" w:space="0" w:color="auto"/>
        <w:bottom w:val="none" w:sz="0" w:space="0" w:color="auto"/>
        <w:right w:val="none" w:sz="0" w:space="0" w:color="auto"/>
      </w:divBdr>
    </w:div>
    <w:div w:id="298606826">
      <w:marLeft w:val="0"/>
      <w:marRight w:val="0"/>
      <w:marTop w:val="0"/>
      <w:marBottom w:val="0"/>
      <w:divBdr>
        <w:top w:val="none" w:sz="0" w:space="0" w:color="auto"/>
        <w:left w:val="none" w:sz="0" w:space="0" w:color="auto"/>
        <w:bottom w:val="none" w:sz="0" w:space="0" w:color="auto"/>
        <w:right w:val="none" w:sz="0" w:space="0" w:color="auto"/>
      </w:divBdr>
    </w:div>
    <w:div w:id="299841790">
      <w:marLeft w:val="0"/>
      <w:marRight w:val="0"/>
      <w:marTop w:val="0"/>
      <w:marBottom w:val="0"/>
      <w:divBdr>
        <w:top w:val="none" w:sz="0" w:space="0" w:color="auto"/>
        <w:left w:val="none" w:sz="0" w:space="0" w:color="auto"/>
        <w:bottom w:val="none" w:sz="0" w:space="0" w:color="auto"/>
        <w:right w:val="none" w:sz="0" w:space="0" w:color="auto"/>
      </w:divBdr>
    </w:div>
    <w:div w:id="300309259">
      <w:marLeft w:val="0"/>
      <w:marRight w:val="0"/>
      <w:marTop w:val="200"/>
      <w:marBottom w:val="0"/>
      <w:divBdr>
        <w:top w:val="none" w:sz="0" w:space="0" w:color="auto"/>
        <w:left w:val="none" w:sz="0" w:space="0" w:color="auto"/>
        <w:bottom w:val="none" w:sz="0" w:space="0" w:color="auto"/>
        <w:right w:val="none" w:sz="0" w:space="0" w:color="auto"/>
      </w:divBdr>
    </w:div>
    <w:div w:id="300890826">
      <w:marLeft w:val="0"/>
      <w:marRight w:val="0"/>
      <w:marTop w:val="0"/>
      <w:marBottom w:val="0"/>
      <w:divBdr>
        <w:top w:val="none" w:sz="0" w:space="0" w:color="auto"/>
        <w:left w:val="none" w:sz="0" w:space="0" w:color="auto"/>
        <w:bottom w:val="none" w:sz="0" w:space="0" w:color="auto"/>
        <w:right w:val="none" w:sz="0" w:space="0" w:color="auto"/>
      </w:divBdr>
    </w:div>
    <w:div w:id="301884735">
      <w:marLeft w:val="0"/>
      <w:marRight w:val="0"/>
      <w:marTop w:val="0"/>
      <w:marBottom w:val="0"/>
      <w:divBdr>
        <w:top w:val="none" w:sz="0" w:space="0" w:color="auto"/>
        <w:left w:val="none" w:sz="0" w:space="0" w:color="auto"/>
        <w:bottom w:val="none" w:sz="0" w:space="0" w:color="auto"/>
        <w:right w:val="none" w:sz="0" w:space="0" w:color="auto"/>
      </w:divBdr>
    </w:div>
    <w:div w:id="302470697">
      <w:marLeft w:val="0"/>
      <w:marRight w:val="0"/>
      <w:marTop w:val="0"/>
      <w:marBottom w:val="0"/>
      <w:divBdr>
        <w:top w:val="none" w:sz="0" w:space="0" w:color="auto"/>
        <w:left w:val="none" w:sz="0" w:space="0" w:color="auto"/>
        <w:bottom w:val="none" w:sz="0" w:space="0" w:color="auto"/>
        <w:right w:val="none" w:sz="0" w:space="0" w:color="auto"/>
      </w:divBdr>
    </w:div>
    <w:div w:id="306977955">
      <w:marLeft w:val="0"/>
      <w:marRight w:val="0"/>
      <w:marTop w:val="0"/>
      <w:marBottom w:val="200"/>
      <w:divBdr>
        <w:top w:val="none" w:sz="0" w:space="0" w:color="auto"/>
        <w:left w:val="none" w:sz="0" w:space="0" w:color="auto"/>
        <w:bottom w:val="none" w:sz="0" w:space="0" w:color="auto"/>
        <w:right w:val="none" w:sz="0" w:space="0" w:color="auto"/>
      </w:divBdr>
    </w:div>
    <w:div w:id="307982399">
      <w:marLeft w:val="0"/>
      <w:marRight w:val="0"/>
      <w:marTop w:val="0"/>
      <w:marBottom w:val="0"/>
      <w:divBdr>
        <w:top w:val="none" w:sz="0" w:space="0" w:color="auto"/>
        <w:left w:val="none" w:sz="0" w:space="0" w:color="auto"/>
        <w:bottom w:val="none" w:sz="0" w:space="0" w:color="auto"/>
        <w:right w:val="none" w:sz="0" w:space="0" w:color="auto"/>
      </w:divBdr>
    </w:div>
    <w:div w:id="314073479">
      <w:marLeft w:val="0"/>
      <w:marRight w:val="0"/>
      <w:marTop w:val="100"/>
      <w:marBottom w:val="60"/>
      <w:divBdr>
        <w:top w:val="none" w:sz="0" w:space="0" w:color="auto"/>
        <w:left w:val="none" w:sz="0" w:space="0" w:color="auto"/>
        <w:bottom w:val="none" w:sz="0" w:space="0" w:color="auto"/>
        <w:right w:val="none" w:sz="0" w:space="0" w:color="auto"/>
      </w:divBdr>
    </w:div>
    <w:div w:id="315036629">
      <w:marLeft w:val="0"/>
      <w:marRight w:val="0"/>
      <w:marTop w:val="200"/>
      <w:marBottom w:val="0"/>
      <w:divBdr>
        <w:top w:val="none" w:sz="0" w:space="0" w:color="auto"/>
        <w:left w:val="none" w:sz="0" w:space="0" w:color="auto"/>
        <w:bottom w:val="none" w:sz="0" w:space="0" w:color="auto"/>
        <w:right w:val="none" w:sz="0" w:space="0" w:color="auto"/>
      </w:divBdr>
    </w:div>
    <w:div w:id="315913808">
      <w:marLeft w:val="0"/>
      <w:marRight w:val="0"/>
      <w:marTop w:val="0"/>
      <w:marBottom w:val="160"/>
      <w:divBdr>
        <w:top w:val="none" w:sz="0" w:space="0" w:color="auto"/>
        <w:left w:val="none" w:sz="0" w:space="0" w:color="auto"/>
        <w:bottom w:val="none" w:sz="0" w:space="0" w:color="auto"/>
        <w:right w:val="none" w:sz="0" w:space="0" w:color="auto"/>
      </w:divBdr>
    </w:div>
    <w:div w:id="316692942">
      <w:marLeft w:val="0"/>
      <w:marRight w:val="0"/>
      <w:marTop w:val="0"/>
      <w:marBottom w:val="0"/>
      <w:divBdr>
        <w:top w:val="none" w:sz="0" w:space="0" w:color="auto"/>
        <w:left w:val="none" w:sz="0" w:space="0" w:color="auto"/>
        <w:bottom w:val="none" w:sz="0" w:space="0" w:color="auto"/>
        <w:right w:val="none" w:sz="0" w:space="0" w:color="auto"/>
      </w:divBdr>
      <w:divsChild>
        <w:div w:id="1896547511">
          <w:marLeft w:val="0"/>
          <w:marRight w:val="0"/>
          <w:marTop w:val="0"/>
          <w:marBottom w:val="0"/>
          <w:divBdr>
            <w:top w:val="none" w:sz="0" w:space="0" w:color="auto"/>
            <w:left w:val="none" w:sz="0" w:space="0" w:color="auto"/>
            <w:bottom w:val="none" w:sz="0" w:space="0" w:color="auto"/>
            <w:right w:val="none" w:sz="0" w:space="0" w:color="auto"/>
          </w:divBdr>
        </w:div>
        <w:div w:id="1996295841">
          <w:marLeft w:val="0"/>
          <w:marRight w:val="0"/>
          <w:marTop w:val="0"/>
          <w:marBottom w:val="0"/>
          <w:divBdr>
            <w:top w:val="none" w:sz="0" w:space="0" w:color="auto"/>
            <w:left w:val="none" w:sz="0" w:space="0" w:color="auto"/>
            <w:bottom w:val="none" w:sz="0" w:space="0" w:color="auto"/>
            <w:right w:val="none" w:sz="0" w:space="0" w:color="auto"/>
          </w:divBdr>
        </w:div>
        <w:div w:id="1033843693">
          <w:marLeft w:val="0"/>
          <w:marRight w:val="0"/>
          <w:marTop w:val="0"/>
          <w:marBottom w:val="0"/>
          <w:divBdr>
            <w:top w:val="none" w:sz="0" w:space="0" w:color="auto"/>
            <w:left w:val="none" w:sz="0" w:space="0" w:color="auto"/>
            <w:bottom w:val="none" w:sz="0" w:space="0" w:color="auto"/>
            <w:right w:val="none" w:sz="0" w:space="0" w:color="auto"/>
          </w:divBdr>
        </w:div>
        <w:div w:id="767505986">
          <w:marLeft w:val="0"/>
          <w:marRight w:val="0"/>
          <w:marTop w:val="0"/>
          <w:marBottom w:val="0"/>
          <w:divBdr>
            <w:top w:val="none" w:sz="0" w:space="0" w:color="auto"/>
            <w:left w:val="none" w:sz="0" w:space="0" w:color="auto"/>
            <w:bottom w:val="none" w:sz="0" w:space="0" w:color="auto"/>
            <w:right w:val="none" w:sz="0" w:space="0" w:color="auto"/>
          </w:divBdr>
        </w:div>
      </w:divsChild>
    </w:div>
    <w:div w:id="317196067">
      <w:marLeft w:val="0"/>
      <w:marRight w:val="0"/>
      <w:marTop w:val="200"/>
      <w:marBottom w:val="0"/>
      <w:divBdr>
        <w:top w:val="none" w:sz="0" w:space="0" w:color="auto"/>
        <w:left w:val="none" w:sz="0" w:space="0" w:color="auto"/>
        <w:bottom w:val="none" w:sz="0" w:space="0" w:color="auto"/>
        <w:right w:val="none" w:sz="0" w:space="0" w:color="auto"/>
      </w:divBdr>
    </w:div>
    <w:div w:id="323902582">
      <w:marLeft w:val="0"/>
      <w:marRight w:val="0"/>
      <w:marTop w:val="0"/>
      <w:marBottom w:val="0"/>
      <w:divBdr>
        <w:top w:val="none" w:sz="0" w:space="0" w:color="auto"/>
        <w:left w:val="none" w:sz="0" w:space="0" w:color="auto"/>
        <w:bottom w:val="none" w:sz="0" w:space="0" w:color="auto"/>
        <w:right w:val="none" w:sz="0" w:space="0" w:color="auto"/>
      </w:divBdr>
      <w:divsChild>
        <w:div w:id="1096290879">
          <w:marLeft w:val="0"/>
          <w:marRight w:val="0"/>
          <w:marTop w:val="0"/>
          <w:marBottom w:val="0"/>
          <w:divBdr>
            <w:top w:val="none" w:sz="0" w:space="0" w:color="auto"/>
            <w:left w:val="none" w:sz="0" w:space="0" w:color="auto"/>
            <w:bottom w:val="none" w:sz="0" w:space="0" w:color="auto"/>
            <w:right w:val="none" w:sz="0" w:space="0" w:color="auto"/>
          </w:divBdr>
        </w:div>
      </w:divsChild>
    </w:div>
    <w:div w:id="324433875">
      <w:marLeft w:val="0"/>
      <w:marRight w:val="0"/>
      <w:marTop w:val="200"/>
      <w:marBottom w:val="0"/>
      <w:divBdr>
        <w:top w:val="none" w:sz="0" w:space="0" w:color="auto"/>
        <w:left w:val="none" w:sz="0" w:space="0" w:color="auto"/>
        <w:bottom w:val="none" w:sz="0" w:space="0" w:color="auto"/>
        <w:right w:val="none" w:sz="0" w:space="0" w:color="auto"/>
      </w:divBdr>
    </w:div>
    <w:div w:id="324675390">
      <w:marLeft w:val="0"/>
      <w:marRight w:val="0"/>
      <w:marTop w:val="0"/>
      <w:marBottom w:val="0"/>
      <w:divBdr>
        <w:top w:val="none" w:sz="0" w:space="0" w:color="auto"/>
        <w:left w:val="none" w:sz="0" w:space="0" w:color="auto"/>
        <w:bottom w:val="none" w:sz="0" w:space="0" w:color="auto"/>
        <w:right w:val="none" w:sz="0" w:space="0" w:color="auto"/>
      </w:divBdr>
      <w:divsChild>
        <w:div w:id="1552615235">
          <w:marLeft w:val="0"/>
          <w:marRight w:val="0"/>
          <w:marTop w:val="0"/>
          <w:marBottom w:val="0"/>
          <w:divBdr>
            <w:top w:val="none" w:sz="0" w:space="0" w:color="auto"/>
            <w:left w:val="none" w:sz="0" w:space="0" w:color="auto"/>
            <w:bottom w:val="none" w:sz="0" w:space="0" w:color="auto"/>
            <w:right w:val="none" w:sz="0" w:space="0" w:color="auto"/>
          </w:divBdr>
        </w:div>
      </w:divsChild>
    </w:div>
    <w:div w:id="326523444">
      <w:marLeft w:val="0"/>
      <w:marRight w:val="0"/>
      <w:marTop w:val="0"/>
      <w:marBottom w:val="0"/>
      <w:divBdr>
        <w:top w:val="none" w:sz="0" w:space="0" w:color="auto"/>
        <w:left w:val="none" w:sz="0" w:space="0" w:color="auto"/>
        <w:bottom w:val="none" w:sz="0" w:space="0" w:color="auto"/>
        <w:right w:val="none" w:sz="0" w:space="0" w:color="auto"/>
      </w:divBdr>
    </w:div>
    <w:div w:id="328488836">
      <w:marLeft w:val="0"/>
      <w:marRight w:val="0"/>
      <w:marTop w:val="200"/>
      <w:marBottom w:val="0"/>
      <w:divBdr>
        <w:top w:val="none" w:sz="0" w:space="0" w:color="auto"/>
        <w:left w:val="none" w:sz="0" w:space="0" w:color="auto"/>
        <w:bottom w:val="none" w:sz="0" w:space="0" w:color="auto"/>
        <w:right w:val="none" w:sz="0" w:space="0" w:color="auto"/>
      </w:divBdr>
    </w:div>
    <w:div w:id="328674533">
      <w:marLeft w:val="0"/>
      <w:marRight w:val="0"/>
      <w:marTop w:val="120"/>
      <w:marBottom w:val="0"/>
      <w:divBdr>
        <w:top w:val="none" w:sz="0" w:space="0" w:color="auto"/>
        <w:left w:val="none" w:sz="0" w:space="0" w:color="auto"/>
        <w:bottom w:val="none" w:sz="0" w:space="0" w:color="auto"/>
        <w:right w:val="none" w:sz="0" w:space="0" w:color="auto"/>
      </w:divBdr>
    </w:div>
    <w:div w:id="329792907">
      <w:marLeft w:val="0"/>
      <w:marRight w:val="0"/>
      <w:marTop w:val="200"/>
      <w:marBottom w:val="0"/>
      <w:divBdr>
        <w:top w:val="none" w:sz="0" w:space="0" w:color="auto"/>
        <w:left w:val="none" w:sz="0" w:space="0" w:color="auto"/>
        <w:bottom w:val="none" w:sz="0" w:space="0" w:color="auto"/>
        <w:right w:val="none" w:sz="0" w:space="0" w:color="auto"/>
      </w:divBdr>
    </w:div>
    <w:div w:id="330067278">
      <w:marLeft w:val="0"/>
      <w:marRight w:val="0"/>
      <w:marTop w:val="200"/>
      <w:marBottom w:val="0"/>
      <w:divBdr>
        <w:top w:val="none" w:sz="0" w:space="0" w:color="auto"/>
        <w:left w:val="none" w:sz="0" w:space="0" w:color="auto"/>
        <w:bottom w:val="none" w:sz="0" w:space="0" w:color="auto"/>
        <w:right w:val="none" w:sz="0" w:space="0" w:color="auto"/>
      </w:divBdr>
    </w:div>
    <w:div w:id="331378894">
      <w:marLeft w:val="0"/>
      <w:marRight w:val="0"/>
      <w:marTop w:val="200"/>
      <w:marBottom w:val="0"/>
      <w:divBdr>
        <w:top w:val="none" w:sz="0" w:space="0" w:color="auto"/>
        <w:left w:val="none" w:sz="0" w:space="0" w:color="auto"/>
        <w:bottom w:val="none" w:sz="0" w:space="0" w:color="auto"/>
        <w:right w:val="none" w:sz="0" w:space="0" w:color="auto"/>
      </w:divBdr>
    </w:div>
    <w:div w:id="334573824">
      <w:marLeft w:val="0"/>
      <w:marRight w:val="0"/>
      <w:marTop w:val="0"/>
      <w:marBottom w:val="0"/>
      <w:divBdr>
        <w:top w:val="none" w:sz="0" w:space="0" w:color="auto"/>
        <w:left w:val="none" w:sz="0" w:space="0" w:color="auto"/>
        <w:bottom w:val="none" w:sz="0" w:space="0" w:color="auto"/>
        <w:right w:val="none" w:sz="0" w:space="0" w:color="auto"/>
      </w:divBdr>
      <w:divsChild>
        <w:div w:id="1539244326">
          <w:marLeft w:val="0"/>
          <w:marRight w:val="0"/>
          <w:marTop w:val="0"/>
          <w:marBottom w:val="0"/>
          <w:divBdr>
            <w:top w:val="none" w:sz="0" w:space="0" w:color="auto"/>
            <w:left w:val="none" w:sz="0" w:space="0" w:color="auto"/>
            <w:bottom w:val="none" w:sz="0" w:space="0" w:color="auto"/>
            <w:right w:val="none" w:sz="0" w:space="0" w:color="auto"/>
          </w:divBdr>
        </w:div>
      </w:divsChild>
    </w:div>
    <w:div w:id="339896032">
      <w:marLeft w:val="0"/>
      <w:marRight w:val="0"/>
      <w:marTop w:val="0"/>
      <w:marBottom w:val="0"/>
      <w:divBdr>
        <w:top w:val="none" w:sz="0" w:space="0" w:color="auto"/>
        <w:left w:val="none" w:sz="0" w:space="0" w:color="auto"/>
        <w:bottom w:val="none" w:sz="0" w:space="0" w:color="auto"/>
        <w:right w:val="none" w:sz="0" w:space="0" w:color="auto"/>
      </w:divBdr>
    </w:div>
    <w:div w:id="345407208">
      <w:marLeft w:val="0"/>
      <w:marRight w:val="0"/>
      <w:marTop w:val="200"/>
      <w:marBottom w:val="0"/>
      <w:divBdr>
        <w:top w:val="none" w:sz="0" w:space="0" w:color="auto"/>
        <w:left w:val="none" w:sz="0" w:space="0" w:color="auto"/>
        <w:bottom w:val="none" w:sz="0" w:space="0" w:color="auto"/>
        <w:right w:val="none" w:sz="0" w:space="0" w:color="auto"/>
      </w:divBdr>
    </w:div>
    <w:div w:id="347098973">
      <w:marLeft w:val="0"/>
      <w:marRight w:val="0"/>
      <w:marTop w:val="200"/>
      <w:marBottom w:val="0"/>
      <w:divBdr>
        <w:top w:val="none" w:sz="0" w:space="0" w:color="auto"/>
        <w:left w:val="none" w:sz="0" w:space="0" w:color="auto"/>
        <w:bottom w:val="none" w:sz="0" w:space="0" w:color="auto"/>
        <w:right w:val="none" w:sz="0" w:space="0" w:color="auto"/>
      </w:divBdr>
    </w:div>
    <w:div w:id="348603207">
      <w:marLeft w:val="0"/>
      <w:marRight w:val="0"/>
      <w:marTop w:val="0"/>
      <w:marBottom w:val="0"/>
      <w:divBdr>
        <w:top w:val="none" w:sz="0" w:space="0" w:color="auto"/>
        <w:left w:val="none" w:sz="0" w:space="0" w:color="auto"/>
        <w:bottom w:val="none" w:sz="0" w:space="0" w:color="auto"/>
        <w:right w:val="none" w:sz="0" w:space="0" w:color="auto"/>
      </w:divBdr>
    </w:div>
    <w:div w:id="351537754">
      <w:marLeft w:val="0"/>
      <w:marRight w:val="0"/>
      <w:marTop w:val="200"/>
      <w:marBottom w:val="0"/>
      <w:divBdr>
        <w:top w:val="none" w:sz="0" w:space="0" w:color="auto"/>
        <w:left w:val="none" w:sz="0" w:space="0" w:color="auto"/>
        <w:bottom w:val="none" w:sz="0" w:space="0" w:color="auto"/>
        <w:right w:val="none" w:sz="0" w:space="0" w:color="auto"/>
      </w:divBdr>
    </w:div>
    <w:div w:id="352457820">
      <w:marLeft w:val="0"/>
      <w:marRight w:val="0"/>
      <w:marTop w:val="0"/>
      <w:marBottom w:val="160"/>
      <w:divBdr>
        <w:top w:val="none" w:sz="0" w:space="0" w:color="auto"/>
        <w:left w:val="none" w:sz="0" w:space="0" w:color="auto"/>
        <w:bottom w:val="none" w:sz="0" w:space="0" w:color="auto"/>
        <w:right w:val="none" w:sz="0" w:space="0" w:color="auto"/>
      </w:divBdr>
    </w:div>
    <w:div w:id="352999886">
      <w:marLeft w:val="0"/>
      <w:marRight w:val="0"/>
      <w:marTop w:val="0"/>
      <w:marBottom w:val="160"/>
      <w:divBdr>
        <w:top w:val="none" w:sz="0" w:space="0" w:color="auto"/>
        <w:left w:val="none" w:sz="0" w:space="0" w:color="auto"/>
        <w:bottom w:val="none" w:sz="0" w:space="0" w:color="auto"/>
        <w:right w:val="none" w:sz="0" w:space="0" w:color="auto"/>
      </w:divBdr>
    </w:div>
    <w:div w:id="355037965">
      <w:marLeft w:val="0"/>
      <w:marRight w:val="0"/>
      <w:marTop w:val="200"/>
      <w:marBottom w:val="0"/>
      <w:divBdr>
        <w:top w:val="none" w:sz="0" w:space="0" w:color="auto"/>
        <w:left w:val="none" w:sz="0" w:space="0" w:color="auto"/>
        <w:bottom w:val="none" w:sz="0" w:space="0" w:color="auto"/>
        <w:right w:val="none" w:sz="0" w:space="0" w:color="auto"/>
      </w:divBdr>
    </w:div>
    <w:div w:id="355691096">
      <w:marLeft w:val="0"/>
      <w:marRight w:val="0"/>
      <w:marTop w:val="200"/>
      <w:marBottom w:val="0"/>
      <w:divBdr>
        <w:top w:val="none" w:sz="0" w:space="0" w:color="auto"/>
        <w:left w:val="none" w:sz="0" w:space="0" w:color="auto"/>
        <w:bottom w:val="none" w:sz="0" w:space="0" w:color="auto"/>
        <w:right w:val="none" w:sz="0" w:space="0" w:color="auto"/>
      </w:divBdr>
    </w:div>
    <w:div w:id="355928680">
      <w:marLeft w:val="0"/>
      <w:marRight w:val="0"/>
      <w:marTop w:val="200"/>
      <w:marBottom w:val="0"/>
      <w:divBdr>
        <w:top w:val="none" w:sz="0" w:space="0" w:color="auto"/>
        <w:left w:val="none" w:sz="0" w:space="0" w:color="auto"/>
        <w:bottom w:val="none" w:sz="0" w:space="0" w:color="auto"/>
        <w:right w:val="none" w:sz="0" w:space="0" w:color="auto"/>
      </w:divBdr>
    </w:div>
    <w:div w:id="359206294">
      <w:marLeft w:val="0"/>
      <w:marRight w:val="0"/>
      <w:marTop w:val="0"/>
      <w:marBottom w:val="0"/>
      <w:divBdr>
        <w:top w:val="none" w:sz="0" w:space="0" w:color="auto"/>
        <w:left w:val="none" w:sz="0" w:space="0" w:color="auto"/>
        <w:bottom w:val="none" w:sz="0" w:space="0" w:color="auto"/>
        <w:right w:val="none" w:sz="0" w:space="0" w:color="auto"/>
      </w:divBdr>
      <w:divsChild>
        <w:div w:id="1631785832">
          <w:marLeft w:val="0"/>
          <w:marRight w:val="0"/>
          <w:marTop w:val="0"/>
          <w:marBottom w:val="0"/>
          <w:divBdr>
            <w:top w:val="none" w:sz="0" w:space="0" w:color="auto"/>
            <w:left w:val="none" w:sz="0" w:space="0" w:color="auto"/>
            <w:bottom w:val="none" w:sz="0" w:space="0" w:color="auto"/>
            <w:right w:val="none" w:sz="0" w:space="0" w:color="auto"/>
          </w:divBdr>
        </w:div>
      </w:divsChild>
    </w:div>
    <w:div w:id="360739567">
      <w:marLeft w:val="0"/>
      <w:marRight w:val="0"/>
      <w:marTop w:val="0"/>
      <w:marBottom w:val="0"/>
      <w:divBdr>
        <w:top w:val="none" w:sz="0" w:space="0" w:color="auto"/>
        <w:left w:val="none" w:sz="0" w:space="0" w:color="auto"/>
        <w:bottom w:val="none" w:sz="0" w:space="0" w:color="auto"/>
        <w:right w:val="none" w:sz="0" w:space="0" w:color="auto"/>
      </w:divBdr>
      <w:divsChild>
        <w:div w:id="1262836743">
          <w:marLeft w:val="0"/>
          <w:marRight w:val="0"/>
          <w:marTop w:val="0"/>
          <w:marBottom w:val="0"/>
          <w:divBdr>
            <w:top w:val="none" w:sz="0" w:space="0" w:color="auto"/>
            <w:left w:val="none" w:sz="0" w:space="0" w:color="auto"/>
            <w:bottom w:val="none" w:sz="0" w:space="0" w:color="auto"/>
            <w:right w:val="none" w:sz="0" w:space="0" w:color="auto"/>
          </w:divBdr>
        </w:div>
      </w:divsChild>
    </w:div>
    <w:div w:id="370106955">
      <w:marLeft w:val="0"/>
      <w:marRight w:val="0"/>
      <w:marTop w:val="0"/>
      <w:marBottom w:val="0"/>
      <w:divBdr>
        <w:top w:val="none" w:sz="0" w:space="0" w:color="auto"/>
        <w:left w:val="none" w:sz="0" w:space="0" w:color="auto"/>
        <w:bottom w:val="none" w:sz="0" w:space="0" w:color="auto"/>
        <w:right w:val="none" w:sz="0" w:space="0" w:color="auto"/>
      </w:divBdr>
    </w:div>
    <w:div w:id="375811964">
      <w:marLeft w:val="0"/>
      <w:marRight w:val="0"/>
      <w:marTop w:val="0"/>
      <w:marBottom w:val="0"/>
      <w:divBdr>
        <w:top w:val="none" w:sz="0" w:space="0" w:color="auto"/>
        <w:left w:val="none" w:sz="0" w:space="0" w:color="auto"/>
        <w:bottom w:val="none" w:sz="0" w:space="0" w:color="auto"/>
        <w:right w:val="none" w:sz="0" w:space="0" w:color="auto"/>
      </w:divBdr>
    </w:div>
    <w:div w:id="376249002">
      <w:marLeft w:val="0"/>
      <w:marRight w:val="0"/>
      <w:marTop w:val="0"/>
      <w:marBottom w:val="0"/>
      <w:divBdr>
        <w:top w:val="none" w:sz="0" w:space="0" w:color="auto"/>
        <w:left w:val="none" w:sz="0" w:space="0" w:color="auto"/>
        <w:bottom w:val="none" w:sz="0" w:space="0" w:color="auto"/>
        <w:right w:val="none" w:sz="0" w:space="0" w:color="auto"/>
      </w:divBdr>
      <w:divsChild>
        <w:div w:id="1499809981">
          <w:marLeft w:val="0"/>
          <w:marRight w:val="0"/>
          <w:marTop w:val="0"/>
          <w:marBottom w:val="0"/>
          <w:divBdr>
            <w:top w:val="none" w:sz="0" w:space="0" w:color="auto"/>
            <w:left w:val="none" w:sz="0" w:space="0" w:color="auto"/>
            <w:bottom w:val="none" w:sz="0" w:space="0" w:color="auto"/>
            <w:right w:val="none" w:sz="0" w:space="0" w:color="auto"/>
          </w:divBdr>
        </w:div>
      </w:divsChild>
    </w:div>
    <w:div w:id="376517265">
      <w:marLeft w:val="0"/>
      <w:marRight w:val="0"/>
      <w:marTop w:val="0"/>
      <w:marBottom w:val="0"/>
      <w:divBdr>
        <w:top w:val="none" w:sz="0" w:space="0" w:color="auto"/>
        <w:left w:val="none" w:sz="0" w:space="0" w:color="auto"/>
        <w:bottom w:val="none" w:sz="0" w:space="0" w:color="auto"/>
        <w:right w:val="none" w:sz="0" w:space="0" w:color="auto"/>
      </w:divBdr>
    </w:div>
    <w:div w:id="379014386">
      <w:marLeft w:val="0"/>
      <w:marRight w:val="0"/>
      <w:marTop w:val="200"/>
      <w:marBottom w:val="0"/>
      <w:divBdr>
        <w:top w:val="none" w:sz="0" w:space="0" w:color="auto"/>
        <w:left w:val="none" w:sz="0" w:space="0" w:color="auto"/>
        <w:bottom w:val="none" w:sz="0" w:space="0" w:color="auto"/>
        <w:right w:val="none" w:sz="0" w:space="0" w:color="auto"/>
      </w:divBdr>
    </w:div>
    <w:div w:id="379785738">
      <w:marLeft w:val="0"/>
      <w:marRight w:val="0"/>
      <w:marTop w:val="100"/>
      <w:marBottom w:val="0"/>
      <w:divBdr>
        <w:top w:val="none" w:sz="0" w:space="0" w:color="auto"/>
        <w:left w:val="none" w:sz="0" w:space="0" w:color="auto"/>
        <w:bottom w:val="none" w:sz="0" w:space="0" w:color="auto"/>
        <w:right w:val="none" w:sz="0" w:space="0" w:color="auto"/>
      </w:divBdr>
    </w:div>
    <w:div w:id="385109983">
      <w:marLeft w:val="0"/>
      <w:marRight w:val="0"/>
      <w:marTop w:val="100"/>
      <w:marBottom w:val="0"/>
      <w:divBdr>
        <w:top w:val="none" w:sz="0" w:space="0" w:color="auto"/>
        <w:left w:val="none" w:sz="0" w:space="0" w:color="auto"/>
        <w:bottom w:val="none" w:sz="0" w:space="0" w:color="auto"/>
        <w:right w:val="none" w:sz="0" w:space="0" w:color="auto"/>
      </w:divBdr>
    </w:div>
    <w:div w:id="385299352">
      <w:marLeft w:val="0"/>
      <w:marRight w:val="0"/>
      <w:marTop w:val="0"/>
      <w:marBottom w:val="160"/>
      <w:divBdr>
        <w:top w:val="none" w:sz="0" w:space="0" w:color="auto"/>
        <w:left w:val="none" w:sz="0" w:space="0" w:color="auto"/>
        <w:bottom w:val="none" w:sz="0" w:space="0" w:color="auto"/>
        <w:right w:val="none" w:sz="0" w:space="0" w:color="auto"/>
      </w:divBdr>
    </w:div>
    <w:div w:id="387145391">
      <w:marLeft w:val="0"/>
      <w:marRight w:val="0"/>
      <w:marTop w:val="0"/>
      <w:marBottom w:val="0"/>
      <w:divBdr>
        <w:top w:val="none" w:sz="0" w:space="0" w:color="auto"/>
        <w:left w:val="none" w:sz="0" w:space="0" w:color="auto"/>
        <w:bottom w:val="none" w:sz="0" w:space="0" w:color="auto"/>
        <w:right w:val="none" w:sz="0" w:space="0" w:color="auto"/>
      </w:divBdr>
      <w:divsChild>
        <w:div w:id="1951932015">
          <w:marLeft w:val="0"/>
          <w:marRight w:val="0"/>
          <w:marTop w:val="0"/>
          <w:marBottom w:val="0"/>
          <w:divBdr>
            <w:top w:val="none" w:sz="0" w:space="0" w:color="auto"/>
            <w:left w:val="none" w:sz="0" w:space="0" w:color="auto"/>
            <w:bottom w:val="none" w:sz="0" w:space="0" w:color="auto"/>
            <w:right w:val="none" w:sz="0" w:space="0" w:color="auto"/>
          </w:divBdr>
        </w:div>
      </w:divsChild>
    </w:div>
    <w:div w:id="390076001">
      <w:marLeft w:val="0"/>
      <w:marRight w:val="0"/>
      <w:marTop w:val="0"/>
      <w:marBottom w:val="0"/>
      <w:divBdr>
        <w:top w:val="none" w:sz="0" w:space="0" w:color="auto"/>
        <w:left w:val="none" w:sz="0" w:space="0" w:color="auto"/>
        <w:bottom w:val="none" w:sz="0" w:space="0" w:color="auto"/>
        <w:right w:val="none" w:sz="0" w:space="0" w:color="auto"/>
      </w:divBdr>
      <w:divsChild>
        <w:div w:id="45036560">
          <w:marLeft w:val="0"/>
          <w:marRight w:val="0"/>
          <w:marTop w:val="0"/>
          <w:marBottom w:val="0"/>
          <w:divBdr>
            <w:top w:val="none" w:sz="0" w:space="0" w:color="auto"/>
            <w:left w:val="none" w:sz="0" w:space="0" w:color="auto"/>
            <w:bottom w:val="none" w:sz="0" w:space="0" w:color="auto"/>
            <w:right w:val="none" w:sz="0" w:space="0" w:color="auto"/>
          </w:divBdr>
        </w:div>
        <w:div w:id="1698123371">
          <w:marLeft w:val="0"/>
          <w:marRight w:val="0"/>
          <w:marTop w:val="0"/>
          <w:marBottom w:val="0"/>
          <w:divBdr>
            <w:top w:val="none" w:sz="0" w:space="0" w:color="auto"/>
            <w:left w:val="none" w:sz="0" w:space="0" w:color="auto"/>
            <w:bottom w:val="none" w:sz="0" w:space="0" w:color="auto"/>
            <w:right w:val="none" w:sz="0" w:space="0" w:color="auto"/>
          </w:divBdr>
        </w:div>
        <w:div w:id="243220575">
          <w:marLeft w:val="0"/>
          <w:marRight w:val="0"/>
          <w:marTop w:val="0"/>
          <w:marBottom w:val="0"/>
          <w:divBdr>
            <w:top w:val="none" w:sz="0" w:space="0" w:color="auto"/>
            <w:left w:val="none" w:sz="0" w:space="0" w:color="auto"/>
            <w:bottom w:val="none" w:sz="0" w:space="0" w:color="auto"/>
            <w:right w:val="none" w:sz="0" w:space="0" w:color="auto"/>
          </w:divBdr>
        </w:div>
        <w:div w:id="136188750">
          <w:marLeft w:val="0"/>
          <w:marRight w:val="0"/>
          <w:marTop w:val="0"/>
          <w:marBottom w:val="0"/>
          <w:divBdr>
            <w:top w:val="none" w:sz="0" w:space="0" w:color="auto"/>
            <w:left w:val="none" w:sz="0" w:space="0" w:color="auto"/>
            <w:bottom w:val="none" w:sz="0" w:space="0" w:color="auto"/>
            <w:right w:val="none" w:sz="0" w:space="0" w:color="auto"/>
          </w:divBdr>
        </w:div>
      </w:divsChild>
    </w:div>
    <w:div w:id="390618584">
      <w:marLeft w:val="0"/>
      <w:marRight w:val="0"/>
      <w:marTop w:val="200"/>
      <w:marBottom w:val="0"/>
      <w:divBdr>
        <w:top w:val="none" w:sz="0" w:space="0" w:color="auto"/>
        <w:left w:val="none" w:sz="0" w:space="0" w:color="auto"/>
        <w:bottom w:val="none" w:sz="0" w:space="0" w:color="auto"/>
        <w:right w:val="none" w:sz="0" w:space="0" w:color="auto"/>
      </w:divBdr>
    </w:div>
    <w:div w:id="391083501">
      <w:marLeft w:val="0"/>
      <w:marRight w:val="0"/>
      <w:marTop w:val="0"/>
      <w:marBottom w:val="0"/>
      <w:divBdr>
        <w:top w:val="none" w:sz="0" w:space="0" w:color="auto"/>
        <w:left w:val="none" w:sz="0" w:space="0" w:color="auto"/>
        <w:bottom w:val="none" w:sz="0" w:space="0" w:color="auto"/>
        <w:right w:val="none" w:sz="0" w:space="0" w:color="auto"/>
      </w:divBdr>
    </w:div>
    <w:div w:id="392656489">
      <w:marLeft w:val="0"/>
      <w:marRight w:val="0"/>
      <w:marTop w:val="0"/>
      <w:marBottom w:val="0"/>
      <w:divBdr>
        <w:top w:val="none" w:sz="0" w:space="0" w:color="auto"/>
        <w:left w:val="none" w:sz="0" w:space="0" w:color="auto"/>
        <w:bottom w:val="none" w:sz="0" w:space="0" w:color="auto"/>
        <w:right w:val="none" w:sz="0" w:space="0" w:color="auto"/>
      </w:divBdr>
      <w:divsChild>
        <w:div w:id="1651442462">
          <w:marLeft w:val="0"/>
          <w:marRight w:val="0"/>
          <w:marTop w:val="0"/>
          <w:marBottom w:val="0"/>
          <w:divBdr>
            <w:top w:val="none" w:sz="0" w:space="0" w:color="auto"/>
            <w:left w:val="none" w:sz="0" w:space="0" w:color="auto"/>
            <w:bottom w:val="none" w:sz="0" w:space="0" w:color="auto"/>
            <w:right w:val="none" w:sz="0" w:space="0" w:color="auto"/>
          </w:divBdr>
        </w:div>
      </w:divsChild>
    </w:div>
    <w:div w:id="400374060">
      <w:marLeft w:val="0"/>
      <w:marRight w:val="0"/>
      <w:marTop w:val="200"/>
      <w:marBottom w:val="0"/>
      <w:divBdr>
        <w:top w:val="none" w:sz="0" w:space="0" w:color="auto"/>
        <w:left w:val="none" w:sz="0" w:space="0" w:color="auto"/>
        <w:bottom w:val="none" w:sz="0" w:space="0" w:color="auto"/>
        <w:right w:val="none" w:sz="0" w:space="0" w:color="auto"/>
      </w:divBdr>
    </w:div>
    <w:div w:id="400523006">
      <w:marLeft w:val="0"/>
      <w:marRight w:val="0"/>
      <w:marTop w:val="200"/>
      <w:marBottom w:val="0"/>
      <w:divBdr>
        <w:top w:val="none" w:sz="0" w:space="0" w:color="auto"/>
        <w:left w:val="none" w:sz="0" w:space="0" w:color="auto"/>
        <w:bottom w:val="none" w:sz="0" w:space="0" w:color="auto"/>
        <w:right w:val="none" w:sz="0" w:space="0" w:color="auto"/>
      </w:divBdr>
    </w:div>
    <w:div w:id="403645310">
      <w:marLeft w:val="0"/>
      <w:marRight w:val="0"/>
      <w:marTop w:val="0"/>
      <w:marBottom w:val="0"/>
      <w:divBdr>
        <w:top w:val="none" w:sz="0" w:space="0" w:color="auto"/>
        <w:left w:val="none" w:sz="0" w:space="0" w:color="auto"/>
        <w:bottom w:val="none" w:sz="0" w:space="0" w:color="auto"/>
        <w:right w:val="none" w:sz="0" w:space="0" w:color="auto"/>
      </w:divBdr>
      <w:divsChild>
        <w:div w:id="463739873">
          <w:marLeft w:val="0"/>
          <w:marRight w:val="0"/>
          <w:marTop w:val="0"/>
          <w:marBottom w:val="0"/>
          <w:divBdr>
            <w:top w:val="none" w:sz="0" w:space="0" w:color="auto"/>
            <w:left w:val="none" w:sz="0" w:space="0" w:color="auto"/>
            <w:bottom w:val="none" w:sz="0" w:space="0" w:color="auto"/>
            <w:right w:val="none" w:sz="0" w:space="0" w:color="auto"/>
          </w:divBdr>
        </w:div>
      </w:divsChild>
    </w:div>
    <w:div w:id="404114091">
      <w:marLeft w:val="0"/>
      <w:marRight w:val="0"/>
      <w:marTop w:val="0"/>
      <w:marBottom w:val="0"/>
      <w:divBdr>
        <w:top w:val="none" w:sz="0" w:space="0" w:color="auto"/>
        <w:left w:val="none" w:sz="0" w:space="0" w:color="auto"/>
        <w:bottom w:val="none" w:sz="0" w:space="0" w:color="auto"/>
        <w:right w:val="none" w:sz="0" w:space="0" w:color="auto"/>
      </w:divBdr>
      <w:divsChild>
        <w:div w:id="96796859">
          <w:marLeft w:val="0"/>
          <w:marRight w:val="0"/>
          <w:marTop w:val="0"/>
          <w:marBottom w:val="0"/>
          <w:divBdr>
            <w:top w:val="none" w:sz="0" w:space="0" w:color="auto"/>
            <w:left w:val="none" w:sz="0" w:space="0" w:color="auto"/>
            <w:bottom w:val="none" w:sz="0" w:space="0" w:color="auto"/>
            <w:right w:val="none" w:sz="0" w:space="0" w:color="auto"/>
          </w:divBdr>
        </w:div>
      </w:divsChild>
    </w:div>
    <w:div w:id="404685104">
      <w:marLeft w:val="0"/>
      <w:marRight w:val="0"/>
      <w:marTop w:val="200"/>
      <w:marBottom w:val="0"/>
      <w:divBdr>
        <w:top w:val="none" w:sz="0" w:space="0" w:color="auto"/>
        <w:left w:val="none" w:sz="0" w:space="0" w:color="auto"/>
        <w:bottom w:val="none" w:sz="0" w:space="0" w:color="auto"/>
        <w:right w:val="none" w:sz="0" w:space="0" w:color="auto"/>
      </w:divBdr>
    </w:div>
    <w:div w:id="406465822">
      <w:marLeft w:val="0"/>
      <w:marRight w:val="0"/>
      <w:marTop w:val="0"/>
      <w:marBottom w:val="0"/>
      <w:divBdr>
        <w:top w:val="none" w:sz="0" w:space="0" w:color="auto"/>
        <w:left w:val="none" w:sz="0" w:space="0" w:color="auto"/>
        <w:bottom w:val="none" w:sz="0" w:space="0" w:color="auto"/>
        <w:right w:val="none" w:sz="0" w:space="0" w:color="auto"/>
      </w:divBdr>
      <w:divsChild>
        <w:div w:id="1187519702">
          <w:marLeft w:val="0"/>
          <w:marRight w:val="0"/>
          <w:marTop w:val="0"/>
          <w:marBottom w:val="0"/>
          <w:divBdr>
            <w:top w:val="none" w:sz="0" w:space="0" w:color="auto"/>
            <w:left w:val="none" w:sz="0" w:space="0" w:color="auto"/>
            <w:bottom w:val="none" w:sz="0" w:space="0" w:color="auto"/>
            <w:right w:val="none" w:sz="0" w:space="0" w:color="auto"/>
          </w:divBdr>
        </w:div>
        <w:div w:id="1528710297">
          <w:marLeft w:val="0"/>
          <w:marRight w:val="0"/>
          <w:marTop w:val="0"/>
          <w:marBottom w:val="0"/>
          <w:divBdr>
            <w:top w:val="none" w:sz="0" w:space="0" w:color="auto"/>
            <w:left w:val="none" w:sz="0" w:space="0" w:color="auto"/>
            <w:bottom w:val="none" w:sz="0" w:space="0" w:color="auto"/>
            <w:right w:val="none" w:sz="0" w:space="0" w:color="auto"/>
          </w:divBdr>
        </w:div>
        <w:div w:id="1195273131">
          <w:marLeft w:val="0"/>
          <w:marRight w:val="0"/>
          <w:marTop w:val="0"/>
          <w:marBottom w:val="0"/>
          <w:divBdr>
            <w:top w:val="none" w:sz="0" w:space="0" w:color="auto"/>
            <w:left w:val="none" w:sz="0" w:space="0" w:color="auto"/>
            <w:bottom w:val="none" w:sz="0" w:space="0" w:color="auto"/>
            <w:right w:val="none" w:sz="0" w:space="0" w:color="auto"/>
          </w:divBdr>
        </w:div>
        <w:div w:id="938372421">
          <w:marLeft w:val="0"/>
          <w:marRight w:val="0"/>
          <w:marTop w:val="0"/>
          <w:marBottom w:val="0"/>
          <w:divBdr>
            <w:top w:val="none" w:sz="0" w:space="0" w:color="auto"/>
            <w:left w:val="none" w:sz="0" w:space="0" w:color="auto"/>
            <w:bottom w:val="none" w:sz="0" w:space="0" w:color="auto"/>
            <w:right w:val="none" w:sz="0" w:space="0" w:color="auto"/>
          </w:divBdr>
        </w:div>
      </w:divsChild>
    </w:div>
    <w:div w:id="407192963">
      <w:marLeft w:val="0"/>
      <w:marRight w:val="0"/>
      <w:marTop w:val="0"/>
      <w:marBottom w:val="200"/>
      <w:divBdr>
        <w:top w:val="none" w:sz="0" w:space="0" w:color="auto"/>
        <w:left w:val="none" w:sz="0" w:space="0" w:color="auto"/>
        <w:bottom w:val="none" w:sz="0" w:space="0" w:color="auto"/>
        <w:right w:val="none" w:sz="0" w:space="0" w:color="auto"/>
      </w:divBdr>
    </w:div>
    <w:div w:id="408817861">
      <w:marLeft w:val="0"/>
      <w:marRight w:val="0"/>
      <w:marTop w:val="100"/>
      <w:marBottom w:val="0"/>
      <w:divBdr>
        <w:top w:val="none" w:sz="0" w:space="0" w:color="auto"/>
        <w:left w:val="none" w:sz="0" w:space="0" w:color="auto"/>
        <w:bottom w:val="none" w:sz="0" w:space="0" w:color="auto"/>
        <w:right w:val="none" w:sz="0" w:space="0" w:color="auto"/>
      </w:divBdr>
    </w:div>
    <w:div w:id="410276140">
      <w:marLeft w:val="0"/>
      <w:marRight w:val="0"/>
      <w:marTop w:val="0"/>
      <w:marBottom w:val="0"/>
      <w:divBdr>
        <w:top w:val="none" w:sz="0" w:space="0" w:color="auto"/>
        <w:left w:val="none" w:sz="0" w:space="0" w:color="auto"/>
        <w:bottom w:val="none" w:sz="0" w:space="0" w:color="auto"/>
        <w:right w:val="none" w:sz="0" w:space="0" w:color="auto"/>
      </w:divBdr>
    </w:div>
    <w:div w:id="410546842">
      <w:marLeft w:val="0"/>
      <w:marRight w:val="0"/>
      <w:marTop w:val="0"/>
      <w:marBottom w:val="160"/>
      <w:divBdr>
        <w:top w:val="none" w:sz="0" w:space="0" w:color="auto"/>
        <w:left w:val="none" w:sz="0" w:space="0" w:color="auto"/>
        <w:bottom w:val="none" w:sz="0" w:space="0" w:color="auto"/>
        <w:right w:val="none" w:sz="0" w:space="0" w:color="auto"/>
      </w:divBdr>
    </w:div>
    <w:div w:id="415176134">
      <w:marLeft w:val="0"/>
      <w:marRight w:val="0"/>
      <w:marTop w:val="100"/>
      <w:marBottom w:val="60"/>
      <w:divBdr>
        <w:top w:val="none" w:sz="0" w:space="0" w:color="auto"/>
        <w:left w:val="none" w:sz="0" w:space="0" w:color="auto"/>
        <w:bottom w:val="none" w:sz="0" w:space="0" w:color="auto"/>
        <w:right w:val="none" w:sz="0" w:space="0" w:color="auto"/>
      </w:divBdr>
    </w:div>
    <w:div w:id="421489231">
      <w:marLeft w:val="0"/>
      <w:marRight w:val="0"/>
      <w:marTop w:val="0"/>
      <w:marBottom w:val="0"/>
      <w:divBdr>
        <w:top w:val="none" w:sz="0" w:space="0" w:color="auto"/>
        <w:left w:val="none" w:sz="0" w:space="0" w:color="auto"/>
        <w:bottom w:val="none" w:sz="0" w:space="0" w:color="auto"/>
        <w:right w:val="none" w:sz="0" w:space="0" w:color="auto"/>
      </w:divBdr>
      <w:divsChild>
        <w:div w:id="1453743161">
          <w:marLeft w:val="0"/>
          <w:marRight w:val="0"/>
          <w:marTop w:val="0"/>
          <w:marBottom w:val="0"/>
          <w:divBdr>
            <w:top w:val="none" w:sz="0" w:space="0" w:color="auto"/>
            <w:left w:val="none" w:sz="0" w:space="0" w:color="auto"/>
            <w:bottom w:val="none" w:sz="0" w:space="0" w:color="auto"/>
            <w:right w:val="none" w:sz="0" w:space="0" w:color="auto"/>
          </w:divBdr>
        </w:div>
      </w:divsChild>
    </w:div>
    <w:div w:id="423309670">
      <w:marLeft w:val="0"/>
      <w:marRight w:val="0"/>
      <w:marTop w:val="200"/>
      <w:marBottom w:val="0"/>
      <w:divBdr>
        <w:top w:val="none" w:sz="0" w:space="0" w:color="auto"/>
        <w:left w:val="none" w:sz="0" w:space="0" w:color="auto"/>
        <w:bottom w:val="none" w:sz="0" w:space="0" w:color="auto"/>
        <w:right w:val="none" w:sz="0" w:space="0" w:color="auto"/>
      </w:divBdr>
    </w:div>
    <w:div w:id="424226916">
      <w:marLeft w:val="0"/>
      <w:marRight w:val="0"/>
      <w:marTop w:val="0"/>
      <w:marBottom w:val="0"/>
      <w:divBdr>
        <w:top w:val="none" w:sz="0" w:space="0" w:color="auto"/>
        <w:left w:val="none" w:sz="0" w:space="0" w:color="auto"/>
        <w:bottom w:val="none" w:sz="0" w:space="0" w:color="auto"/>
        <w:right w:val="none" w:sz="0" w:space="0" w:color="auto"/>
      </w:divBdr>
    </w:div>
    <w:div w:id="424423640">
      <w:marLeft w:val="0"/>
      <w:marRight w:val="0"/>
      <w:marTop w:val="0"/>
      <w:marBottom w:val="0"/>
      <w:divBdr>
        <w:top w:val="none" w:sz="0" w:space="0" w:color="auto"/>
        <w:left w:val="none" w:sz="0" w:space="0" w:color="auto"/>
        <w:bottom w:val="none" w:sz="0" w:space="0" w:color="auto"/>
        <w:right w:val="none" w:sz="0" w:space="0" w:color="auto"/>
      </w:divBdr>
    </w:div>
    <w:div w:id="424687646">
      <w:marLeft w:val="0"/>
      <w:marRight w:val="0"/>
      <w:marTop w:val="0"/>
      <w:marBottom w:val="0"/>
      <w:divBdr>
        <w:top w:val="none" w:sz="0" w:space="0" w:color="auto"/>
        <w:left w:val="none" w:sz="0" w:space="0" w:color="auto"/>
        <w:bottom w:val="none" w:sz="0" w:space="0" w:color="auto"/>
        <w:right w:val="none" w:sz="0" w:space="0" w:color="auto"/>
      </w:divBdr>
      <w:divsChild>
        <w:div w:id="363337063">
          <w:marLeft w:val="0"/>
          <w:marRight w:val="0"/>
          <w:marTop w:val="0"/>
          <w:marBottom w:val="0"/>
          <w:divBdr>
            <w:top w:val="none" w:sz="0" w:space="0" w:color="auto"/>
            <w:left w:val="none" w:sz="0" w:space="0" w:color="auto"/>
            <w:bottom w:val="none" w:sz="0" w:space="0" w:color="auto"/>
            <w:right w:val="none" w:sz="0" w:space="0" w:color="auto"/>
          </w:divBdr>
        </w:div>
      </w:divsChild>
    </w:div>
    <w:div w:id="424691868">
      <w:marLeft w:val="0"/>
      <w:marRight w:val="0"/>
      <w:marTop w:val="0"/>
      <w:marBottom w:val="0"/>
      <w:divBdr>
        <w:top w:val="none" w:sz="0" w:space="0" w:color="auto"/>
        <w:left w:val="none" w:sz="0" w:space="0" w:color="auto"/>
        <w:bottom w:val="none" w:sz="0" w:space="0" w:color="auto"/>
        <w:right w:val="none" w:sz="0" w:space="0" w:color="auto"/>
      </w:divBdr>
      <w:divsChild>
        <w:div w:id="614486593">
          <w:marLeft w:val="0"/>
          <w:marRight w:val="0"/>
          <w:marTop w:val="0"/>
          <w:marBottom w:val="0"/>
          <w:divBdr>
            <w:top w:val="none" w:sz="0" w:space="0" w:color="auto"/>
            <w:left w:val="none" w:sz="0" w:space="0" w:color="auto"/>
            <w:bottom w:val="none" w:sz="0" w:space="0" w:color="auto"/>
            <w:right w:val="none" w:sz="0" w:space="0" w:color="auto"/>
          </w:divBdr>
        </w:div>
      </w:divsChild>
    </w:div>
    <w:div w:id="428357145">
      <w:marLeft w:val="0"/>
      <w:marRight w:val="0"/>
      <w:marTop w:val="0"/>
      <w:marBottom w:val="0"/>
      <w:divBdr>
        <w:top w:val="none" w:sz="0" w:space="0" w:color="auto"/>
        <w:left w:val="none" w:sz="0" w:space="0" w:color="auto"/>
        <w:bottom w:val="none" w:sz="0" w:space="0" w:color="auto"/>
        <w:right w:val="none" w:sz="0" w:space="0" w:color="auto"/>
      </w:divBdr>
      <w:divsChild>
        <w:div w:id="956595503">
          <w:marLeft w:val="0"/>
          <w:marRight w:val="0"/>
          <w:marTop w:val="0"/>
          <w:marBottom w:val="0"/>
          <w:divBdr>
            <w:top w:val="none" w:sz="0" w:space="0" w:color="auto"/>
            <w:left w:val="none" w:sz="0" w:space="0" w:color="auto"/>
            <w:bottom w:val="none" w:sz="0" w:space="0" w:color="auto"/>
            <w:right w:val="none" w:sz="0" w:space="0" w:color="auto"/>
          </w:divBdr>
        </w:div>
      </w:divsChild>
    </w:div>
    <w:div w:id="428550384">
      <w:marLeft w:val="0"/>
      <w:marRight w:val="0"/>
      <w:marTop w:val="195"/>
      <w:marBottom w:val="0"/>
      <w:divBdr>
        <w:top w:val="none" w:sz="0" w:space="0" w:color="auto"/>
        <w:left w:val="none" w:sz="0" w:space="0" w:color="auto"/>
        <w:bottom w:val="none" w:sz="0" w:space="0" w:color="auto"/>
        <w:right w:val="none" w:sz="0" w:space="0" w:color="auto"/>
      </w:divBdr>
    </w:div>
    <w:div w:id="429471252">
      <w:marLeft w:val="0"/>
      <w:marRight w:val="0"/>
      <w:marTop w:val="0"/>
      <w:marBottom w:val="0"/>
      <w:divBdr>
        <w:top w:val="none" w:sz="0" w:space="0" w:color="auto"/>
        <w:left w:val="none" w:sz="0" w:space="0" w:color="auto"/>
        <w:bottom w:val="none" w:sz="0" w:space="0" w:color="auto"/>
        <w:right w:val="none" w:sz="0" w:space="0" w:color="auto"/>
      </w:divBdr>
    </w:div>
    <w:div w:id="430247817">
      <w:marLeft w:val="0"/>
      <w:marRight w:val="0"/>
      <w:marTop w:val="0"/>
      <w:marBottom w:val="0"/>
      <w:divBdr>
        <w:top w:val="none" w:sz="0" w:space="0" w:color="auto"/>
        <w:left w:val="none" w:sz="0" w:space="0" w:color="auto"/>
        <w:bottom w:val="none" w:sz="0" w:space="0" w:color="auto"/>
        <w:right w:val="none" w:sz="0" w:space="0" w:color="auto"/>
      </w:divBdr>
      <w:divsChild>
        <w:div w:id="1904683859">
          <w:marLeft w:val="0"/>
          <w:marRight w:val="0"/>
          <w:marTop w:val="0"/>
          <w:marBottom w:val="0"/>
          <w:divBdr>
            <w:top w:val="none" w:sz="0" w:space="0" w:color="auto"/>
            <w:left w:val="none" w:sz="0" w:space="0" w:color="auto"/>
            <w:bottom w:val="none" w:sz="0" w:space="0" w:color="auto"/>
            <w:right w:val="none" w:sz="0" w:space="0" w:color="auto"/>
          </w:divBdr>
        </w:div>
      </w:divsChild>
    </w:div>
    <w:div w:id="432167414">
      <w:marLeft w:val="0"/>
      <w:marRight w:val="0"/>
      <w:marTop w:val="200"/>
      <w:marBottom w:val="0"/>
      <w:divBdr>
        <w:top w:val="none" w:sz="0" w:space="0" w:color="auto"/>
        <w:left w:val="none" w:sz="0" w:space="0" w:color="auto"/>
        <w:bottom w:val="none" w:sz="0" w:space="0" w:color="auto"/>
        <w:right w:val="none" w:sz="0" w:space="0" w:color="auto"/>
      </w:divBdr>
    </w:div>
    <w:div w:id="435058757">
      <w:marLeft w:val="0"/>
      <w:marRight w:val="0"/>
      <w:marTop w:val="0"/>
      <w:marBottom w:val="0"/>
      <w:divBdr>
        <w:top w:val="none" w:sz="0" w:space="0" w:color="auto"/>
        <w:left w:val="none" w:sz="0" w:space="0" w:color="auto"/>
        <w:bottom w:val="none" w:sz="0" w:space="0" w:color="auto"/>
        <w:right w:val="none" w:sz="0" w:space="0" w:color="auto"/>
      </w:divBdr>
      <w:divsChild>
        <w:div w:id="1156871614">
          <w:marLeft w:val="0"/>
          <w:marRight w:val="0"/>
          <w:marTop w:val="0"/>
          <w:marBottom w:val="0"/>
          <w:divBdr>
            <w:top w:val="none" w:sz="0" w:space="0" w:color="auto"/>
            <w:left w:val="none" w:sz="0" w:space="0" w:color="auto"/>
            <w:bottom w:val="none" w:sz="0" w:space="0" w:color="auto"/>
            <w:right w:val="none" w:sz="0" w:space="0" w:color="auto"/>
          </w:divBdr>
        </w:div>
      </w:divsChild>
    </w:div>
    <w:div w:id="438185990">
      <w:marLeft w:val="0"/>
      <w:marRight w:val="0"/>
      <w:marTop w:val="0"/>
      <w:marBottom w:val="0"/>
      <w:divBdr>
        <w:top w:val="none" w:sz="0" w:space="0" w:color="auto"/>
        <w:left w:val="none" w:sz="0" w:space="0" w:color="auto"/>
        <w:bottom w:val="none" w:sz="0" w:space="0" w:color="auto"/>
        <w:right w:val="none" w:sz="0" w:space="0" w:color="auto"/>
      </w:divBdr>
      <w:divsChild>
        <w:div w:id="445537824">
          <w:marLeft w:val="0"/>
          <w:marRight w:val="0"/>
          <w:marTop w:val="0"/>
          <w:marBottom w:val="0"/>
          <w:divBdr>
            <w:top w:val="none" w:sz="0" w:space="0" w:color="auto"/>
            <w:left w:val="none" w:sz="0" w:space="0" w:color="auto"/>
            <w:bottom w:val="none" w:sz="0" w:space="0" w:color="auto"/>
            <w:right w:val="none" w:sz="0" w:space="0" w:color="auto"/>
          </w:divBdr>
        </w:div>
      </w:divsChild>
    </w:div>
    <w:div w:id="439760372">
      <w:marLeft w:val="0"/>
      <w:marRight w:val="0"/>
      <w:marTop w:val="100"/>
      <w:marBottom w:val="0"/>
      <w:divBdr>
        <w:top w:val="none" w:sz="0" w:space="0" w:color="auto"/>
        <w:left w:val="none" w:sz="0" w:space="0" w:color="auto"/>
        <w:bottom w:val="none" w:sz="0" w:space="0" w:color="auto"/>
        <w:right w:val="none" w:sz="0" w:space="0" w:color="auto"/>
      </w:divBdr>
    </w:div>
    <w:div w:id="441146810">
      <w:marLeft w:val="0"/>
      <w:marRight w:val="0"/>
      <w:marTop w:val="0"/>
      <w:marBottom w:val="0"/>
      <w:divBdr>
        <w:top w:val="none" w:sz="0" w:space="0" w:color="auto"/>
        <w:left w:val="none" w:sz="0" w:space="0" w:color="auto"/>
        <w:bottom w:val="none" w:sz="0" w:space="0" w:color="auto"/>
        <w:right w:val="none" w:sz="0" w:space="0" w:color="auto"/>
      </w:divBdr>
    </w:div>
    <w:div w:id="441726101">
      <w:marLeft w:val="0"/>
      <w:marRight w:val="0"/>
      <w:marTop w:val="0"/>
      <w:marBottom w:val="160"/>
      <w:divBdr>
        <w:top w:val="none" w:sz="0" w:space="0" w:color="auto"/>
        <w:left w:val="none" w:sz="0" w:space="0" w:color="auto"/>
        <w:bottom w:val="none" w:sz="0" w:space="0" w:color="auto"/>
        <w:right w:val="none" w:sz="0" w:space="0" w:color="auto"/>
      </w:divBdr>
    </w:div>
    <w:div w:id="443964308">
      <w:marLeft w:val="0"/>
      <w:marRight w:val="0"/>
      <w:marTop w:val="200"/>
      <w:marBottom w:val="0"/>
      <w:divBdr>
        <w:top w:val="none" w:sz="0" w:space="0" w:color="auto"/>
        <w:left w:val="none" w:sz="0" w:space="0" w:color="auto"/>
        <w:bottom w:val="none" w:sz="0" w:space="0" w:color="auto"/>
        <w:right w:val="none" w:sz="0" w:space="0" w:color="auto"/>
      </w:divBdr>
    </w:div>
    <w:div w:id="444159106">
      <w:marLeft w:val="0"/>
      <w:marRight w:val="0"/>
      <w:marTop w:val="0"/>
      <w:marBottom w:val="0"/>
      <w:divBdr>
        <w:top w:val="none" w:sz="0" w:space="0" w:color="auto"/>
        <w:left w:val="none" w:sz="0" w:space="0" w:color="auto"/>
        <w:bottom w:val="none" w:sz="0" w:space="0" w:color="auto"/>
        <w:right w:val="none" w:sz="0" w:space="0" w:color="auto"/>
      </w:divBdr>
    </w:div>
    <w:div w:id="445928706">
      <w:marLeft w:val="0"/>
      <w:marRight w:val="0"/>
      <w:marTop w:val="0"/>
      <w:marBottom w:val="0"/>
      <w:divBdr>
        <w:top w:val="none" w:sz="0" w:space="0" w:color="auto"/>
        <w:left w:val="none" w:sz="0" w:space="0" w:color="auto"/>
        <w:bottom w:val="none" w:sz="0" w:space="0" w:color="auto"/>
        <w:right w:val="none" w:sz="0" w:space="0" w:color="auto"/>
      </w:divBdr>
    </w:div>
    <w:div w:id="446118957">
      <w:marLeft w:val="0"/>
      <w:marRight w:val="0"/>
      <w:marTop w:val="0"/>
      <w:marBottom w:val="0"/>
      <w:divBdr>
        <w:top w:val="none" w:sz="0" w:space="0" w:color="auto"/>
        <w:left w:val="none" w:sz="0" w:space="0" w:color="auto"/>
        <w:bottom w:val="none" w:sz="0" w:space="0" w:color="auto"/>
        <w:right w:val="none" w:sz="0" w:space="0" w:color="auto"/>
      </w:divBdr>
      <w:divsChild>
        <w:div w:id="1977222809">
          <w:marLeft w:val="0"/>
          <w:marRight w:val="0"/>
          <w:marTop w:val="0"/>
          <w:marBottom w:val="0"/>
          <w:divBdr>
            <w:top w:val="none" w:sz="0" w:space="0" w:color="auto"/>
            <w:left w:val="none" w:sz="0" w:space="0" w:color="auto"/>
            <w:bottom w:val="none" w:sz="0" w:space="0" w:color="auto"/>
            <w:right w:val="none" w:sz="0" w:space="0" w:color="auto"/>
          </w:divBdr>
        </w:div>
      </w:divsChild>
    </w:div>
    <w:div w:id="447314308">
      <w:marLeft w:val="0"/>
      <w:marRight w:val="0"/>
      <w:marTop w:val="0"/>
      <w:marBottom w:val="0"/>
      <w:divBdr>
        <w:top w:val="none" w:sz="0" w:space="0" w:color="auto"/>
        <w:left w:val="none" w:sz="0" w:space="0" w:color="auto"/>
        <w:bottom w:val="none" w:sz="0" w:space="0" w:color="auto"/>
        <w:right w:val="none" w:sz="0" w:space="0" w:color="auto"/>
      </w:divBdr>
    </w:div>
    <w:div w:id="451023983">
      <w:marLeft w:val="0"/>
      <w:marRight w:val="0"/>
      <w:marTop w:val="280"/>
      <w:marBottom w:val="0"/>
      <w:divBdr>
        <w:top w:val="none" w:sz="0" w:space="0" w:color="auto"/>
        <w:left w:val="none" w:sz="0" w:space="0" w:color="auto"/>
        <w:bottom w:val="none" w:sz="0" w:space="0" w:color="auto"/>
        <w:right w:val="none" w:sz="0" w:space="0" w:color="auto"/>
      </w:divBdr>
    </w:div>
    <w:div w:id="453448515">
      <w:marLeft w:val="0"/>
      <w:marRight w:val="0"/>
      <w:marTop w:val="225"/>
      <w:marBottom w:val="0"/>
      <w:divBdr>
        <w:top w:val="none" w:sz="0" w:space="0" w:color="auto"/>
        <w:left w:val="none" w:sz="0" w:space="0" w:color="auto"/>
        <w:bottom w:val="none" w:sz="0" w:space="0" w:color="auto"/>
        <w:right w:val="none" w:sz="0" w:space="0" w:color="auto"/>
      </w:divBdr>
    </w:div>
    <w:div w:id="456139815">
      <w:marLeft w:val="0"/>
      <w:marRight w:val="0"/>
      <w:marTop w:val="100"/>
      <w:marBottom w:val="0"/>
      <w:divBdr>
        <w:top w:val="none" w:sz="0" w:space="0" w:color="auto"/>
        <w:left w:val="none" w:sz="0" w:space="0" w:color="auto"/>
        <w:bottom w:val="none" w:sz="0" w:space="0" w:color="auto"/>
        <w:right w:val="none" w:sz="0" w:space="0" w:color="auto"/>
      </w:divBdr>
    </w:div>
    <w:div w:id="466166105">
      <w:marLeft w:val="0"/>
      <w:marRight w:val="0"/>
      <w:marTop w:val="0"/>
      <w:marBottom w:val="0"/>
      <w:divBdr>
        <w:top w:val="none" w:sz="0" w:space="0" w:color="auto"/>
        <w:left w:val="none" w:sz="0" w:space="0" w:color="auto"/>
        <w:bottom w:val="none" w:sz="0" w:space="0" w:color="auto"/>
        <w:right w:val="none" w:sz="0" w:space="0" w:color="auto"/>
      </w:divBdr>
    </w:div>
    <w:div w:id="470370880">
      <w:marLeft w:val="0"/>
      <w:marRight w:val="0"/>
      <w:marTop w:val="0"/>
      <w:marBottom w:val="0"/>
      <w:divBdr>
        <w:top w:val="none" w:sz="0" w:space="0" w:color="auto"/>
        <w:left w:val="none" w:sz="0" w:space="0" w:color="auto"/>
        <w:bottom w:val="none" w:sz="0" w:space="0" w:color="auto"/>
        <w:right w:val="none" w:sz="0" w:space="0" w:color="auto"/>
      </w:divBdr>
      <w:divsChild>
        <w:div w:id="1352025173">
          <w:marLeft w:val="0"/>
          <w:marRight w:val="0"/>
          <w:marTop w:val="0"/>
          <w:marBottom w:val="0"/>
          <w:divBdr>
            <w:top w:val="none" w:sz="0" w:space="0" w:color="auto"/>
            <w:left w:val="none" w:sz="0" w:space="0" w:color="auto"/>
            <w:bottom w:val="none" w:sz="0" w:space="0" w:color="auto"/>
            <w:right w:val="none" w:sz="0" w:space="0" w:color="auto"/>
          </w:divBdr>
        </w:div>
      </w:divsChild>
    </w:div>
    <w:div w:id="471757385">
      <w:marLeft w:val="0"/>
      <w:marRight w:val="0"/>
      <w:marTop w:val="120"/>
      <w:marBottom w:val="0"/>
      <w:divBdr>
        <w:top w:val="none" w:sz="0" w:space="0" w:color="auto"/>
        <w:left w:val="none" w:sz="0" w:space="0" w:color="auto"/>
        <w:bottom w:val="none" w:sz="0" w:space="0" w:color="auto"/>
        <w:right w:val="none" w:sz="0" w:space="0" w:color="auto"/>
      </w:divBdr>
    </w:div>
    <w:div w:id="474420797">
      <w:marLeft w:val="0"/>
      <w:marRight w:val="0"/>
      <w:marTop w:val="0"/>
      <w:marBottom w:val="0"/>
      <w:divBdr>
        <w:top w:val="none" w:sz="0" w:space="0" w:color="auto"/>
        <w:left w:val="none" w:sz="0" w:space="0" w:color="auto"/>
        <w:bottom w:val="none" w:sz="0" w:space="0" w:color="auto"/>
        <w:right w:val="none" w:sz="0" w:space="0" w:color="auto"/>
      </w:divBdr>
      <w:divsChild>
        <w:div w:id="529804270">
          <w:marLeft w:val="0"/>
          <w:marRight w:val="0"/>
          <w:marTop w:val="0"/>
          <w:marBottom w:val="0"/>
          <w:divBdr>
            <w:top w:val="none" w:sz="0" w:space="0" w:color="auto"/>
            <w:left w:val="none" w:sz="0" w:space="0" w:color="auto"/>
            <w:bottom w:val="none" w:sz="0" w:space="0" w:color="auto"/>
            <w:right w:val="none" w:sz="0" w:space="0" w:color="auto"/>
          </w:divBdr>
        </w:div>
        <w:div w:id="1464734577">
          <w:marLeft w:val="0"/>
          <w:marRight w:val="0"/>
          <w:marTop w:val="0"/>
          <w:marBottom w:val="0"/>
          <w:divBdr>
            <w:top w:val="none" w:sz="0" w:space="0" w:color="auto"/>
            <w:left w:val="none" w:sz="0" w:space="0" w:color="auto"/>
            <w:bottom w:val="none" w:sz="0" w:space="0" w:color="auto"/>
            <w:right w:val="none" w:sz="0" w:space="0" w:color="auto"/>
          </w:divBdr>
        </w:div>
        <w:div w:id="1688948512">
          <w:marLeft w:val="0"/>
          <w:marRight w:val="0"/>
          <w:marTop w:val="0"/>
          <w:marBottom w:val="0"/>
          <w:divBdr>
            <w:top w:val="none" w:sz="0" w:space="0" w:color="auto"/>
            <w:left w:val="none" w:sz="0" w:space="0" w:color="auto"/>
            <w:bottom w:val="none" w:sz="0" w:space="0" w:color="auto"/>
            <w:right w:val="none" w:sz="0" w:space="0" w:color="auto"/>
          </w:divBdr>
        </w:div>
        <w:div w:id="320472509">
          <w:marLeft w:val="0"/>
          <w:marRight w:val="0"/>
          <w:marTop w:val="0"/>
          <w:marBottom w:val="0"/>
          <w:divBdr>
            <w:top w:val="none" w:sz="0" w:space="0" w:color="auto"/>
            <w:left w:val="none" w:sz="0" w:space="0" w:color="auto"/>
            <w:bottom w:val="none" w:sz="0" w:space="0" w:color="auto"/>
            <w:right w:val="none" w:sz="0" w:space="0" w:color="auto"/>
          </w:divBdr>
        </w:div>
      </w:divsChild>
    </w:div>
    <w:div w:id="481696531">
      <w:marLeft w:val="0"/>
      <w:marRight w:val="0"/>
      <w:marTop w:val="0"/>
      <w:marBottom w:val="0"/>
      <w:divBdr>
        <w:top w:val="none" w:sz="0" w:space="0" w:color="auto"/>
        <w:left w:val="none" w:sz="0" w:space="0" w:color="auto"/>
        <w:bottom w:val="none" w:sz="0" w:space="0" w:color="auto"/>
        <w:right w:val="none" w:sz="0" w:space="0" w:color="auto"/>
      </w:divBdr>
    </w:div>
    <w:div w:id="482507058">
      <w:marLeft w:val="0"/>
      <w:marRight w:val="0"/>
      <w:marTop w:val="0"/>
      <w:marBottom w:val="0"/>
      <w:divBdr>
        <w:top w:val="none" w:sz="0" w:space="0" w:color="auto"/>
        <w:left w:val="none" w:sz="0" w:space="0" w:color="auto"/>
        <w:bottom w:val="none" w:sz="0" w:space="0" w:color="auto"/>
        <w:right w:val="none" w:sz="0" w:space="0" w:color="auto"/>
      </w:divBdr>
      <w:divsChild>
        <w:div w:id="652372256">
          <w:marLeft w:val="0"/>
          <w:marRight w:val="0"/>
          <w:marTop w:val="0"/>
          <w:marBottom w:val="0"/>
          <w:divBdr>
            <w:top w:val="none" w:sz="0" w:space="0" w:color="auto"/>
            <w:left w:val="none" w:sz="0" w:space="0" w:color="auto"/>
            <w:bottom w:val="none" w:sz="0" w:space="0" w:color="auto"/>
            <w:right w:val="none" w:sz="0" w:space="0" w:color="auto"/>
          </w:divBdr>
        </w:div>
        <w:div w:id="297877991">
          <w:marLeft w:val="0"/>
          <w:marRight w:val="0"/>
          <w:marTop w:val="0"/>
          <w:marBottom w:val="0"/>
          <w:divBdr>
            <w:top w:val="none" w:sz="0" w:space="0" w:color="auto"/>
            <w:left w:val="none" w:sz="0" w:space="0" w:color="auto"/>
            <w:bottom w:val="none" w:sz="0" w:space="0" w:color="auto"/>
            <w:right w:val="none" w:sz="0" w:space="0" w:color="auto"/>
          </w:divBdr>
        </w:div>
        <w:div w:id="1423645266">
          <w:marLeft w:val="0"/>
          <w:marRight w:val="0"/>
          <w:marTop w:val="0"/>
          <w:marBottom w:val="0"/>
          <w:divBdr>
            <w:top w:val="none" w:sz="0" w:space="0" w:color="auto"/>
            <w:left w:val="none" w:sz="0" w:space="0" w:color="auto"/>
            <w:bottom w:val="none" w:sz="0" w:space="0" w:color="auto"/>
            <w:right w:val="none" w:sz="0" w:space="0" w:color="auto"/>
          </w:divBdr>
        </w:div>
        <w:div w:id="1469738122">
          <w:marLeft w:val="0"/>
          <w:marRight w:val="0"/>
          <w:marTop w:val="0"/>
          <w:marBottom w:val="0"/>
          <w:divBdr>
            <w:top w:val="none" w:sz="0" w:space="0" w:color="auto"/>
            <w:left w:val="none" w:sz="0" w:space="0" w:color="auto"/>
            <w:bottom w:val="none" w:sz="0" w:space="0" w:color="auto"/>
            <w:right w:val="none" w:sz="0" w:space="0" w:color="auto"/>
          </w:divBdr>
        </w:div>
      </w:divsChild>
    </w:div>
    <w:div w:id="485172244">
      <w:marLeft w:val="0"/>
      <w:marRight w:val="0"/>
      <w:marTop w:val="0"/>
      <w:marBottom w:val="160"/>
      <w:divBdr>
        <w:top w:val="none" w:sz="0" w:space="0" w:color="auto"/>
        <w:left w:val="none" w:sz="0" w:space="0" w:color="auto"/>
        <w:bottom w:val="none" w:sz="0" w:space="0" w:color="auto"/>
        <w:right w:val="none" w:sz="0" w:space="0" w:color="auto"/>
      </w:divBdr>
    </w:div>
    <w:div w:id="487400131">
      <w:marLeft w:val="0"/>
      <w:marRight w:val="0"/>
      <w:marTop w:val="0"/>
      <w:marBottom w:val="0"/>
      <w:divBdr>
        <w:top w:val="none" w:sz="0" w:space="0" w:color="auto"/>
        <w:left w:val="none" w:sz="0" w:space="0" w:color="auto"/>
        <w:bottom w:val="none" w:sz="0" w:space="0" w:color="auto"/>
        <w:right w:val="none" w:sz="0" w:space="0" w:color="auto"/>
      </w:divBdr>
    </w:div>
    <w:div w:id="488598519">
      <w:marLeft w:val="0"/>
      <w:marRight w:val="0"/>
      <w:marTop w:val="0"/>
      <w:marBottom w:val="0"/>
      <w:divBdr>
        <w:top w:val="none" w:sz="0" w:space="0" w:color="auto"/>
        <w:left w:val="none" w:sz="0" w:space="0" w:color="auto"/>
        <w:bottom w:val="none" w:sz="0" w:space="0" w:color="auto"/>
        <w:right w:val="none" w:sz="0" w:space="0" w:color="auto"/>
      </w:divBdr>
    </w:div>
    <w:div w:id="491410011">
      <w:marLeft w:val="0"/>
      <w:marRight w:val="0"/>
      <w:marTop w:val="0"/>
      <w:marBottom w:val="0"/>
      <w:divBdr>
        <w:top w:val="none" w:sz="0" w:space="0" w:color="auto"/>
        <w:left w:val="none" w:sz="0" w:space="0" w:color="auto"/>
        <w:bottom w:val="none" w:sz="0" w:space="0" w:color="auto"/>
        <w:right w:val="none" w:sz="0" w:space="0" w:color="auto"/>
      </w:divBdr>
      <w:divsChild>
        <w:div w:id="508297230">
          <w:marLeft w:val="0"/>
          <w:marRight w:val="0"/>
          <w:marTop w:val="0"/>
          <w:marBottom w:val="0"/>
          <w:divBdr>
            <w:top w:val="none" w:sz="0" w:space="0" w:color="auto"/>
            <w:left w:val="none" w:sz="0" w:space="0" w:color="auto"/>
            <w:bottom w:val="none" w:sz="0" w:space="0" w:color="auto"/>
            <w:right w:val="none" w:sz="0" w:space="0" w:color="auto"/>
          </w:divBdr>
        </w:div>
      </w:divsChild>
    </w:div>
    <w:div w:id="491875257">
      <w:marLeft w:val="0"/>
      <w:marRight w:val="0"/>
      <w:marTop w:val="0"/>
      <w:marBottom w:val="0"/>
      <w:divBdr>
        <w:top w:val="none" w:sz="0" w:space="0" w:color="auto"/>
        <w:left w:val="none" w:sz="0" w:space="0" w:color="auto"/>
        <w:bottom w:val="none" w:sz="0" w:space="0" w:color="auto"/>
        <w:right w:val="none" w:sz="0" w:space="0" w:color="auto"/>
      </w:divBdr>
      <w:divsChild>
        <w:div w:id="1449465755">
          <w:marLeft w:val="0"/>
          <w:marRight w:val="0"/>
          <w:marTop w:val="0"/>
          <w:marBottom w:val="0"/>
          <w:divBdr>
            <w:top w:val="none" w:sz="0" w:space="0" w:color="auto"/>
            <w:left w:val="none" w:sz="0" w:space="0" w:color="auto"/>
            <w:bottom w:val="none" w:sz="0" w:space="0" w:color="auto"/>
            <w:right w:val="none" w:sz="0" w:space="0" w:color="auto"/>
          </w:divBdr>
        </w:div>
      </w:divsChild>
    </w:div>
    <w:div w:id="492985953">
      <w:marLeft w:val="0"/>
      <w:marRight w:val="0"/>
      <w:marTop w:val="200"/>
      <w:marBottom w:val="0"/>
      <w:divBdr>
        <w:top w:val="none" w:sz="0" w:space="0" w:color="auto"/>
        <w:left w:val="none" w:sz="0" w:space="0" w:color="auto"/>
        <w:bottom w:val="none" w:sz="0" w:space="0" w:color="auto"/>
        <w:right w:val="none" w:sz="0" w:space="0" w:color="auto"/>
      </w:divBdr>
    </w:div>
    <w:div w:id="495338008">
      <w:marLeft w:val="0"/>
      <w:marRight w:val="0"/>
      <w:marTop w:val="0"/>
      <w:marBottom w:val="0"/>
      <w:divBdr>
        <w:top w:val="none" w:sz="0" w:space="0" w:color="auto"/>
        <w:left w:val="none" w:sz="0" w:space="0" w:color="auto"/>
        <w:bottom w:val="none" w:sz="0" w:space="0" w:color="auto"/>
        <w:right w:val="none" w:sz="0" w:space="0" w:color="auto"/>
      </w:divBdr>
      <w:divsChild>
        <w:div w:id="416513807">
          <w:marLeft w:val="0"/>
          <w:marRight w:val="0"/>
          <w:marTop w:val="0"/>
          <w:marBottom w:val="0"/>
          <w:divBdr>
            <w:top w:val="none" w:sz="0" w:space="0" w:color="auto"/>
            <w:left w:val="none" w:sz="0" w:space="0" w:color="auto"/>
            <w:bottom w:val="none" w:sz="0" w:space="0" w:color="auto"/>
            <w:right w:val="none" w:sz="0" w:space="0" w:color="auto"/>
          </w:divBdr>
        </w:div>
      </w:divsChild>
    </w:div>
    <w:div w:id="497039073">
      <w:marLeft w:val="0"/>
      <w:marRight w:val="0"/>
      <w:marTop w:val="200"/>
      <w:marBottom w:val="0"/>
      <w:divBdr>
        <w:top w:val="none" w:sz="0" w:space="0" w:color="auto"/>
        <w:left w:val="none" w:sz="0" w:space="0" w:color="auto"/>
        <w:bottom w:val="none" w:sz="0" w:space="0" w:color="auto"/>
        <w:right w:val="none" w:sz="0" w:space="0" w:color="auto"/>
      </w:divBdr>
    </w:div>
    <w:div w:id="499781672">
      <w:marLeft w:val="0"/>
      <w:marRight w:val="0"/>
      <w:marTop w:val="0"/>
      <w:marBottom w:val="0"/>
      <w:divBdr>
        <w:top w:val="none" w:sz="0" w:space="0" w:color="auto"/>
        <w:left w:val="none" w:sz="0" w:space="0" w:color="auto"/>
        <w:bottom w:val="none" w:sz="0" w:space="0" w:color="auto"/>
        <w:right w:val="none" w:sz="0" w:space="0" w:color="auto"/>
      </w:divBdr>
      <w:divsChild>
        <w:div w:id="695346016">
          <w:marLeft w:val="0"/>
          <w:marRight w:val="0"/>
          <w:marTop w:val="0"/>
          <w:marBottom w:val="0"/>
          <w:divBdr>
            <w:top w:val="none" w:sz="0" w:space="0" w:color="auto"/>
            <w:left w:val="none" w:sz="0" w:space="0" w:color="auto"/>
            <w:bottom w:val="none" w:sz="0" w:space="0" w:color="auto"/>
            <w:right w:val="none" w:sz="0" w:space="0" w:color="auto"/>
          </w:divBdr>
        </w:div>
      </w:divsChild>
    </w:div>
    <w:div w:id="500581496">
      <w:marLeft w:val="0"/>
      <w:marRight w:val="0"/>
      <w:marTop w:val="0"/>
      <w:marBottom w:val="0"/>
      <w:divBdr>
        <w:top w:val="none" w:sz="0" w:space="0" w:color="auto"/>
        <w:left w:val="none" w:sz="0" w:space="0" w:color="auto"/>
        <w:bottom w:val="none" w:sz="0" w:space="0" w:color="auto"/>
        <w:right w:val="none" w:sz="0" w:space="0" w:color="auto"/>
      </w:divBdr>
      <w:divsChild>
        <w:div w:id="1458837389">
          <w:marLeft w:val="0"/>
          <w:marRight w:val="0"/>
          <w:marTop w:val="0"/>
          <w:marBottom w:val="0"/>
          <w:divBdr>
            <w:top w:val="none" w:sz="0" w:space="0" w:color="auto"/>
            <w:left w:val="none" w:sz="0" w:space="0" w:color="auto"/>
            <w:bottom w:val="none" w:sz="0" w:space="0" w:color="auto"/>
            <w:right w:val="none" w:sz="0" w:space="0" w:color="auto"/>
          </w:divBdr>
          <w:divsChild>
            <w:div w:id="15140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4573">
      <w:marLeft w:val="0"/>
      <w:marRight w:val="0"/>
      <w:marTop w:val="0"/>
      <w:marBottom w:val="160"/>
      <w:divBdr>
        <w:top w:val="none" w:sz="0" w:space="0" w:color="auto"/>
        <w:left w:val="none" w:sz="0" w:space="0" w:color="auto"/>
        <w:bottom w:val="none" w:sz="0" w:space="0" w:color="auto"/>
        <w:right w:val="none" w:sz="0" w:space="0" w:color="auto"/>
      </w:divBdr>
    </w:div>
    <w:div w:id="502472066">
      <w:marLeft w:val="0"/>
      <w:marRight w:val="0"/>
      <w:marTop w:val="0"/>
      <w:marBottom w:val="0"/>
      <w:divBdr>
        <w:top w:val="none" w:sz="0" w:space="0" w:color="auto"/>
        <w:left w:val="none" w:sz="0" w:space="0" w:color="auto"/>
        <w:bottom w:val="none" w:sz="0" w:space="0" w:color="auto"/>
        <w:right w:val="none" w:sz="0" w:space="0" w:color="auto"/>
      </w:divBdr>
      <w:divsChild>
        <w:div w:id="118426222">
          <w:marLeft w:val="0"/>
          <w:marRight w:val="0"/>
          <w:marTop w:val="0"/>
          <w:marBottom w:val="0"/>
          <w:divBdr>
            <w:top w:val="none" w:sz="0" w:space="0" w:color="auto"/>
            <w:left w:val="none" w:sz="0" w:space="0" w:color="auto"/>
            <w:bottom w:val="none" w:sz="0" w:space="0" w:color="auto"/>
            <w:right w:val="none" w:sz="0" w:space="0" w:color="auto"/>
          </w:divBdr>
        </w:div>
      </w:divsChild>
    </w:div>
    <w:div w:id="506286556">
      <w:marLeft w:val="0"/>
      <w:marRight w:val="0"/>
      <w:marTop w:val="200"/>
      <w:marBottom w:val="0"/>
      <w:divBdr>
        <w:top w:val="none" w:sz="0" w:space="0" w:color="auto"/>
        <w:left w:val="none" w:sz="0" w:space="0" w:color="auto"/>
        <w:bottom w:val="none" w:sz="0" w:space="0" w:color="auto"/>
        <w:right w:val="none" w:sz="0" w:space="0" w:color="auto"/>
      </w:divBdr>
    </w:div>
    <w:div w:id="507453083">
      <w:marLeft w:val="0"/>
      <w:marRight w:val="0"/>
      <w:marTop w:val="200"/>
      <w:marBottom w:val="0"/>
      <w:divBdr>
        <w:top w:val="none" w:sz="0" w:space="0" w:color="auto"/>
        <w:left w:val="none" w:sz="0" w:space="0" w:color="auto"/>
        <w:bottom w:val="none" w:sz="0" w:space="0" w:color="auto"/>
        <w:right w:val="none" w:sz="0" w:space="0" w:color="auto"/>
      </w:divBdr>
    </w:div>
    <w:div w:id="507671980">
      <w:marLeft w:val="0"/>
      <w:marRight w:val="0"/>
      <w:marTop w:val="0"/>
      <w:marBottom w:val="200"/>
      <w:divBdr>
        <w:top w:val="none" w:sz="0" w:space="0" w:color="auto"/>
        <w:left w:val="none" w:sz="0" w:space="0" w:color="auto"/>
        <w:bottom w:val="none" w:sz="0" w:space="0" w:color="auto"/>
        <w:right w:val="none" w:sz="0" w:space="0" w:color="auto"/>
      </w:divBdr>
    </w:div>
    <w:div w:id="511185243">
      <w:marLeft w:val="0"/>
      <w:marRight w:val="0"/>
      <w:marTop w:val="0"/>
      <w:marBottom w:val="0"/>
      <w:divBdr>
        <w:top w:val="none" w:sz="0" w:space="0" w:color="auto"/>
        <w:left w:val="none" w:sz="0" w:space="0" w:color="auto"/>
        <w:bottom w:val="none" w:sz="0" w:space="0" w:color="auto"/>
        <w:right w:val="none" w:sz="0" w:space="0" w:color="auto"/>
      </w:divBdr>
    </w:div>
    <w:div w:id="511458062">
      <w:marLeft w:val="0"/>
      <w:marRight w:val="0"/>
      <w:marTop w:val="0"/>
      <w:marBottom w:val="0"/>
      <w:divBdr>
        <w:top w:val="none" w:sz="0" w:space="0" w:color="auto"/>
        <w:left w:val="none" w:sz="0" w:space="0" w:color="auto"/>
        <w:bottom w:val="none" w:sz="0" w:space="0" w:color="auto"/>
        <w:right w:val="none" w:sz="0" w:space="0" w:color="auto"/>
      </w:divBdr>
    </w:div>
    <w:div w:id="512188888">
      <w:marLeft w:val="0"/>
      <w:marRight w:val="0"/>
      <w:marTop w:val="0"/>
      <w:marBottom w:val="160"/>
      <w:divBdr>
        <w:top w:val="none" w:sz="0" w:space="0" w:color="auto"/>
        <w:left w:val="none" w:sz="0" w:space="0" w:color="auto"/>
        <w:bottom w:val="none" w:sz="0" w:space="0" w:color="auto"/>
        <w:right w:val="none" w:sz="0" w:space="0" w:color="auto"/>
      </w:divBdr>
    </w:div>
    <w:div w:id="512376601">
      <w:marLeft w:val="0"/>
      <w:marRight w:val="0"/>
      <w:marTop w:val="0"/>
      <w:marBottom w:val="0"/>
      <w:divBdr>
        <w:top w:val="none" w:sz="0" w:space="0" w:color="auto"/>
        <w:left w:val="none" w:sz="0" w:space="0" w:color="auto"/>
        <w:bottom w:val="none" w:sz="0" w:space="0" w:color="auto"/>
        <w:right w:val="none" w:sz="0" w:space="0" w:color="auto"/>
      </w:divBdr>
    </w:div>
    <w:div w:id="512383503">
      <w:marLeft w:val="0"/>
      <w:marRight w:val="0"/>
      <w:marTop w:val="200"/>
      <w:marBottom w:val="0"/>
      <w:divBdr>
        <w:top w:val="none" w:sz="0" w:space="0" w:color="auto"/>
        <w:left w:val="none" w:sz="0" w:space="0" w:color="auto"/>
        <w:bottom w:val="none" w:sz="0" w:space="0" w:color="auto"/>
        <w:right w:val="none" w:sz="0" w:space="0" w:color="auto"/>
      </w:divBdr>
    </w:div>
    <w:div w:id="512764091">
      <w:marLeft w:val="0"/>
      <w:marRight w:val="0"/>
      <w:marTop w:val="0"/>
      <w:marBottom w:val="0"/>
      <w:divBdr>
        <w:top w:val="none" w:sz="0" w:space="0" w:color="auto"/>
        <w:left w:val="none" w:sz="0" w:space="0" w:color="auto"/>
        <w:bottom w:val="none" w:sz="0" w:space="0" w:color="auto"/>
        <w:right w:val="none" w:sz="0" w:space="0" w:color="auto"/>
      </w:divBdr>
      <w:divsChild>
        <w:div w:id="1186333347">
          <w:marLeft w:val="0"/>
          <w:marRight w:val="0"/>
          <w:marTop w:val="0"/>
          <w:marBottom w:val="0"/>
          <w:divBdr>
            <w:top w:val="none" w:sz="0" w:space="0" w:color="auto"/>
            <w:left w:val="none" w:sz="0" w:space="0" w:color="auto"/>
            <w:bottom w:val="none" w:sz="0" w:space="0" w:color="auto"/>
            <w:right w:val="none" w:sz="0" w:space="0" w:color="auto"/>
          </w:divBdr>
        </w:div>
      </w:divsChild>
    </w:div>
    <w:div w:id="513612492">
      <w:marLeft w:val="0"/>
      <w:marRight w:val="0"/>
      <w:marTop w:val="0"/>
      <w:marBottom w:val="0"/>
      <w:divBdr>
        <w:top w:val="none" w:sz="0" w:space="0" w:color="auto"/>
        <w:left w:val="none" w:sz="0" w:space="0" w:color="auto"/>
        <w:bottom w:val="none" w:sz="0" w:space="0" w:color="auto"/>
        <w:right w:val="none" w:sz="0" w:space="0" w:color="auto"/>
      </w:divBdr>
    </w:div>
    <w:div w:id="515315685">
      <w:marLeft w:val="0"/>
      <w:marRight w:val="0"/>
      <w:marTop w:val="0"/>
      <w:marBottom w:val="0"/>
      <w:divBdr>
        <w:top w:val="none" w:sz="0" w:space="0" w:color="auto"/>
        <w:left w:val="none" w:sz="0" w:space="0" w:color="auto"/>
        <w:bottom w:val="none" w:sz="0" w:space="0" w:color="auto"/>
        <w:right w:val="none" w:sz="0" w:space="0" w:color="auto"/>
      </w:divBdr>
    </w:div>
    <w:div w:id="515535147">
      <w:marLeft w:val="0"/>
      <w:marRight w:val="0"/>
      <w:marTop w:val="0"/>
      <w:marBottom w:val="200"/>
      <w:divBdr>
        <w:top w:val="none" w:sz="0" w:space="0" w:color="auto"/>
        <w:left w:val="none" w:sz="0" w:space="0" w:color="auto"/>
        <w:bottom w:val="none" w:sz="0" w:space="0" w:color="auto"/>
        <w:right w:val="none" w:sz="0" w:space="0" w:color="auto"/>
      </w:divBdr>
    </w:div>
    <w:div w:id="517157138">
      <w:marLeft w:val="0"/>
      <w:marRight w:val="0"/>
      <w:marTop w:val="200"/>
      <w:marBottom w:val="0"/>
      <w:divBdr>
        <w:top w:val="none" w:sz="0" w:space="0" w:color="auto"/>
        <w:left w:val="none" w:sz="0" w:space="0" w:color="auto"/>
        <w:bottom w:val="none" w:sz="0" w:space="0" w:color="auto"/>
        <w:right w:val="none" w:sz="0" w:space="0" w:color="auto"/>
      </w:divBdr>
    </w:div>
    <w:div w:id="517349013">
      <w:marLeft w:val="0"/>
      <w:marRight w:val="0"/>
      <w:marTop w:val="200"/>
      <w:marBottom w:val="0"/>
      <w:divBdr>
        <w:top w:val="none" w:sz="0" w:space="0" w:color="auto"/>
        <w:left w:val="none" w:sz="0" w:space="0" w:color="auto"/>
        <w:bottom w:val="none" w:sz="0" w:space="0" w:color="auto"/>
        <w:right w:val="none" w:sz="0" w:space="0" w:color="auto"/>
      </w:divBdr>
    </w:div>
    <w:div w:id="517353586">
      <w:marLeft w:val="0"/>
      <w:marRight w:val="0"/>
      <w:marTop w:val="0"/>
      <w:marBottom w:val="0"/>
      <w:divBdr>
        <w:top w:val="none" w:sz="0" w:space="0" w:color="auto"/>
        <w:left w:val="none" w:sz="0" w:space="0" w:color="auto"/>
        <w:bottom w:val="none" w:sz="0" w:space="0" w:color="auto"/>
        <w:right w:val="none" w:sz="0" w:space="0" w:color="auto"/>
      </w:divBdr>
    </w:div>
    <w:div w:id="518542345">
      <w:marLeft w:val="0"/>
      <w:marRight w:val="0"/>
      <w:marTop w:val="200"/>
      <w:marBottom w:val="0"/>
      <w:divBdr>
        <w:top w:val="none" w:sz="0" w:space="0" w:color="auto"/>
        <w:left w:val="none" w:sz="0" w:space="0" w:color="auto"/>
        <w:bottom w:val="none" w:sz="0" w:space="0" w:color="auto"/>
        <w:right w:val="none" w:sz="0" w:space="0" w:color="auto"/>
      </w:divBdr>
    </w:div>
    <w:div w:id="518861921">
      <w:marLeft w:val="0"/>
      <w:marRight w:val="0"/>
      <w:marTop w:val="200"/>
      <w:marBottom w:val="0"/>
      <w:divBdr>
        <w:top w:val="none" w:sz="0" w:space="0" w:color="auto"/>
        <w:left w:val="none" w:sz="0" w:space="0" w:color="auto"/>
        <w:bottom w:val="none" w:sz="0" w:space="0" w:color="auto"/>
        <w:right w:val="none" w:sz="0" w:space="0" w:color="auto"/>
      </w:divBdr>
    </w:div>
    <w:div w:id="522401011">
      <w:marLeft w:val="0"/>
      <w:marRight w:val="0"/>
      <w:marTop w:val="0"/>
      <w:marBottom w:val="0"/>
      <w:divBdr>
        <w:top w:val="none" w:sz="0" w:space="0" w:color="auto"/>
        <w:left w:val="none" w:sz="0" w:space="0" w:color="auto"/>
        <w:bottom w:val="none" w:sz="0" w:space="0" w:color="auto"/>
        <w:right w:val="none" w:sz="0" w:space="0" w:color="auto"/>
      </w:divBdr>
    </w:div>
    <w:div w:id="525488679">
      <w:marLeft w:val="0"/>
      <w:marRight w:val="0"/>
      <w:marTop w:val="200"/>
      <w:marBottom w:val="0"/>
      <w:divBdr>
        <w:top w:val="none" w:sz="0" w:space="0" w:color="auto"/>
        <w:left w:val="none" w:sz="0" w:space="0" w:color="auto"/>
        <w:bottom w:val="none" w:sz="0" w:space="0" w:color="auto"/>
        <w:right w:val="none" w:sz="0" w:space="0" w:color="auto"/>
      </w:divBdr>
    </w:div>
    <w:div w:id="526063466">
      <w:marLeft w:val="0"/>
      <w:marRight w:val="0"/>
      <w:marTop w:val="200"/>
      <w:marBottom w:val="0"/>
      <w:divBdr>
        <w:top w:val="none" w:sz="0" w:space="0" w:color="auto"/>
        <w:left w:val="none" w:sz="0" w:space="0" w:color="auto"/>
        <w:bottom w:val="none" w:sz="0" w:space="0" w:color="auto"/>
        <w:right w:val="none" w:sz="0" w:space="0" w:color="auto"/>
      </w:divBdr>
    </w:div>
    <w:div w:id="528185812">
      <w:marLeft w:val="0"/>
      <w:marRight w:val="0"/>
      <w:marTop w:val="0"/>
      <w:marBottom w:val="0"/>
      <w:divBdr>
        <w:top w:val="none" w:sz="0" w:space="0" w:color="auto"/>
        <w:left w:val="none" w:sz="0" w:space="0" w:color="auto"/>
        <w:bottom w:val="none" w:sz="0" w:space="0" w:color="auto"/>
        <w:right w:val="none" w:sz="0" w:space="0" w:color="auto"/>
      </w:divBdr>
      <w:divsChild>
        <w:div w:id="1364749260">
          <w:marLeft w:val="0"/>
          <w:marRight w:val="0"/>
          <w:marTop w:val="0"/>
          <w:marBottom w:val="0"/>
          <w:divBdr>
            <w:top w:val="none" w:sz="0" w:space="0" w:color="auto"/>
            <w:left w:val="none" w:sz="0" w:space="0" w:color="auto"/>
            <w:bottom w:val="none" w:sz="0" w:space="0" w:color="auto"/>
            <w:right w:val="none" w:sz="0" w:space="0" w:color="auto"/>
          </w:divBdr>
        </w:div>
      </w:divsChild>
    </w:div>
    <w:div w:id="528877576">
      <w:marLeft w:val="0"/>
      <w:marRight w:val="0"/>
      <w:marTop w:val="0"/>
      <w:marBottom w:val="0"/>
      <w:divBdr>
        <w:top w:val="none" w:sz="0" w:space="0" w:color="auto"/>
        <w:left w:val="none" w:sz="0" w:space="0" w:color="auto"/>
        <w:bottom w:val="none" w:sz="0" w:space="0" w:color="auto"/>
        <w:right w:val="none" w:sz="0" w:space="0" w:color="auto"/>
      </w:divBdr>
      <w:divsChild>
        <w:div w:id="240530553">
          <w:marLeft w:val="0"/>
          <w:marRight w:val="0"/>
          <w:marTop w:val="0"/>
          <w:marBottom w:val="0"/>
          <w:divBdr>
            <w:top w:val="none" w:sz="0" w:space="0" w:color="auto"/>
            <w:left w:val="none" w:sz="0" w:space="0" w:color="auto"/>
            <w:bottom w:val="none" w:sz="0" w:space="0" w:color="auto"/>
            <w:right w:val="none" w:sz="0" w:space="0" w:color="auto"/>
          </w:divBdr>
        </w:div>
      </w:divsChild>
    </w:div>
    <w:div w:id="529228369">
      <w:marLeft w:val="0"/>
      <w:marRight w:val="0"/>
      <w:marTop w:val="100"/>
      <w:marBottom w:val="0"/>
      <w:divBdr>
        <w:top w:val="none" w:sz="0" w:space="0" w:color="auto"/>
        <w:left w:val="none" w:sz="0" w:space="0" w:color="auto"/>
        <w:bottom w:val="none" w:sz="0" w:space="0" w:color="auto"/>
        <w:right w:val="none" w:sz="0" w:space="0" w:color="auto"/>
      </w:divBdr>
    </w:div>
    <w:div w:id="538663637">
      <w:marLeft w:val="0"/>
      <w:marRight w:val="0"/>
      <w:marTop w:val="0"/>
      <w:marBottom w:val="200"/>
      <w:divBdr>
        <w:top w:val="none" w:sz="0" w:space="0" w:color="auto"/>
        <w:left w:val="none" w:sz="0" w:space="0" w:color="auto"/>
        <w:bottom w:val="none" w:sz="0" w:space="0" w:color="auto"/>
        <w:right w:val="none" w:sz="0" w:space="0" w:color="auto"/>
      </w:divBdr>
    </w:div>
    <w:div w:id="541283678">
      <w:marLeft w:val="0"/>
      <w:marRight w:val="0"/>
      <w:marTop w:val="0"/>
      <w:marBottom w:val="0"/>
      <w:divBdr>
        <w:top w:val="none" w:sz="0" w:space="0" w:color="auto"/>
        <w:left w:val="none" w:sz="0" w:space="0" w:color="auto"/>
        <w:bottom w:val="none" w:sz="0" w:space="0" w:color="auto"/>
        <w:right w:val="none" w:sz="0" w:space="0" w:color="auto"/>
      </w:divBdr>
      <w:divsChild>
        <w:div w:id="2088381671">
          <w:marLeft w:val="0"/>
          <w:marRight w:val="0"/>
          <w:marTop w:val="0"/>
          <w:marBottom w:val="0"/>
          <w:divBdr>
            <w:top w:val="none" w:sz="0" w:space="0" w:color="auto"/>
            <w:left w:val="none" w:sz="0" w:space="0" w:color="auto"/>
            <w:bottom w:val="none" w:sz="0" w:space="0" w:color="auto"/>
            <w:right w:val="none" w:sz="0" w:space="0" w:color="auto"/>
          </w:divBdr>
        </w:div>
      </w:divsChild>
    </w:div>
    <w:div w:id="543447748">
      <w:marLeft w:val="0"/>
      <w:marRight w:val="0"/>
      <w:marTop w:val="0"/>
      <w:marBottom w:val="0"/>
      <w:divBdr>
        <w:top w:val="none" w:sz="0" w:space="0" w:color="auto"/>
        <w:left w:val="none" w:sz="0" w:space="0" w:color="auto"/>
        <w:bottom w:val="none" w:sz="0" w:space="0" w:color="auto"/>
        <w:right w:val="none" w:sz="0" w:space="0" w:color="auto"/>
      </w:divBdr>
    </w:div>
    <w:div w:id="543522404">
      <w:marLeft w:val="0"/>
      <w:marRight w:val="0"/>
      <w:marTop w:val="0"/>
      <w:marBottom w:val="0"/>
      <w:divBdr>
        <w:top w:val="none" w:sz="0" w:space="0" w:color="auto"/>
        <w:left w:val="none" w:sz="0" w:space="0" w:color="auto"/>
        <w:bottom w:val="none" w:sz="0" w:space="0" w:color="auto"/>
        <w:right w:val="none" w:sz="0" w:space="0" w:color="auto"/>
      </w:divBdr>
      <w:divsChild>
        <w:div w:id="490218766">
          <w:marLeft w:val="0"/>
          <w:marRight w:val="0"/>
          <w:marTop w:val="0"/>
          <w:marBottom w:val="0"/>
          <w:divBdr>
            <w:top w:val="none" w:sz="0" w:space="0" w:color="auto"/>
            <w:left w:val="none" w:sz="0" w:space="0" w:color="auto"/>
            <w:bottom w:val="none" w:sz="0" w:space="0" w:color="auto"/>
            <w:right w:val="none" w:sz="0" w:space="0" w:color="auto"/>
          </w:divBdr>
        </w:div>
        <w:div w:id="479078009">
          <w:marLeft w:val="0"/>
          <w:marRight w:val="0"/>
          <w:marTop w:val="0"/>
          <w:marBottom w:val="0"/>
          <w:divBdr>
            <w:top w:val="none" w:sz="0" w:space="0" w:color="auto"/>
            <w:left w:val="none" w:sz="0" w:space="0" w:color="auto"/>
            <w:bottom w:val="none" w:sz="0" w:space="0" w:color="auto"/>
            <w:right w:val="none" w:sz="0" w:space="0" w:color="auto"/>
          </w:divBdr>
        </w:div>
        <w:div w:id="1963461502">
          <w:marLeft w:val="0"/>
          <w:marRight w:val="0"/>
          <w:marTop w:val="0"/>
          <w:marBottom w:val="0"/>
          <w:divBdr>
            <w:top w:val="none" w:sz="0" w:space="0" w:color="auto"/>
            <w:left w:val="none" w:sz="0" w:space="0" w:color="auto"/>
            <w:bottom w:val="none" w:sz="0" w:space="0" w:color="auto"/>
            <w:right w:val="none" w:sz="0" w:space="0" w:color="auto"/>
          </w:divBdr>
        </w:div>
        <w:div w:id="2054190599">
          <w:marLeft w:val="0"/>
          <w:marRight w:val="0"/>
          <w:marTop w:val="0"/>
          <w:marBottom w:val="0"/>
          <w:divBdr>
            <w:top w:val="none" w:sz="0" w:space="0" w:color="auto"/>
            <w:left w:val="none" w:sz="0" w:space="0" w:color="auto"/>
            <w:bottom w:val="none" w:sz="0" w:space="0" w:color="auto"/>
            <w:right w:val="none" w:sz="0" w:space="0" w:color="auto"/>
          </w:divBdr>
        </w:div>
      </w:divsChild>
    </w:div>
    <w:div w:id="546915256">
      <w:marLeft w:val="0"/>
      <w:marRight w:val="0"/>
      <w:marTop w:val="0"/>
      <w:marBottom w:val="0"/>
      <w:divBdr>
        <w:top w:val="none" w:sz="0" w:space="0" w:color="auto"/>
        <w:left w:val="none" w:sz="0" w:space="0" w:color="auto"/>
        <w:bottom w:val="none" w:sz="0" w:space="0" w:color="auto"/>
        <w:right w:val="none" w:sz="0" w:space="0" w:color="auto"/>
      </w:divBdr>
      <w:divsChild>
        <w:div w:id="826046146">
          <w:marLeft w:val="0"/>
          <w:marRight w:val="0"/>
          <w:marTop w:val="0"/>
          <w:marBottom w:val="0"/>
          <w:divBdr>
            <w:top w:val="none" w:sz="0" w:space="0" w:color="auto"/>
            <w:left w:val="none" w:sz="0" w:space="0" w:color="auto"/>
            <w:bottom w:val="none" w:sz="0" w:space="0" w:color="auto"/>
            <w:right w:val="none" w:sz="0" w:space="0" w:color="auto"/>
          </w:divBdr>
        </w:div>
      </w:divsChild>
    </w:div>
    <w:div w:id="547689436">
      <w:marLeft w:val="0"/>
      <w:marRight w:val="0"/>
      <w:marTop w:val="0"/>
      <w:marBottom w:val="0"/>
      <w:divBdr>
        <w:top w:val="none" w:sz="0" w:space="0" w:color="auto"/>
        <w:left w:val="none" w:sz="0" w:space="0" w:color="auto"/>
        <w:bottom w:val="none" w:sz="0" w:space="0" w:color="auto"/>
        <w:right w:val="none" w:sz="0" w:space="0" w:color="auto"/>
      </w:divBdr>
      <w:divsChild>
        <w:div w:id="60376773">
          <w:marLeft w:val="0"/>
          <w:marRight w:val="0"/>
          <w:marTop w:val="0"/>
          <w:marBottom w:val="0"/>
          <w:divBdr>
            <w:top w:val="none" w:sz="0" w:space="0" w:color="auto"/>
            <w:left w:val="none" w:sz="0" w:space="0" w:color="auto"/>
            <w:bottom w:val="none" w:sz="0" w:space="0" w:color="auto"/>
            <w:right w:val="none" w:sz="0" w:space="0" w:color="auto"/>
          </w:divBdr>
        </w:div>
      </w:divsChild>
    </w:div>
    <w:div w:id="547911673">
      <w:marLeft w:val="0"/>
      <w:marRight w:val="0"/>
      <w:marTop w:val="200"/>
      <w:marBottom w:val="0"/>
      <w:divBdr>
        <w:top w:val="none" w:sz="0" w:space="0" w:color="auto"/>
        <w:left w:val="none" w:sz="0" w:space="0" w:color="auto"/>
        <w:bottom w:val="none" w:sz="0" w:space="0" w:color="auto"/>
        <w:right w:val="none" w:sz="0" w:space="0" w:color="auto"/>
      </w:divBdr>
    </w:div>
    <w:div w:id="548497221">
      <w:marLeft w:val="0"/>
      <w:marRight w:val="0"/>
      <w:marTop w:val="0"/>
      <w:marBottom w:val="0"/>
      <w:divBdr>
        <w:top w:val="none" w:sz="0" w:space="0" w:color="auto"/>
        <w:left w:val="none" w:sz="0" w:space="0" w:color="auto"/>
        <w:bottom w:val="none" w:sz="0" w:space="0" w:color="auto"/>
        <w:right w:val="none" w:sz="0" w:space="0" w:color="auto"/>
      </w:divBdr>
    </w:div>
    <w:div w:id="550772409">
      <w:marLeft w:val="0"/>
      <w:marRight w:val="0"/>
      <w:marTop w:val="100"/>
      <w:marBottom w:val="0"/>
      <w:divBdr>
        <w:top w:val="none" w:sz="0" w:space="0" w:color="auto"/>
        <w:left w:val="none" w:sz="0" w:space="0" w:color="auto"/>
        <w:bottom w:val="none" w:sz="0" w:space="0" w:color="auto"/>
        <w:right w:val="none" w:sz="0" w:space="0" w:color="auto"/>
      </w:divBdr>
    </w:div>
    <w:div w:id="550843702">
      <w:marLeft w:val="0"/>
      <w:marRight w:val="0"/>
      <w:marTop w:val="100"/>
      <w:marBottom w:val="0"/>
      <w:divBdr>
        <w:top w:val="none" w:sz="0" w:space="0" w:color="auto"/>
        <w:left w:val="none" w:sz="0" w:space="0" w:color="auto"/>
        <w:bottom w:val="none" w:sz="0" w:space="0" w:color="auto"/>
        <w:right w:val="none" w:sz="0" w:space="0" w:color="auto"/>
      </w:divBdr>
    </w:div>
    <w:div w:id="554901741">
      <w:marLeft w:val="0"/>
      <w:marRight w:val="0"/>
      <w:marTop w:val="0"/>
      <w:marBottom w:val="0"/>
      <w:divBdr>
        <w:top w:val="none" w:sz="0" w:space="0" w:color="auto"/>
        <w:left w:val="none" w:sz="0" w:space="0" w:color="auto"/>
        <w:bottom w:val="none" w:sz="0" w:space="0" w:color="auto"/>
        <w:right w:val="none" w:sz="0" w:space="0" w:color="auto"/>
      </w:divBdr>
    </w:div>
    <w:div w:id="556164142">
      <w:marLeft w:val="0"/>
      <w:marRight w:val="0"/>
      <w:marTop w:val="200"/>
      <w:marBottom w:val="0"/>
      <w:divBdr>
        <w:top w:val="none" w:sz="0" w:space="0" w:color="auto"/>
        <w:left w:val="none" w:sz="0" w:space="0" w:color="auto"/>
        <w:bottom w:val="none" w:sz="0" w:space="0" w:color="auto"/>
        <w:right w:val="none" w:sz="0" w:space="0" w:color="auto"/>
      </w:divBdr>
    </w:div>
    <w:div w:id="560097942">
      <w:marLeft w:val="0"/>
      <w:marRight w:val="0"/>
      <w:marTop w:val="0"/>
      <w:marBottom w:val="0"/>
      <w:divBdr>
        <w:top w:val="none" w:sz="0" w:space="0" w:color="auto"/>
        <w:left w:val="none" w:sz="0" w:space="0" w:color="auto"/>
        <w:bottom w:val="none" w:sz="0" w:space="0" w:color="auto"/>
        <w:right w:val="none" w:sz="0" w:space="0" w:color="auto"/>
      </w:divBdr>
      <w:divsChild>
        <w:div w:id="1375816163">
          <w:marLeft w:val="0"/>
          <w:marRight w:val="0"/>
          <w:marTop w:val="0"/>
          <w:marBottom w:val="0"/>
          <w:divBdr>
            <w:top w:val="none" w:sz="0" w:space="0" w:color="auto"/>
            <w:left w:val="none" w:sz="0" w:space="0" w:color="auto"/>
            <w:bottom w:val="none" w:sz="0" w:space="0" w:color="auto"/>
            <w:right w:val="none" w:sz="0" w:space="0" w:color="auto"/>
          </w:divBdr>
        </w:div>
      </w:divsChild>
    </w:div>
    <w:div w:id="560409367">
      <w:marLeft w:val="0"/>
      <w:marRight w:val="0"/>
      <w:marTop w:val="200"/>
      <w:marBottom w:val="0"/>
      <w:divBdr>
        <w:top w:val="none" w:sz="0" w:space="0" w:color="auto"/>
        <w:left w:val="none" w:sz="0" w:space="0" w:color="auto"/>
        <w:bottom w:val="none" w:sz="0" w:space="0" w:color="auto"/>
        <w:right w:val="none" w:sz="0" w:space="0" w:color="auto"/>
      </w:divBdr>
    </w:div>
    <w:div w:id="564225729">
      <w:marLeft w:val="0"/>
      <w:marRight w:val="0"/>
      <w:marTop w:val="200"/>
      <w:marBottom w:val="0"/>
      <w:divBdr>
        <w:top w:val="none" w:sz="0" w:space="0" w:color="auto"/>
        <w:left w:val="none" w:sz="0" w:space="0" w:color="auto"/>
        <w:bottom w:val="none" w:sz="0" w:space="0" w:color="auto"/>
        <w:right w:val="none" w:sz="0" w:space="0" w:color="auto"/>
      </w:divBdr>
    </w:div>
    <w:div w:id="564678852">
      <w:marLeft w:val="0"/>
      <w:marRight w:val="0"/>
      <w:marTop w:val="0"/>
      <w:marBottom w:val="0"/>
      <w:divBdr>
        <w:top w:val="none" w:sz="0" w:space="0" w:color="auto"/>
        <w:left w:val="none" w:sz="0" w:space="0" w:color="auto"/>
        <w:bottom w:val="none" w:sz="0" w:space="0" w:color="auto"/>
        <w:right w:val="none" w:sz="0" w:space="0" w:color="auto"/>
      </w:divBdr>
    </w:div>
    <w:div w:id="569079653">
      <w:marLeft w:val="0"/>
      <w:marRight w:val="0"/>
      <w:marTop w:val="0"/>
      <w:marBottom w:val="0"/>
      <w:divBdr>
        <w:top w:val="none" w:sz="0" w:space="0" w:color="auto"/>
        <w:left w:val="none" w:sz="0" w:space="0" w:color="auto"/>
        <w:bottom w:val="none" w:sz="0" w:space="0" w:color="auto"/>
        <w:right w:val="none" w:sz="0" w:space="0" w:color="auto"/>
      </w:divBdr>
      <w:divsChild>
        <w:div w:id="1489439015">
          <w:marLeft w:val="0"/>
          <w:marRight w:val="0"/>
          <w:marTop w:val="0"/>
          <w:marBottom w:val="0"/>
          <w:divBdr>
            <w:top w:val="none" w:sz="0" w:space="0" w:color="auto"/>
            <w:left w:val="none" w:sz="0" w:space="0" w:color="auto"/>
            <w:bottom w:val="none" w:sz="0" w:space="0" w:color="auto"/>
            <w:right w:val="none" w:sz="0" w:space="0" w:color="auto"/>
          </w:divBdr>
        </w:div>
      </w:divsChild>
    </w:div>
    <w:div w:id="570888369">
      <w:marLeft w:val="0"/>
      <w:marRight w:val="0"/>
      <w:marTop w:val="0"/>
      <w:marBottom w:val="0"/>
      <w:divBdr>
        <w:top w:val="none" w:sz="0" w:space="0" w:color="auto"/>
        <w:left w:val="none" w:sz="0" w:space="0" w:color="auto"/>
        <w:bottom w:val="none" w:sz="0" w:space="0" w:color="auto"/>
        <w:right w:val="none" w:sz="0" w:space="0" w:color="auto"/>
      </w:divBdr>
      <w:divsChild>
        <w:div w:id="181867048">
          <w:marLeft w:val="0"/>
          <w:marRight w:val="0"/>
          <w:marTop w:val="0"/>
          <w:marBottom w:val="0"/>
          <w:divBdr>
            <w:top w:val="none" w:sz="0" w:space="0" w:color="auto"/>
            <w:left w:val="none" w:sz="0" w:space="0" w:color="auto"/>
            <w:bottom w:val="none" w:sz="0" w:space="0" w:color="auto"/>
            <w:right w:val="none" w:sz="0" w:space="0" w:color="auto"/>
          </w:divBdr>
        </w:div>
      </w:divsChild>
    </w:div>
    <w:div w:id="572546466">
      <w:marLeft w:val="0"/>
      <w:marRight w:val="0"/>
      <w:marTop w:val="0"/>
      <w:marBottom w:val="0"/>
      <w:divBdr>
        <w:top w:val="none" w:sz="0" w:space="0" w:color="auto"/>
        <w:left w:val="none" w:sz="0" w:space="0" w:color="auto"/>
        <w:bottom w:val="none" w:sz="0" w:space="0" w:color="auto"/>
        <w:right w:val="none" w:sz="0" w:space="0" w:color="auto"/>
      </w:divBdr>
      <w:divsChild>
        <w:div w:id="1157458639">
          <w:marLeft w:val="0"/>
          <w:marRight w:val="0"/>
          <w:marTop w:val="0"/>
          <w:marBottom w:val="0"/>
          <w:divBdr>
            <w:top w:val="none" w:sz="0" w:space="0" w:color="auto"/>
            <w:left w:val="none" w:sz="0" w:space="0" w:color="auto"/>
            <w:bottom w:val="none" w:sz="0" w:space="0" w:color="auto"/>
            <w:right w:val="none" w:sz="0" w:space="0" w:color="auto"/>
          </w:divBdr>
        </w:div>
      </w:divsChild>
    </w:div>
    <w:div w:id="581719495">
      <w:marLeft w:val="0"/>
      <w:marRight w:val="0"/>
      <w:marTop w:val="0"/>
      <w:marBottom w:val="0"/>
      <w:divBdr>
        <w:top w:val="none" w:sz="0" w:space="0" w:color="auto"/>
        <w:left w:val="none" w:sz="0" w:space="0" w:color="auto"/>
        <w:bottom w:val="none" w:sz="0" w:space="0" w:color="auto"/>
        <w:right w:val="none" w:sz="0" w:space="0" w:color="auto"/>
      </w:divBdr>
    </w:div>
    <w:div w:id="583147568">
      <w:marLeft w:val="0"/>
      <w:marRight w:val="0"/>
      <w:marTop w:val="200"/>
      <w:marBottom w:val="0"/>
      <w:divBdr>
        <w:top w:val="none" w:sz="0" w:space="0" w:color="auto"/>
        <w:left w:val="none" w:sz="0" w:space="0" w:color="auto"/>
        <w:bottom w:val="none" w:sz="0" w:space="0" w:color="auto"/>
        <w:right w:val="none" w:sz="0" w:space="0" w:color="auto"/>
      </w:divBdr>
    </w:div>
    <w:div w:id="584345388">
      <w:marLeft w:val="0"/>
      <w:marRight w:val="0"/>
      <w:marTop w:val="0"/>
      <w:marBottom w:val="0"/>
      <w:divBdr>
        <w:top w:val="none" w:sz="0" w:space="0" w:color="auto"/>
        <w:left w:val="none" w:sz="0" w:space="0" w:color="auto"/>
        <w:bottom w:val="none" w:sz="0" w:space="0" w:color="auto"/>
        <w:right w:val="none" w:sz="0" w:space="0" w:color="auto"/>
      </w:divBdr>
    </w:div>
    <w:div w:id="584994592">
      <w:marLeft w:val="0"/>
      <w:marRight w:val="0"/>
      <w:marTop w:val="0"/>
      <w:marBottom w:val="0"/>
      <w:divBdr>
        <w:top w:val="none" w:sz="0" w:space="0" w:color="auto"/>
        <w:left w:val="none" w:sz="0" w:space="0" w:color="auto"/>
        <w:bottom w:val="none" w:sz="0" w:space="0" w:color="auto"/>
        <w:right w:val="none" w:sz="0" w:space="0" w:color="auto"/>
      </w:divBdr>
    </w:div>
    <w:div w:id="592011808">
      <w:marLeft w:val="0"/>
      <w:marRight w:val="0"/>
      <w:marTop w:val="0"/>
      <w:marBottom w:val="0"/>
      <w:divBdr>
        <w:top w:val="none" w:sz="0" w:space="0" w:color="auto"/>
        <w:left w:val="none" w:sz="0" w:space="0" w:color="auto"/>
        <w:bottom w:val="none" w:sz="0" w:space="0" w:color="auto"/>
        <w:right w:val="none" w:sz="0" w:space="0" w:color="auto"/>
      </w:divBdr>
      <w:divsChild>
        <w:div w:id="357970721">
          <w:marLeft w:val="0"/>
          <w:marRight w:val="0"/>
          <w:marTop w:val="0"/>
          <w:marBottom w:val="0"/>
          <w:divBdr>
            <w:top w:val="none" w:sz="0" w:space="0" w:color="auto"/>
            <w:left w:val="none" w:sz="0" w:space="0" w:color="auto"/>
            <w:bottom w:val="none" w:sz="0" w:space="0" w:color="auto"/>
            <w:right w:val="none" w:sz="0" w:space="0" w:color="auto"/>
          </w:divBdr>
        </w:div>
      </w:divsChild>
    </w:div>
    <w:div w:id="593174126">
      <w:marLeft w:val="0"/>
      <w:marRight w:val="0"/>
      <w:marTop w:val="200"/>
      <w:marBottom w:val="0"/>
      <w:divBdr>
        <w:top w:val="none" w:sz="0" w:space="0" w:color="auto"/>
        <w:left w:val="none" w:sz="0" w:space="0" w:color="auto"/>
        <w:bottom w:val="none" w:sz="0" w:space="0" w:color="auto"/>
        <w:right w:val="none" w:sz="0" w:space="0" w:color="auto"/>
      </w:divBdr>
    </w:div>
    <w:div w:id="598100818">
      <w:marLeft w:val="0"/>
      <w:marRight w:val="0"/>
      <w:marTop w:val="0"/>
      <w:marBottom w:val="0"/>
      <w:divBdr>
        <w:top w:val="none" w:sz="0" w:space="0" w:color="auto"/>
        <w:left w:val="none" w:sz="0" w:space="0" w:color="auto"/>
        <w:bottom w:val="none" w:sz="0" w:space="0" w:color="auto"/>
        <w:right w:val="none" w:sz="0" w:space="0" w:color="auto"/>
      </w:divBdr>
      <w:divsChild>
        <w:div w:id="123237018">
          <w:marLeft w:val="0"/>
          <w:marRight w:val="0"/>
          <w:marTop w:val="0"/>
          <w:marBottom w:val="0"/>
          <w:divBdr>
            <w:top w:val="none" w:sz="0" w:space="0" w:color="auto"/>
            <w:left w:val="none" w:sz="0" w:space="0" w:color="auto"/>
            <w:bottom w:val="none" w:sz="0" w:space="0" w:color="auto"/>
            <w:right w:val="none" w:sz="0" w:space="0" w:color="auto"/>
          </w:divBdr>
        </w:div>
      </w:divsChild>
    </w:div>
    <w:div w:id="600992360">
      <w:marLeft w:val="0"/>
      <w:marRight w:val="0"/>
      <w:marTop w:val="0"/>
      <w:marBottom w:val="0"/>
      <w:divBdr>
        <w:top w:val="none" w:sz="0" w:space="0" w:color="auto"/>
        <w:left w:val="none" w:sz="0" w:space="0" w:color="auto"/>
        <w:bottom w:val="none" w:sz="0" w:space="0" w:color="auto"/>
        <w:right w:val="none" w:sz="0" w:space="0" w:color="auto"/>
      </w:divBdr>
    </w:div>
    <w:div w:id="601649739">
      <w:marLeft w:val="0"/>
      <w:marRight w:val="0"/>
      <w:marTop w:val="0"/>
      <w:marBottom w:val="0"/>
      <w:divBdr>
        <w:top w:val="none" w:sz="0" w:space="0" w:color="auto"/>
        <w:left w:val="none" w:sz="0" w:space="0" w:color="auto"/>
        <w:bottom w:val="none" w:sz="0" w:space="0" w:color="auto"/>
        <w:right w:val="none" w:sz="0" w:space="0" w:color="auto"/>
      </w:divBdr>
    </w:div>
    <w:div w:id="601954984">
      <w:marLeft w:val="0"/>
      <w:marRight w:val="0"/>
      <w:marTop w:val="0"/>
      <w:marBottom w:val="0"/>
      <w:divBdr>
        <w:top w:val="none" w:sz="0" w:space="0" w:color="auto"/>
        <w:left w:val="none" w:sz="0" w:space="0" w:color="auto"/>
        <w:bottom w:val="none" w:sz="0" w:space="0" w:color="auto"/>
        <w:right w:val="none" w:sz="0" w:space="0" w:color="auto"/>
      </w:divBdr>
    </w:div>
    <w:div w:id="602151176">
      <w:marLeft w:val="0"/>
      <w:marRight w:val="0"/>
      <w:marTop w:val="200"/>
      <w:marBottom w:val="0"/>
      <w:divBdr>
        <w:top w:val="none" w:sz="0" w:space="0" w:color="auto"/>
        <w:left w:val="none" w:sz="0" w:space="0" w:color="auto"/>
        <w:bottom w:val="none" w:sz="0" w:space="0" w:color="auto"/>
        <w:right w:val="none" w:sz="0" w:space="0" w:color="auto"/>
      </w:divBdr>
    </w:div>
    <w:div w:id="603264539">
      <w:marLeft w:val="0"/>
      <w:marRight w:val="0"/>
      <w:marTop w:val="0"/>
      <w:marBottom w:val="160"/>
      <w:divBdr>
        <w:top w:val="none" w:sz="0" w:space="0" w:color="auto"/>
        <w:left w:val="none" w:sz="0" w:space="0" w:color="auto"/>
        <w:bottom w:val="none" w:sz="0" w:space="0" w:color="auto"/>
        <w:right w:val="none" w:sz="0" w:space="0" w:color="auto"/>
      </w:divBdr>
    </w:div>
    <w:div w:id="603615332">
      <w:marLeft w:val="0"/>
      <w:marRight w:val="0"/>
      <w:marTop w:val="0"/>
      <w:marBottom w:val="0"/>
      <w:divBdr>
        <w:top w:val="none" w:sz="0" w:space="0" w:color="auto"/>
        <w:left w:val="none" w:sz="0" w:space="0" w:color="auto"/>
        <w:bottom w:val="none" w:sz="0" w:space="0" w:color="auto"/>
        <w:right w:val="none" w:sz="0" w:space="0" w:color="auto"/>
      </w:divBdr>
      <w:divsChild>
        <w:div w:id="183835981">
          <w:marLeft w:val="0"/>
          <w:marRight w:val="0"/>
          <w:marTop w:val="0"/>
          <w:marBottom w:val="0"/>
          <w:divBdr>
            <w:top w:val="none" w:sz="0" w:space="0" w:color="auto"/>
            <w:left w:val="none" w:sz="0" w:space="0" w:color="auto"/>
            <w:bottom w:val="none" w:sz="0" w:space="0" w:color="auto"/>
            <w:right w:val="none" w:sz="0" w:space="0" w:color="auto"/>
          </w:divBdr>
        </w:div>
      </w:divsChild>
    </w:div>
    <w:div w:id="606162475">
      <w:marLeft w:val="0"/>
      <w:marRight w:val="0"/>
      <w:marTop w:val="0"/>
      <w:marBottom w:val="0"/>
      <w:divBdr>
        <w:top w:val="none" w:sz="0" w:space="0" w:color="auto"/>
        <w:left w:val="none" w:sz="0" w:space="0" w:color="auto"/>
        <w:bottom w:val="none" w:sz="0" w:space="0" w:color="auto"/>
        <w:right w:val="none" w:sz="0" w:space="0" w:color="auto"/>
      </w:divBdr>
    </w:div>
    <w:div w:id="606961057">
      <w:marLeft w:val="0"/>
      <w:marRight w:val="0"/>
      <w:marTop w:val="0"/>
      <w:marBottom w:val="0"/>
      <w:divBdr>
        <w:top w:val="none" w:sz="0" w:space="0" w:color="auto"/>
        <w:left w:val="none" w:sz="0" w:space="0" w:color="auto"/>
        <w:bottom w:val="none" w:sz="0" w:space="0" w:color="auto"/>
        <w:right w:val="none" w:sz="0" w:space="0" w:color="auto"/>
      </w:divBdr>
      <w:divsChild>
        <w:div w:id="937761164">
          <w:marLeft w:val="0"/>
          <w:marRight w:val="0"/>
          <w:marTop w:val="0"/>
          <w:marBottom w:val="0"/>
          <w:divBdr>
            <w:top w:val="none" w:sz="0" w:space="0" w:color="auto"/>
            <w:left w:val="none" w:sz="0" w:space="0" w:color="auto"/>
            <w:bottom w:val="none" w:sz="0" w:space="0" w:color="auto"/>
            <w:right w:val="none" w:sz="0" w:space="0" w:color="auto"/>
          </w:divBdr>
        </w:div>
      </w:divsChild>
    </w:div>
    <w:div w:id="608246127">
      <w:marLeft w:val="0"/>
      <w:marRight w:val="0"/>
      <w:marTop w:val="0"/>
      <w:marBottom w:val="0"/>
      <w:divBdr>
        <w:top w:val="none" w:sz="0" w:space="0" w:color="auto"/>
        <w:left w:val="none" w:sz="0" w:space="0" w:color="auto"/>
        <w:bottom w:val="none" w:sz="0" w:space="0" w:color="auto"/>
        <w:right w:val="none" w:sz="0" w:space="0" w:color="auto"/>
      </w:divBdr>
    </w:div>
    <w:div w:id="608439484">
      <w:marLeft w:val="0"/>
      <w:marRight w:val="0"/>
      <w:marTop w:val="200"/>
      <w:marBottom w:val="0"/>
      <w:divBdr>
        <w:top w:val="none" w:sz="0" w:space="0" w:color="auto"/>
        <w:left w:val="none" w:sz="0" w:space="0" w:color="auto"/>
        <w:bottom w:val="none" w:sz="0" w:space="0" w:color="auto"/>
        <w:right w:val="none" w:sz="0" w:space="0" w:color="auto"/>
      </w:divBdr>
    </w:div>
    <w:div w:id="611404456">
      <w:marLeft w:val="0"/>
      <w:marRight w:val="0"/>
      <w:marTop w:val="0"/>
      <w:marBottom w:val="0"/>
      <w:divBdr>
        <w:top w:val="none" w:sz="0" w:space="0" w:color="auto"/>
        <w:left w:val="none" w:sz="0" w:space="0" w:color="auto"/>
        <w:bottom w:val="none" w:sz="0" w:space="0" w:color="auto"/>
        <w:right w:val="none" w:sz="0" w:space="0" w:color="auto"/>
      </w:divBdr>
    </w:div>
    <w:div w:id="611589209">
      <w:marLeft w:val="0"/>
      <w:marRight w:val="0"/>
      <w:marTop w:val="0"/>
      <w:marBottom w:val="0"/>
      <w:divBdr>
        <w:top w:val="none" w:sz="0" w:space="0" w:color="auto"/>
        <w:left w:val="none" w:sz="0" w:space="0" w:color="auto"/>
        <w:bottom w:val="none" w:sz="0" w:space="0" w:color="auto"/>
        <w:right w:val="none" w:sz="0" w:space="0" w:color="auto"/>
      </w:divBdr>
    </w:div>
    <w:div w:id="612244577">
      <w:marLeft w:val="0"/>
      <w:marRight w:val="0"/>
      <w:marTop w:val="0"/>
      <w:marBottom w:val="0"/>
      <w:divBdr>
        <w:top w:val="none" w:sz="0" w:space="0" w:color="auto"/>
        <w:left w:val="none" w:sz="0" w:space="0" w:color="auto"/>
        <w:bottom w:val="none" w:sz="0" w:space="0" w:color="auto"/>
        <w:right w:val="none" w:sz="0" w:space="0" w:color="auto"/>
      </w:divBdr>
      <w:divsChild>
        <w:div w:id="293411936">
          <w:marLeft w:val="0"/>
          <w:marRight w:val="0"/>
          <w:marTop w:val="0"/>
          <w:marBottom w:val="0"/>
          <w:divBdr>
            <w:top w:val="none" w:sz="0" w:space="0" w:color="auto"/>
            <w:left w:val="none" w:sz="0" w:space="0" w:color="auto"/>
            <w:bottom w:val="none" w:sz="0" w:space="0" w:color="auto"/>
            <w:right w:val="none" w:sz="0" w:space="0" w:color="auto"/>
          </w:divBdr>
        </w:div>
        <w:div w:id="227108123">
          <w:marLeft w:val="0"/>
          <w:marRight w:val="0"/>
          <w:marTop w:val="0"/>
          <w:marBottom w:val="0"/>
          <w:divBdr>
            <w:top w:val="none" w:sz="0" w:space="0" w:color="auto"/>
            <w:left w:val="none" w:sz="0" w:space="0" w:color="auto"/>
            <w:bottom w:val="none" w:sz="0" w:space="0" w:color="auto"/>
            <w:right w:val="none" w:sz="0" w:space="0" w:color="auto"/>
          </w:divBdr>
        </w:div>
        <w:div w:id="1540972171">
          <w:marLeft w:val="0"/>
          <w:marRight w:val="0"/>
          <w:marTop w:val="0"/>
          <w:marBottom w:val="0"/>
          <w:divBdr>
            <w:top w:val="none" w:sz="0" w:space="0" w:color="auto"/>
            <w:left w:val="none" w:sz="0" w:space="0" w:color="auto"/>
            <w:bottom w:val="none" w:sz="0" w:space="0" w:color="auto"/>
            <w:right w:val="none" w:sz="0" w:space="0" w:color="auto"/>
          </w:divBdr>
        </w:div>
        <w:div w:id="588269227">
          <w:marLeft w:val="0"/>
          <w:marRight w:val="0"/>
          <w:marTop w:val="0"/>
          <w:marBottom w:val="0"/>
          <w:divBdr>
            <w:top w:val="none" w:sz="0" w:space="0" w:color="auto"/>
            <w:left w:val="none" w:sz="0" w:space="0" w:color="auto"/>
            <w:bottom w:val="none" w:sz="0" w:space="0" w:color="auto"/>
            <w:right w:val="none" w:sz="0" w:space="0" w:color="auto"/>
          </w:divBdr>
        </w:div>
      </w:divsChild>
    </w:div>
    <w:div w:id="620303355">
      <w:marLeft w:val="0"/>
      <w:marRight w:val="0"/>
      <w:marTop w:val="0"/>
      <w:marBottom w:val="0"/>
      <w:divBdr>
        <w:top w:val="none" w:sz="0" w:space="0" w:color="auto"/>
        <w:left w:val="none" w:sz="0" w:space="0" w:color="auto"/>
        <w:bottom w:val="none" w:sz="0" w:space="0" w:color="auto"/>
        <w:right w:val="none" w:sz="0" w:space="0" w:color="auto"/>
      </w:divBdr>
      <w:divsChild>
        <w:div w:id="543175785">
          <w:marLeft w:val="0"/>
          <w:marRight w:val="0"/>
          <w:marTop w:val="0"/>
          <w:marBottom w:val="0"/>
          <w:divBdr>
            <w:top w:val="none" w:sz="0" w:space="0" w:color="auto"/>
            <w:left w:val="none" w:sz="0" w:space="0" w:color="auto"/>
            <w:bottom w:val="none" w:sz="0" w:space="0" w:color="auto"/>
            <w:right w:val="none" w:sz="0" w:space="0" w:color="auto"/>
          </w:divBdr>
        </w:div>
      </w:divsChild>
    </w:div>
    <w:div w:id="621427804">
      <w:marLeft w:val="0"/>
      <w:marRight w:val="0"/>
      <w:marTop w:val="0"/>
      <w:marBottom w:val="0"/>
      <w:divBdr>
        <w:top w:val="none" w:sz="0" w:space="0" w:color="auto"/>
        <w:left w:val="none" w:sz="0" w:space="0" w:color="auto"/>
        <w:bottom w:val="none" w:sz="0" w:space="0" w:color="auto"/>
        <w:right w:val="none" w:sz="0" w:space="0" w:color="auto"/>
      </w:divBdr>
    </w:div>
    <w:div w:id="624774296">
      <w:marLeft w:val="0"/>
      <w:marRight w:val="0"/>
      <w:marTop w:val="200"/>
      <w:marBottom w:val="0"/>
      <w:divBdr>
        <w:top w:val="none" w:sz="0" w:space="0" w:color="auto"/>
        <w:left w:val="none" w:sz="0" w:space="0" w:color="auto"/>
        <w:bottom w:val="none" w:sz="0" w:space="0" w:color="auto"/>
        <w:right w:val="none" w:sz="0" w:space="0" w:color="auto"/>
      </w:divBdr>
    </w:div>
    <w:div w:id="626010020">
      <w:marLeft w:val="0"/>
      <w:marRight w:val="0"/>
      <w:marTop w:val="0"/>
      <w:marBottom w:val="0"/>
      <w:divBdr>
        <w:top w:val="none" w:sz="0" w:space="0" w:color="auto"/>
        <w:left w:val="none" w:sz="0" w:space="0" w:color="auto"/>
        <w:bottom w:val="none" w:sz="0" w:space="0" w:color="auto"/>
        <w:right w:val="none" w:sz="0" w:space="0" w:color="auto"/>
      </w:divBdr>
    </w:div>
    <w:div w:id="631984264">
      <w:marLeft w:val="0"/>
      <w:marRight w:val="0"/>
      <w:marTop w:val="200"/>
      <w:marBottom w:val="0"/>
      <w:divBdr>
        <w:top w:val="none" w:sz="0" w:space="0" w:color="auto"/>
        <w:left w:val="none" w:sz="0" w:space="0" w:color="auto"/>
        <w:bottom w:val="none" w:sz="0" w:space="0" w:color="auto"/>
        <w:right w:val="none" w:sz="0" w:space="0" w:color="auto"/>
      </w:divBdr>
    </w:div>
    <w:div w:id="633102790">
      <w:marLeft w:val="0"/>
      <w:marRight w:val="0"/>
      <w:marTop w:val="0"/>
      <w:marBottom w:val="0"/>
      <w:divBdr>
        <w:top w:val="none" w:sz="0" w:space="0" w:color="auto"/>
        <w:left w:val="none" w:sz="0" w:space="0" w:color="auto"/>
        <w:bottom w:val="none" w:sz="0" w:space="0" w:color="auto"/>
        <w:right w:val="none" w:sz="0" w:space="0" w:color="auto"/>
      </w:divBdr>
      <w:divsChild>
        <w:div w:id="100341536">
          <w:marLeft w:val="0"/>
          <w:marRight w:val="0"/>
          <w:marTop w:val="0"/>
          <w:marBottom w:val="0"/>
          <w:divBdr>
            <w:top w:val="none" w:sz="0" w:space="0" w:color="auto"/>
            <w:left w:val="none" w:sz="0" w:space="0" w:color="auto"/>
            <w:bottom w:val="none" w:sz="0" w:space="0" w:color="auto"/>
            <w:right w:val="none" w:sz="0" w:space="0" w:color="auto"/>
          </w:divBdr>
        </w:div>
        <w:div w:id="1205753993">
          <w:marLeft w:val="0"/>
          <w:marRight w:val="0"/>
          <w:marTop w:val="0"/>
          <w:marBottom w:val="0"/>
          <w:divBdr>
            <w:top w:val="none" w:sz="0" w:space="0" w:color="auto"/>
            <w:left w:val="none" w:sz="0" w:space="0" w:color="auto"/>
            <w:bottom w:val="none" w:sz="0" w:space="0" w:color="auto"/>
            <w:right w:val="none" w:sz="0" w:space="0" w:color="auto"/>
          </w:divBdr>
        </w:div>
        <w:div w:id="432633987">
          <w:marLeft w:val="0"/>
          <w:marRight w:val="0"/>
          <w:marTop w:val="0"/>
          <w:marBottom w:val="0"/>
          <w:divBdr>
            <w:top w:val="none" w:sz="0" w:space="0" w:color="auto"/>
            <w:left w:val="none" w:sz="0" w:space="0" w:color="auto"/>
            <w:bottom w:val="none" w:sz="0" w:space="0" w:color="auto"/>
            <w:right w:val="none" w:sz="0" w:space="0" w:color="auto"/>
          </w:divBdr>
        </w:div>
        <w:div w:id="1427774293">
          <w:marLeft w:val="0"/>
          <w:marRight w:val="0"/>
          <w:marTop w:val="0"/>
          <w:marBottom w:val="0"/>
          <w:divBdr>
            <w:top w:val="none" w:sz="0" w:space="0" w:color="auto"/>
            <w:left w:val="none" w:sz="0" w:space="0" w:color="auto"/>
            <w:bottom w:val="none" w:sz="0" w:space="0" w:color="auto"/>
            <w:right w:val="none" w:sz="0" w:space="0" w:color="auto"/>
          </w:divBdr>
        </w:div>
      </w:divsChild>
    </w:div>
    <w:div w:id="637995746">
      <w:marLeft w:val="0"/>
      <w:marRight w:val="0"/>
      <w:marTop w:val="200"/>
      <w:marBottom w:val="0"/>
      <w:divBdr>
        <w:top w:val="none" w:sz="0" w:space="0" w:color="auto"/>
        <w:left w:val="none" w:sz="0" w:space="0" w:color="auto"/>
        <w:bottom w:val="none" w:sz="0" w:space="0" w:color="auto"/>
        <w:right w:val="none" w:sz="0" w:space="0" w:color="auto"/>
      </w:divBdr>
    </w:div>
    <w:div w:id="638848598">
      <w:marLeft w:val="0"/>
      <w:marRight w:val="0"/>
      <w:marTop w:val="200"/>
      <w:marBottom w:val="0"/>
      <w:divBdr>
        <w:top w:val="none" w:sz="0" w:space="0" w:color="auto"/>
        <w:left w:val="none" w:sz="0" w:space="0" w:color="auto"/>
        <w:bottom w:val="none" w:sz="0" w:space="0" w:color="auto"/>
        <w:right w:val="none" w:sz="0" w:space="0" w:color="auto"/>
      </w:divBdr>
    </w:div>
    <w:div w:id="639043929">
      <w:marLeft w:val="0"/>
      <w:marRight w:val="0"/>
      <w:marTop w:val="200"/>
      <w:marBottom w:val="0"/>
      <w:divBdr>
        <w:top w:val="none" w:sz="0" w:space="0" w:color="auto"/>
        <w:left w:val="none" w:sz="0" w:space="0" w:color="auto"/>
        <w:bottom w:val="none" w:sz="0" w:space="0" w:color="auto"/>
        <w:right w:val="none" w:sz="0" w:space="0" w:color="auto"/>
      </w:divBdr>
    </w:div>
    <w:div w:id="641544371">
      <w:marLeft w:val="0"/>
      <w:marRight w:val="0"/>
      <w:marTop w:val="0"/>
      <w:marBottom w:val="0"/>
      <w:divBdr>
        <w:top w:val="none" w:sz="0" w:space="0" w:color="auto"/>
        <w:left w:val="none" w:sz="0" w:space="0" w:color="auto"/>
        <w:bottom w:val="none" w:sz="0" w:space="0" w:color="auto"/>
        <w:right w:val="none" w:sz="0" w:space="0" w:color="auto"/>
      </w:divBdr>
    </w:div>
    <w:div w:id="641619695">
      <w:marLeft w:val="0"/>
      <w:marRight w:val="0"/>
      <w:marTop w:val="0"/>
      <w:marBottom w:val="0"/>
      <w:divBdr>
        <w:top w:val="none" w:sz="0" w:space="0" w:color="auto"/>
        <w:left w:val="none" w:sz="0" w:space="0" w:color="auto"/>
        <w:bottom w:val="none" w:sz="0" w:space="0" w:color="auto"/>
        <w:right w:val="none" w:sz="0" w:space="0" w:color="auto"/>
      </w:divBdr>
    </w:div>
    <w:div w:id="644626819">
      <w:marLeft w:val="0"/>
      <w:marRight w:val="0"/>
      <w:marTop w:val="0"/>
      <w:marBottom w:val="0"/>
      <w:divBdr>
        <w:top w:val="none" w:sz="0" w:space="0" w:color="auto"/>
        <w:left w:val="none" w:sz="0" w:space="0" w:color="auto"/>
        <w:bottom w:val="none" w:sz="0" w:space="0" w:color="auto"/>
        <w:right w:val="none" w:sz="0" w:space="0" w:color="auto"/>
      </w:divBdr>
    </w:div>
    <w:div w:id="644891742">
      <w:marLeft w:val="0"/>
      <w:marRight w:val="0"/>
      <w:marTop w:val="0"/>
      <w:marBottom w:val="160"/>
      <w:divBdr>
        <w:top w:val="none" w:sz="0" w:space="0" w:color="auto"/>
        <w:left w:val="none" w:sz="0" w:space="0" w:color="auto"/>
        <w:bottom w:val="none" w:sz="0" w:space="0" w:color="auto"/>
        <w:right w:val="none" w:sz="0" w:space="0" w:color="auto"/>
      </w:divBdr>
    </w:div>
    <w:div w:id="646324436">
      <w:marLeft w:val="0"/>
      <w:marRight w:val="0"/>
      <w:marTop w:val="0"/>
      <w:marBottom w:val="0"/>
      <w:divBdr>
        <w:top w:val="none" w:sz="0" w:space="0" w:color="auto"/>
        <w:left w:val="none" w:sz="0" w:space="0" w:color="auto"/>
        <w:bottom w:val="none" w:sz="0" w:space="0" w:color="auto"/>
        <w:right w:val="none" w:sz="0" w:space="0" w:color="auto"/>
      </w:divBdr>
    </w:div>
    <w:div w:id="647974239">
      <w:marLeft w:val="0"/>
      <w:marRight w:val="0"/>
      <w:marTop w:val="0"/>
      <w:marBottom w:val="0"/>
      <w:divBdr>
        <w:top w:val="none" w:sz="0" w:space="0" w:color="auto"/>
        <w:left w:val="none" w:sz="0" w:space="0" w:color="auto"/>
        <w:bottom w:val="none" w:sz="0" w:space="0" w:color="auto"/>
        <w:right w:val="none" w:sz="0" w:space="0" w:color="auto"/>
      </w:divBdr>
      <w:divsChild>
        <w:div w:id="1977445585">
          <w:marLeft w:val="0"/>
          <w:marRight w:val="0"/>
          <w:marTop w:val="0"/>
          <w:marBottom w:val="0"/>
          <w:divBdr>
            <w:top w:val="none" w:sz="0" w:space="0" w:color="auto"/>
            <w:left w:val="none" w:sz="0" w:space="0" w:color="auto"/>
            <w:bottom w:val="none" w:sz="0" w:space="0" w:color="auto"/>
            <w:right w:val="none" w:sz="0" w:space="0" w:color="auto"/>
          </w:divBdr>
        </w:div>
      </w:divsChild>
    </w:div>
    <w:div w:id="649484050">
      <w:marLeft w:val="0"/>
      <w:marRight w:val="0"/>
      <w:marTop w:val="200"/>
      <w:marBottom w:val="0"/>
      <w:divBdr>
        <w:top w:val="none" w:sz="0" w:space="0" w:color="auto"/>
        <w:left w:val="none" w:sz="0" w:space="0" w:color="auto"/>
        <w:bottom w:val="none" w:sz="0" w:space="0" w:color="auto"/>
        <w:right w:val="none" w:sz="0" w:space="0" w:color="auto"/>
      </w:divBdr>
    </w:div>
    <w:div w:id="650476337">
      <w:marLeft w:val="0"/>
      <w:marRight w:val="0"/>
      <w:marTop w:val="200"/>
      <w:marBottom w:val="0"/>
      <w:divBdr>
        <w:top w:val="none" w:sz="0" w:space="0" w:color="auto"/>
        <w:left w:val="none" w:sz="0" w:space="0" w:color="auto"/>
        <w:bottom w:val="none" w:sz="0" w:space="0" w:color="auto"/>
        <w:right w:val="none" w:sz="0" w:space="0" w:color="auto"/>
      </w:divBdr>
    </w:div>
    <w:div w:id="651718568">
      <w:marLeft w:val="0"/>
      <w:marRight w:val="0"/>
      <w:marTop w:val="0"/>
      <w:marBottom w:val="0"/>
      <w:divBdr>
        <w:top w:val="none" w:sz="0" w:space="0" w:color="auto"/>
        <w:left w:val="none" w:sz="0" w:space="0" w:color="auto"/>
        <w:bottom w:val="none" w:sz="0" w:space="0" w:color="auto"/>
        <w:right w:val="none" w:sz="0" w:space="0" w:color="auto"/>
      </w:divBdr>
      <w:divsChild>
        <w:div w:id="2064671725">
          <w:marLeft w:val="0"/>
          <w:marRight w:val="0"/>
          <w:marTop w:val="0"/>
          <w:marBottom w:val="0"/>
          <w:divBdr>
            <w:top w:val="none" w:sz="0" w:space="0" w:color="auto"/>
            <w:left w:val="none" w:sz="0" w:space="0" w:color="auto"/>
            <w:bottom w:val="none" w:sz="0" w:space="0" w:color="auto"/>
            <w:right w:val="none" w:sz="0" w:space="0" w:color="auto"/>
          </w:divBdr>
        </w:div>
      </w:divsChild>
    </w:div>
    <w:div w:id="659310369">
      <w:marLeft w:val="0"/>
      <w:marRight w:val="0"/>
      <w:marTop w:val="0"/>
      <w:marBottom w:val="0"/>
      <w:divBdr>
        <w:top w:val="none" w:sz="0" w:space="0" w:color="auto"/>
        <w:left w:val="none" w:sz="0" w:space="0" w:color="auto"/>
        <w:bottom w:val="none" w:sz="0" w:space="0" w:color="auto"/>
        <w:right w:val="none" w:sz="0" w:space="0" w:color="auto"/>
      </w:divBdr>
    </w:div>
    <w:div w:id="660231360">
      <w:marLeft w:val="0"/>
      <w:marRight w:val="0"/>
      <w:marTop w:val="0"/>
      <w:marBottom w:val="0"/>
      <w:divBdr>
        <w:top w:val="none" w:sz="0" w:space="0" w:color="auto"/>
        <w:left w:val="none" w:sz="0" w:space="0" w:color="auto"/>
        <w:bottom w:val="none" w:sz="0" w:space="0" w:color="auto"/>
        <w:right w:val="none" w:sz="0" w:space="0" w:color="auto"/>
      </w:divBdr>
    </w:div>
    <w:div w:id="660281482">
      <w:marLeft w:val="0"/>
      <w:marRight w:val="0"/>
      <w:marTop w:val="0"/>
      <w:marBottom w:val="0"/>
      <w:divBdr>
        <w:top w:val="none" w:sz="0" w:space="0" w:color="auto"/>
        <w:left w:val="none" w:sz="0" w:space="0" w:color="auto"/>
        <w:bottom w:val="none" w:sz="0" w:space="0" w:color="auto"/>
        <w:right w:val="none" w:sz="0" w:space="0" w:color="auto"/>
      </w:divBdr>
    </w:div>
    <w:div w:id="660625190">
      <w:marLeft w:val="0"/>
      <w:marRight w:val="0"/>
      <w:marTop w:val="0"/>
      <w:marBottom w:val="0"/>
      <w:divBdr>
        <w:top w:val="none" w:sz="0" w:space="0" w:color="auto"/>
        <w:left w:val="none" w:sz="0" w:space="0" w:color="auto"/>
        <w:bottom w:val="none" w:sz="0" w:space="0" w:color="auto"/>
        <w:right w:val="none" w:sz="0" w:space="0" w:color="auto"/>
      </w:divBdr>
      <w:divsChild>
        <w:div w:id="868491494">
          <w:marLeft w:val="0"/>
          <w:marRight w:val="0"/>
          <w:marTop w:val="0"/>
          <w:marBottom w:val="0"/>
          <w:divBdr>
            <w:top w:val="none" w:sz="0" w:space="0" w:color="auto"/>
            <w:left w:val="none" w:sz="0" w:space="0" w:color="auto"/>
            <w:bottom w:val="none" w:sz="0" w:space="0" w:color="auto"/>
            <w:right w:val="none" w:sz="0" w:space="0" w:color="auto"/>
          </w:divBdr>
        </w:div>
      </w:divsChild>
    </w:div>
    <w:div w:id="661012646">
      <w:marLeft w:val="0"/>
      <w:marRight w:val="0"/>
      <w:marTop w:val="0"/>
      <w:marBottom w:val="200"/>
      <w:divBdr>
        <w:top w:val="none" w:sz="0" w:space="0" w:color="auto"/>
        <w:left w:val="none" w:sz="0" w:space="0" w:color="auto"/>
        <w:bottom w:val="none" w:sz="0" w:space="0" w:color="auto"/>
        <w:right w:val="none" w:sz="0" w:space="0" w:color="auto"/>
      </w:divBdr>
    </w:div>
    <w:div w:id="661591025">
      <w:marLeft w:val="0"/>
      <w:marRight w:val="0"/>
      <w:marTop w:val="0"/>
      <w:marBottom w:val="200"/>
      <w:divBdr>
        <w:top w:val="none" w:sz="0" w:space="0" w:color="auto"/>
        <w:left w:val="none" w:sz="0" w:space="0" w:color="auto"/>
        <w:bottom w:val="none" w:sz="0" w:space="0" w:color="auto"/>
        <w:right w:val="none" w:sz="0" w:space="0" w:color="auto"/>
      </w:divBdr>
    </w:div>
    <w:div w:id="663555136">
      <w:marLeft w:val="0"/>
      <w:marRight w:val="0"/>
      <w:marTop w:val="0"/>
      <w:marBottom w:val="0"/>
      <w:divBdr>
        <w:top w:val="none" w:sz="0" w:space="0" w:color="auto"/>
        <w:left w:val="none" w:sz="0" w:space="0" w:color="auto"/>
        <w:bottom w:val="none" w:sz="0" w:space="0" w:color="auto"/>
        <w:right w:val="none" w:sz="0" w:space="0" w:color="auto"/>
      </w:divBdr>
    </w:div>
    <w:div w:id="664211057">
      <w:marLeft w:val="0"/>
      <w:marRight w:val="0"/>
      <w:marTop w:val="0"/>
      <w:marBottom w:val="0"/>
      <w:divBdr>
        <w:top w:val="none" w:sz="0" w:space="0" w:color="auto"/>
        <w:left w:val="none" w:sz="0" w:space="0" w:color="auto"/>
        <w:bottom w:val="none" w:sz="0" w:space="0" w:color="auto"/>
        <w:right w:val="none" w:sz="0" w:space="0" w:color="auto"/>
      </w:divBdr>
    </w:div>
    <w:div w:id="670379317">
      <w:marLeft w:val="0"/>
      <w:marRight w:val="0"/>
      <w:marTop w:val="0"/>
      <w:marBottom w:val="0"/>
      <w:divBdr>
        <w:top w:val="none" w:sz="0" w:space="0" w:color="auto"/>
        <w:left w:val="none" w:sz="0" w:space="0" w:color="auto"/>
        <w:bottom w:val="none" w:sz="0" w:space="0" w:color="auto"/>
        <w:right w:val="none" w:sz="0" w:space="0" w:color="auto"/>
      </w:divBdr>
    </w:div>
    <w:div w:id="671371123">
      <w:marLeft w:val="0"/>
      <w:marRight w:val="0"/>
      <w:marTop w:val="0"/>
      <w:marBottom w:val="0"/>
      <w:divBdr>
        <w:top w:val="none" w:sz="0" w:space="0" w:color="auto"/>
        <w:left w:val="none" w:sz="0" w:space="0" w:color="auto"/>
        <w:bottom w:val="none" w:sz="0" w:space="0" w:color="auto"/>
        <w:right w:val="none" w:sz="0" w:space="0" w:color="auto"/>
      </w:divBdr>
      <w:divsChild>
        <w:div w:id="174342560">
          <w:marLeft w:val="0"/>
          <w:marRight w:val="0"/>
          <w:marTop w:val="0"/>
          <w:marBottom w:val="0"/>
          <w:divBdr>
            <w:top w:val="none" w:sz="0" w:space="0" w:color="auto"/>
            <w:left w:val="none" w:sz="0" w:space="0" w:color="auto"/>
            <w:bottom w:val="none" w:sz="0" w:space="0" w:color="auto"/>
            <w:right w:val="none" w:sz="0" w:space="0" w:color="auto"/>
          </w:divBdr>
        </w:div>
      </w:divsChild>
    </w:div>
    <w:div w:id="673336826">
      <w:marLeft w:val="0"/>
      <w:marRight w:val="0"/>
      <w:marTop w:val="0"/>
      <w:marBottom w:val="0"/>
      <w:divBdr>
        <w:top w:val="none" w:sz="0" w:space="0" w:color="auto"/>
        <w:left w:val="none" w:sz="0" w:space="0" w:color="auto"/>
        <w:bottom w:val="none" w:sz="0" w:space="0" w:color="auto"/>
        <w:right w:val="none" w:sz="0" w:space="0" w:color="auto"/>
      </w:divBdr>
      <w:divsChild>
        <w:div w:id="2137991849">
          <w:marLeft w:val="0"/>
          <w:marRight w:val="0"/>
          <w:marTop w:val="0"/>
          <w:marBottom w:val="0"/>
          <w:divBdr>
            <w:top w:val="none" w:sz="0" w:space="0" w:color="auto"/>
            <w:left w:val="none" w:sz="0" w:space="0" w:color="auto"/>
            <w:bottom w:val="none" w:sz="0" w:space="0" w:color="auto"/>
            <w:right w:val="none" w:sz="0" w:space="0" w:color="auto"/>
          </w:divBdr>
        </w:div>
      </w:divsChild>
    </w:div>
    <w:div w:id="679770329">
      <w:marLeft w:val="0"/>
      <w:marRight w:val="0"/>
      <w:marTop w:val="0"/>
      <w:marBottom w:val="0"/>
      <w:divBdr>
        <w:top w:val="none" w:sz="0" w:space="0" w:color="auto"/>
        <w:left w:val="none" w:sz="0" w:space="0" w:color="auto"/>
        <w:bottom w:val="none" w:sz="0" w:space="0" w:color="auto"/>
        <w:right w:val="none" w:sz="0" w:space="0" w:color="auto"/>
      </w:divBdr>
    </w:div>
    <w:div w:id="679966338">
      <w:marLeft w:val="0"/>
      <w:marRight w:val="0"/>
      <w:marTop w:val="100"/>
      <w:marBottom w:val="0"/>
      <w:divBdr>
        <w:top w:val="none" w:sz="0" w:space="0" w:color="auto"/>
        <w:left w:val="none" w:sz="0" w:space="0" w:color="auto"/>
        <w:bottom w:val="none" w:sz="0" w:space="0" w:color="auto"/>
        <w:right w:val="none" w:sz="0" w:space="0" w:color="auto"/>
      </w:divBdr>
    </w:div>
    <w:div w:id="686519428">
      <w:marLeft w:val="0"/>
      <w:marRight w:val="0"/>
      <w:marTop w:val="0"/>
      <w:marBottom w:val="0"/>
      <w:divBdr>
        <w:top w:val="none" w:sz="0" w:space="0" w:color="auto"/>
        <w:left w:val="none" w:sz="0" w:space="0" w:color="auto"/>
        <w:bottom w:val="none" w:sz="0" w:space="0" w:color="auto"/>
        <w:right w:val="none" w:sz="0" w:space="0" w:color="auto"/>
      </w:divBdr>
    </w:div>
    <w:div w:id="690692041">
      <w:marLeft w:val="0"/>
      <w:marRight w:val="0"/>
      <w:marTop w:val="0"/>
      <w:marBottom w:val="0"/>
      <w:divBdr>
        <w:top w:val="none" w:sz="0" w:space="0" w:color="auto"/>
        <w:left w:val="none" w:sz="0" w:space="0" w:color="auto"/>
        <w:bottom w:val="none" w:sz="0" w:space="0" w:color="auto"/>
        <w:right w:val="none" w:sz="0" w:space="0" w:color="auto"/>
      </w:divBdr>
    </w:div>
    <w:div w:id="691999327">
      <w:marLeft w:val="0"/>
      <w:marRight w:val="0"/>
      <w:marTop w:val="200"/>
      <w:marBottom w:val="0"/>
      <w:divBdr>
        <w:top w:val="none" w:sz="0" w:space="0" w:color="auto"/>
        <w:left w:val="none" w:sz="0" w:space="0" w:color="auto"/>
        <w:bottom w:val="none" w:sz="0" w:space="0" w:color="auto"/>
        <w:right w:val="none" w:sz="0" w:space="0" w:color="auto"/>
      </w:divBdr>
    </w:div>
    <w:div w:id="697969417">
      <w:marLeft w:val="0"/>
      <w:marRight w:val="0"/>
      <w:marTop w:val="0"/>
      <w:marBottom w:val="0"/>
      <w:divBdr>
        <w:top w:val="none" w:sz="0" w:space="0" w:color="auto"/>
        <w:left w:val="none" w:sz="0" w:space="0" w:color="auto"/>
        <w:bottom w:val="none" w:sz="0" w:space="0" w:color="auto"/>
        <w:right w:val="none" w:sz="0" w:space="0" w:color="auto"/>
      </w:divBdr>
      <w:divsChild>
        <w:div w:id="92288375">
          <w:marLeft w:val="0"/>
          <w:marRight w:val="0"/>
          <w:marTop w:val="0"/>
          <w:marBottom w:val="0"/>
          <w:divBdr>
            <w:top w:val="none" w:sz="0" w:space="0" w:color="auto"/>
            <w:left w:val="none" w:sz="0" w:space="0" w:color="auto"/>
            <w:bottom w:val="none" w:sz="0" w:space="0" w:color="auto"/>
            <w:right w:val="none" w:sz="0" w:space="0" w:color="auto"/>
          </w:divBdr>
        </w:div>
      </w:divsChild>
    </w:div>
    <w:div w:id="698627907">
      <w:marLeft w:val="0"/>
      <w:marRight w:val="0"/>
      <w:marTop w:val="200"/>
      <w:marBottom w:val="0"/>
      <w:divBdr>
        <w:top w:val="none" w:sz="0" w:space="0" w:color="auto"/>
        <w:left w:val="none" w:sz="0" w:space="0" w:color="auto"/>
        <w:bottom w:val="none" w:sz="0" w:space="0" w:color="auto"/>
        <w:right w:val="none" w:sz="0" w:space="0" w:color="auto"/>
      </w:divBdr>
    </w:div>
    <w:div w:id="700323939">
      <w:marLeft w:val="0"/>
      <w:marRight w:val="0"/>
      <w:marTop w:val="100"/>
      <w:marBottom w:val="0"/>
      <w:divBdr>
        <w:top w:val="none" w:sz="0" w:space="0" w:color="auto"/>
        <w:left w:val="none" w:sz="0" w:space="0" w:color="auto"/>
        <w:bottom w:val="none" w:sz="0" w:space="0" w:color="auto"/>
        <w:right w:val="none" w:sz="0" w:space="0" w:color="auto"/>
      </w:divBdr>
    </w:div>
    <w:div w:id="701901337">
      <w:marLeft w:val="0"/>
      <w:marRight w:val="0"/>
      <w:marTop w:val="100"/>
      <w:marBottom w:val="0"/>
      <w:divBdr>
        <w:top w:val="none" w:sz="0" w:space="0" w:color="auto"/>
        <w:left w:val="none" w:sz="0" w:space="0" w:color="auto"/>
        <w:bottom w:val="none" w:sz="0" w:space="0" w:color="auto"/>
        <w:right w:val="none" w:sz="0" w:space="0" w:color="auto"/>
      </w:divBdr>
    </w:div>
    <w:div w:id="705521604">
      <w:marLeft w:val="0"/>
      <w:marRight w:val="0"/>
      <w:marTop w:val="200"/>
      <w:marBottom w:val="0"/>
      <w:divBdr>
        <w:top w:val="none" w:sz="0" w:space="0" w:color="auto"/>
        <w:left w:val="none" w:sz="0" w:space="0" w:color="auto"/>
        <w:bottom w:val="none" w:sz="0" w:space="0" w:color="auto"/>
        <w:right w:val="none" w:sz="0" w:space="0" w:color="auto"/>
      </w:divBdr>
    </w:div>
    <w:div w:id="706024835">
      <w:marLeft w:val="0"/>
      <w:marRight w:val="0"/>
      <w:marTop w:val="0"/>
      <w:marBottom w:val="0"/>
      <w:divBdr>
        <w:top w:val="none" w:sz="0" w:space="0" w:color="auto"/>
        <w:left w:val="none" w:sz="0" w:space="0" w:color="auto"/>
        <w:bottom w:val="none" w:sz="0" w:space="0" w:color="auto"/>
        <w:right w:val="none" w:sz="0" w:space="0" w:color="auto"/>
      </w:divBdr>
      <w:divsChild>
        <w:div w:id="481194433">
          <w:marLeft w:val="0"/>
          <w:marRight w:val="0"/>
          <w:marTop w:val="0"/>
          <w:marBottom w:val="0"/>
          <w:divBdr>
            <w:top w:val="none" w:sz="0" w:space="0" w:color="auto"/>
            <w:left w:val="none" w:sz="0" w:space="0" w:color="auto"/>
            <w:bottom w:val="none" w:sz="0" w:space="0" w:color="auto"/>
            <w:right w:val="none" w:sz="0" w:space="0" w:color="auto"/>
          </w:divBdr>
        </w:div>
      </w:divsChild>
    </w:div>
    <w:div w:id="708647401">
      <w:marLeft w:val="0"/>
      <w:marRight w:val="0"/>
      <w:marTop w:val="200"/>
      <w:marBottom w:val="0"/>
      <w:divBdr>
        <w:top w:val="none" w:sz="0" w:space="0" w:color="auto"/>
        <w:left w:val="none" w:sz="0" w:space="0" w:color="auto"/>
        <w:bottom w:val="none" w:sz="0" w:space="0" w:color="auto"/>
        <w:right w:val="none" w:sz="0" w:space="0" w:color="auto"/>
      </w:divBdr>
    </w:div>
    <w:div w:id="709113263">
      <w:marLeft w:val="0"/>
      <w:marRight w:val="0"/>
      <w:marTop w:val="0"/>
      <w:marBottom w:val="240"/>
      <w:divBdr>
        <w:top w:val="none" w:sz="0" w:space="0" w:color="auto"/>
        <w:left w:val="none" w:sz="0" w:space="0" w:color="auto"/>
        <w:bottom w:val="none" w:sz="0" w:space="0" w:color="auto"/>
        <w:right w:val="none" w:sz="0" w:space="0" w:color="auto"/>
      </w:divBdr>
    </w:div>
    <w:div w:id="712997603">
      <w:marLeft w:val="0"/>
      <w:marRight w:val="0"/>
      <w:marTop w:val="0"/>
      <w:marBottom w:val="0"/>
      <w:divBdr>
        <w:top w:val="none" w:sz="0" w:space="0" w:color="auto"/>
        <w:left w:val="none" w:sz="0" w:space="0" w:color="auto"/>
        <w:bottom w:val="none" w:sz="0" w:space="0" w:color="auto"/>
        <w:right w:val="none" w:sz="0" w:space="0" w:color="auto"/>
      </w:divBdr>
      <w:divsChild>
        <w:div w:id="2146502557">
          <w:marLeft w:val="0"/>
          <w:marRight w:val="0"/>
          <w:marTop w:val="0"/>
          <w:marBottom w:val="0"/>
          <w:divBdr>
            <w:top w:val="none" w:sz="0" w:space="0" w:color="auto"/>
            <w:left w:val="none" w:sz="0" w:space="0" w:color="auto"/>
            <w:bottom w:val="none" w:sz="0" w:space="0" w:color="auto"/>
            <w:right w:val="none" w:sz="0" w:space="0" w:color="auto"/>
          </w:divBdr>
        </w:div>
      </w:divsChild>
    </w:div>
    <w:div w:id="714161791">
      <w:marLeft w:val="0"/>
      <w:marRight w:val="0"/>
      <w:marTop w:val="0"/>
      <w:marBottom w:val="0"/>
      <w:divBdr>
        <w:top w:val="none" w:sz="0" w:space="0" w:color="auto"/>
        <w:left w:val="none" w:sz="0" w:space="0" w:color="auto"/>
        <w:bottom w:val="none" w:sz="0" w:space="0" w:color="auto"/>
        <w:right w:val="none" w:sz="0" w:space="0" w:color="auto"/>
      </w:divBdr>
      <w:divsChild>
        <w:div w:id="1941524947">
          <w:marLeft w:val="0"/>
          <w:marRight w:val="0"/>
          <w:marTop w:val="0"/>
          <w:marBottom w:val="0"/>
          <w:divBdr>
            <w:top w:val="none" w:sz="0" w:space="0" w:color="auto"/>
            <w:left w:val="none" w:sz="0" w:space="0" w:color="auto"/>
            <w:bottom w:val="none" w:sz="0" w:space="0" w:color="auto"/>
            <w:right w:val="none" w:sz="0" w:space="0" w:color="auto"/>
          </w:divBdr>
        </w:div>
      </w:divsChild>
    </w:div>
    <w:div w:id="714622418">
      <w:marLeft w:val="0"/>
      <w:marRight w:val="0"/>
      <w:marTop w:val="200"/>
      <w:marBottom w:val="0"/>
      <w:divBdr>
        <w:top w:val="none" w:sz="0" w:space="0" w:color="auto"/>
        <w:left w:val="none" w:sz="0" w:space="0" w:color="auto"/>
        <w:bottom w:val="none" w:sz="0" w:space="0" w:color="auto"/>
        <w:right w:val="none" w:sz="0" w:space="0" w:color="auto"/>
      </w:divBdr>
    </w:div>
    <w:div w:id="716078819">
      <w:marLeft w:val="0"/>
      <w:marRight w:val="0"/>
      <w:marTop w:val="0"/>
      <w:marBottom w:val="0"/>
      <w:divBdr>
        <w:top w:val="none" w:sz="0" w:space="0" w:color="auto"/>
        <w:left w:val="none" w:sz="0" w:space="0" w:color="auto"/>
        <w:bottom w:val="none" w:sz="0" w:space="0" w:color="auto"/>
        <w:right w:val="none" w:sz="0" w:space="0" w:color="auto"/>
      </w:divBdr>
      <w:divsChild>
        <w:div w:id="2130464187">
          <w:marLeft w:val="0"/>
          <w:marRight w:val="0"/>
          <w:marTop w:val="0"/>
          <w:marBottom w:val="0"/>
          <w:divBdr>
            <w:top w:val="none" w:sz="0" w:space="0" w:color="auto"/>
            <w:left w:val="none" w:sz="0" w:space="0" w:color="auto"/>
            <w:bottom w:val="none" w:sz="0" w:space="0" w:color="auto"/>
            <w:right w:val="none" w:sz="0" w:space="0" w:color="auto"/>
          </w:divBdr>
        </w:div>
      </w:divsChild>
    </w:div>
    <w:div w:id="720373308">
      <w:marLeft w:val="0"/>
      <w:marRight w:val="0"/>
      <w:marTop w:val="0"/>
      <w:marBottom w:val="0"/>
      <w:divBdr>
        <w:top w:val="none" w:sz="0" w:space="0" w:color="auto"/>
        <w:left w:val="none" w:sz="0" w:space="0" w:color="auto"/>
        <w:bottom w:val="none" w:sz="0" w:space="0" w:color="auto"/>
        <w:right w:val="none" w:sz="0" w:space="0" w:color="auto"/>
      </w:divBdr>
    </w:div>
    <w:div w:id="720521570">
      <w:marLeft w:val="0"/>
      <w:marRight w:val="0"/>
      <w:marTop w:val="0"/>
      <w:marBottom w:val="0"/>
      <w:divBdr>
        <w:top w:val="none" w:sz="0" w:space="0" w:color="auto"/>
        <w:left w:val="none" w:sz="0" w:space="0" w:color="auto"/>
        <w:bottom w:val="none" w:sz="0" w:space="0" w:color="auto"/>
        <w:right w:val="none" w:sz="0" w:space="0" w:color="auto"/>
      </w:divBdr>
    </w:div>
    <w:div w:id="724138908">
      <w:marLeft w:val="0"/>
      <w:marRight w:val="0"/>
      <w:marTop w:val="0"/>
      <w:marBottom w:val="0"/>
      <w:divBdr>
        <w:top w:val="none" w:sz="0" w:space="0" w:color="auto"/>
        <w:left w:val="none" w:sz="0" w:space="0" w:color="auto"/>
        <w:bottom w:val="none" w:sz="0" w:space="0" w:color="auto"/>
        <w:right w:val="none" w:sz="0" w:space="0" w:color="auto"/>
      </w:divBdr>
    </w:div>
    <w:div w:id="726225291">
      <w:marLeft w:val="0"/>
      <w:marRight w:val="0"/>
      <w:marTop w:val="0"/>
      <w:marBottom w:val="0"/>
      <w:divBdr>
        <w:top w:val="none" w:sz="0" w:space="0" w:color="auto"/>
        <w:left w:val="none" w:sz="0" w:space="0" w:color="auto"/>
        <w:bottom w:val="none" w:sz="0" w:space="0" w:color="auto"/>
        <w:right w:val="none" w:sz="0" w:space="0" w:color="auto"/>
      </w:divBdr>
    </w:div>
    <w:div w:id="727143998">
      <w:marLeft w:val="0"/>
      <w:marRight w:val="0"/>
      <w:marTop w:val="0"/>
      <w:marBottom w:val="0"/>
      <w:divBdr>
        <w:top w:val="none" w:sz="0" w:space="0" w:color="auto"/>
        <w:left w:val="none" w:sz="0" w:space="0" w:color="auto"/>
        <w:bottom w:val="none" w:sz="0" w:space="0" w:color="auto"/>
        <w:right w:val="none" w:sz="0" w:space="0" w:color="auto"/>
      </w:divBdr>
      <w:divsChild>
        <w:div w:id="444616232">
          <w:marLeft w:val="0"/>
          <w:marRight w:val="0"/>
          <w:marTop w:val="0"/>
          <w:marBottom w:val="0"/>
          <w:divBdr>
            <w:top w:val="none" w:sz="0" w:space="0" w:color="auto"/>
            <w:left w:val="none" w:sz="0" w:space="0" w:color="auto"/>
            <w:bottom w:val="none" w:sz="0" w:space="0" w:color="auto"/>
            <w:right w:val="none" w:sz="0" w:space="0" w:color="auto"/>
          </w:divBdr>
        </w:div>
        <w:div w:id="1658412087">
          <w:marLeft w:val="0"/>
          <w:marRight w:val="0"/>
          <w:marTop w:val="0"/>
          <w:marBottom w:val="0"/>
          <w:divBdr>
            <w:top w:val="none" w:sz="0" w:space="0" w:color="auto"/>
            <w:left w:val="none" w:sz="0" w:space="0" w:color="auto"/>
            <w:bottom w:val="none" w:sz="0" w:space="0" w:color="auto"/>
            <w:right w:val="none" w:sz="0" w:space="0" w:color="auto"/>
          </w:divBdr>
        </w:div>
        <w:div w:id="1520390276">
          <w:marLeft w:val="0"/>
          <w:marRight w:val="0"/>
          <w:marTop w:val="0"/>
          <w:marBottom w:val="0"/>
          <w:divBdr>
            <w:top w:val="none" w:sz="0" w:space="0" w:color="auto"/>
            <w:left w:val="none" w:sz="0" w:space="0" w:color="auto"/>
            <w:bottom w:val="none" w:sz="0" w:space="0" w:color="auto"/>
            <w:right w:val="none" w:sz="0" w:space="0" w:color="auto"/>
          </w:divBdr>
        </w:div>
        <w:div w:id="33309598">
          <w:marLeft w:val="0"/>
          <w:marRight w:val="0"/>
          <w:marTop w:val="0"/>
          <w:marBottom w:val="0"/>
          <w:divBdr>
            <w:top w:val="none" w:sz="0" w:space="0" w:color="auto"/>
            <w:left w:val="none" w:sz="0" w:space="0" w:color="auto"/>
            <w:bottom w:val="none" w:sz="0" w:space="0" w:color="auto"/>
            <w:right w:val="none" w:sz="0" w:space="0" w:color="auto"/>
          </w:divBdr>
        </w:div>
      </w:divsChild>
    </w:div>
    <w:div w:id="730424304">
      <w:marLeft w:val="0"/>
      <w:marRight w:val="0"/>
      <w:marTop w:val="0"/>
      <w:marBottom w:val="0"/>
      <w:divBdr>
        <w:top w:val="none" w:sz="0" w:space="0" w:color="auto"/>
        <w:left w:val="none" w:sz="0" w:space="0" w:color="auto"/>
        <w:bottom w:val="none" w:sz="0" w:space="0" w:color="auto"/>
        <w:right w:val="none" w:sz="0" w:space="0" w:color="auto"/>
      </w:divBdr>
    </w:div>
    <w:div w:id="731387878">
      <w:marLeft w:val="0"/>
      <w:marRight w:val="0"/>
      <w:marTop w:val="200"/>
      <w:marBottom w:val="0"/>
      <w:divBdr>
        <w:top w:val="none" w:sz="0" w:space="0" w:color="auto"/>
        <w:left w:val="none" w:sz="0" w:space="0" w:color="auto"/>
        <w:bottom w:val="none" w:sz="0" w:space="0" w:color="auto"/>
        <w:right w:val="none" w:sz="0" w:space="0" w:color="auto"/>
      </w:divBdr>
    </w:div>
    <w:div w:id="732655808">
      <w:marLeft w:val="0"/>
      <w:marRight w:val="0"/>
      <w:marTop w:val="200"/>
      <w:marBottom w:val="0"/>
      <w:divBdr>
        <w:top w:val="none" w:sz="0" w:space="0" w:color="auto"/>
        <w:left w:val="none" w:sz="0" w:space="0" w:color="auto"/>
        <w:bottom w:val="none" w:sz="0" w:space="0" w:color="auto"/>
        <w:right w:val="none" w:sz="0" w:space="0" w:color="auto"/>
      </w:divBdr>
    </w:div>
    <w:div w:id="734083591">
      <w:marLeft w:val="0"/>
      <w:marRight w:val="0"/>
      <w:marTop w:val="0"/>
      <w:marBottom w:val="0"/>
      <w:divBdr>
        <w:top w:val="none" w:sz="0" w:space="0" w:color="auto"/>
        <w:left w:val="none" w:sz="0" w:space="0" w:color="auto"/>
        <w:bottom w:val="none" w:sz="0" w:space="0" w:color="auto"/>
        <w:right w:val="none" w:sz="0" w:space="0" w:color="auto"/>
      </w:divBdr>
      <w:divsChild>
        <w:div w:id="1108357343">
          <w:marLeft w:val="0"/>
          <w:marRight w:val="0"/>
          <w:marTop w:val="0"/>
          <w:marBottom w:val="0"/>
          <w:divBdr>
            <w:top w:val="none" w:sz="0" w:space="0" w:color="auto"/>
            <w:left w:val="none" w:sz="0" w:space="0" w:color="auto"/>
            <w:bottom w:val="none" w:sz="0" w:space="0" w:color="auto"/>
            <w:right w:val="none" w:sz="0" w:space="0" w:color="auto"/>
          </w:divBdr>
        </w:div>
        <w:div w:id="1772359549">
          <w:marLeft w:val="0"/>
          <w:marRight w:val="0"/>
          <w:marTop w:val="0"/>
          <w:marBottom w:val="0"/>
          <w:divBdr>
            <w:top w:val="none" w:sz="0" w:space="0" w:color="auto"/>
            <w:left w:val="none" w:sz="0" w:space="0" w:color="auto"/>
            <w:bottom w:val="none" w:sz="0" w:space="0" w:color="auto"/>
            <w:right w:val="none" w:sz="0" w:space="0" w:color="auto"/>
          </w:divBdr>
        </w:div>
        <w:div w:id="723986495">
          <w:marLeft w:val="0"/>
          <w:marRight w:val="0"/>
          <w:marTop w:val="0"/>
          <w:marBottom w:val="0"/>
          <w:divBdr>
            <w:top w:val="none" w:sz="0" w:space="0" w:color="auto"/>
            <w:left w:val="none" w:sz="0" w:space="0" w:color="auto"/>
            <w:bottom w:val="none" w:sz="0" w:space="0" w:color="auto"/>
            <w:right w:val="none" w:sz="0" w:space="0" w:color="auto"/>
          </w:divBdr>
        </w:div>
        <w:div w:id="330984096">
          <w:marLeft w:val="0"/>
          <w:marRight w:val="0"/>
          <w:marTop w:val="0"/>
          <w:marBottom w:val="0"/>
          <w:divBdr>
            <w:top w:val="none" w:sz="0" w:space="0" w:color="auto"/>
            <w:left w:val="none" w:sz="0" w:space="0" w:color="auto"/>
            <w:bottom w:val="none" w:sz="0" w:space="0" w:color="auto"/>
            <w:right w:val="none" w:sz="0" w:space="0" w:color="auto"/>
          </w:divBdr>
        </w:div>
      </w:divsChild>
    </w:div>
    <w:div w:id="739714755">
      <w:marLeft w:val="0"/>
      <w:marRight w:val="0"/>
      <w:marTop w:val="0"/>
      <w:marBottom w:val="0"/>
      <w:divBdr>
        <w:top w:val="none" w:sz="0" w:space="0" w:color="auto"/>
        <w:left w:val="none" w:sz="0" w:space="0" w:color="auto"/>
        <w:bottom w:val="none" w:sz="0" w:space="0" w:color="auto"/>
        <w:right w:val="none" w:sz="0" w:space="0" w:color="auto"/>
      </w:divBdr>
      <w:divsChild>
        <w:div w:id="821045435">
          <w:marLeft w:val="0"/>
          <w:marRight w:val="0"/>
          <w:marTop w:val="0"/>
          <w:marBottom w:val="0"/>
          <w:divBdr>
            <w:top w:val="none" w:sz="0" w:space="0" w:color="auto"/>
            <w:left w:val="none" w:sz="0" w:space="0" w:color="auto"/>
            <w:bottom w:val="none" w:sz="0" w:space="0" w:color="auto"/>
            <w:right w:val="none" w:sz="0" w:space="0" w:color="auto"/>
          </w:divBdr>
        </w:div>
      </w:divsChild>
    </w:div>
    <w:div w:id="741367112">
      <w:marLeft w:val="0"/>
      <w:marRight w:val="0"/>
      <w:marTop w:val="0"/>
      <w:marBottom w:val="0"/>
      <w:divBdr>
        <w:top w:val="none" w:sz="0" w:space="0" w:color="auto"/>
        <w:left w:val="none" w:sz="0" w:space="0" w:color="auto"/>
        <w:bottom w:val="none" w:sz="0" w:space="0" w:color="auto"/>
        <w:right w:val="none" w:sz="0" w:space="0" w:color="auto"/>
      </w:divBdr>
      <w:divsChild>
        <w:div w:id="1690597439">
          <w:marLeft w:val="0"/>
          <w:marRight w:val="0"/>
          <w:marTop w:val="0"/>
          <w:marBottom w:val="0"/>
          <w:divBdr>
            <w:top w:val="none" w:sz="0" w:space="0" w:color="auto"/>
            <w:left w:val="none" w:sz="0" w:space="0" w:color="auto"/>
            <w:bottom w:val="none" w:sz="0" w:space="0" w:color="auto"/>
            <w:right w:val="none" w:sz="0" w:space="0" w:color="auto"/>
          </w:divBdr>
        </w:div>
      </w:divsChild>
    </w:div>
    <w:div w:id="748426640">
      <w:marLeft w:val="0"/>
      <w:marRight w:val="0"/>
      <w:marTop w:val="0"/>
      <w:marBottom w:val="0"/>
      <w:divBdr>
        <w:top w:val="none" w:sz="0" w:space="0" w:color="auto"/>
        <w:left w:val="none" w:sz="0" w:space="0" w:color="auto"/>
        <w:bottom w:val="none" w:sz="0" w:space="0" w:color="auto"/>
        <w:right w:val="none" w:sz="0" w:space="0" w:color="auto"/>
      </w:divBdr>
    </w:div>
    <w:div w:id="749229184">
      <w:marLeft w:val="0"/>
      <w:marRight w:val="0"/>
      <w:marTop w:val="0"/>
      <w:marBottom w:val="200"/>
      <w:divBdr>
        <w:top w:val="none" w:sz="0" w:space="0" w:color="auto"/>
        <w:left w:val="none" w:sz="0" w:space="0" w:color="auto"/>
        <w:bottom w:val="none" w:sz="0" w:space="0" w:color="auto"/>
        <w:right w:val="none" w:sz="0" w:space="0" w:color="auto"/>
      </w:divBdr>
    </w:div>
    <w:div w:id="750128090">
      <w:marLeft w:val="0"/>
      <w:marRight w:val="0"/>
      <w:marTop w:val="200"/>
      <w:marBottom w:val="0"/>
      <w:divBdr>
        <w:top w:val="none" w:sz="0" w:space="0" w:color="auto"/>
        <w:left w:val="none" w:sz="0" w:space="0" w:color="auto"/>
        <w:bottom w:val="none" w:sz="0" w:space="0" w:color="auto"/>
        <w:right w:val="none" w:sz="0" w:space="0" w:color="auto"/>
      </w:divBdr>
    </w:div>
    <w:div w:id="751121174">
      <w:marLeft w:val="0"/>
      <w:marRight w:val="0"/>
      <w:marTop w:val="0"/>
      <w:marBottom w:val="0"/>
      <w:divBdr>
        <w:top w:val="none" w:sz="0" w:space="0" w:color="auto"/>
        <w:left w:val="none" w:sz="0" w:space="0" w:color="auto"/>
        <w:bottom w:val="none" w:sz="0" w:space="0" w:color="auto"/>
        <w:right w:val="none" w:sz="0" w:space="0" w:color="auto"/>
      </w:divBdr>
      <w:divsChild>
        <w:div w:id="1697661367">
          <w:marLeft w:val="0"/>
          <w:marRight w:val="0"/>
          <w:marTop w:val="0"/>
          <w:marBottom w:val="0"/>
          <w:divBdr>
            <w:top w:val="none" w:sz="0" w:space="0" w:color="auto"/>
            <w:left w:val="none" w:sz="0" w:space="0" w:color="auto"/>
            <w:bottom w:val="none" w:sz="0" w:space="0" w:color="auto"/>
            <w:right w:val="none" w:sz="0" w:space="0" w:color="auto"/>
          </w:divBdr>
        </w:div>
        <w:div w:id="785008639">
          <w:marLeft w:val="0"/>
          <w:marRight w:val="0"/>
          <w:marTop w:val="0"/>
          <w:marBottom w:val="0"/>
          <w:divBdr>
            <w:top w:val="none" w:sz="0" w:space="0" w:color="auto"/>
            <w:left w:val="none" w:sz="0" w:space="0" w:color="auto"/>
            <w:bottom w:val="none" w:sz="0" w:space="0" w:color="auto"/>
            <w:right w:val="none" w:sz="0" w:space="0" w:color="auto"/>
          </w:divBdr>
        </w:div>
      </w:divsChild>
    </w:div>
    <w:div w:id="758062287">
      <w:marLeft w:val="0"/>
      <w:marRight w:val="0"/>
      <w:marTop w:val="0"/>
      <w:marBottom w:val="0"/>
      <w:divBdr>
        <w:top w:val="none" w:sz="0" w:space="0" w:color="auto"/>
        <w:left w:val="none" w:sz="0" w:space="0" w:color="auto"/>
        <w:bottom w:val="none" w:sz="0" w:space="0" w:color="auto"/>
        <w:right w:val="none" w:sz="0" w:space="0" w:color="auto"/>
      </w:divBdr>
      <w:divsChild>
        <w:div w:id="1951233970">
          <w:marLeft w:val="0"/>
          <w:marRight w:val="0"/>
          <w:marTop w:val="0"/>
          <w:marBottom w:val="0"/>
          <w:divBdr>
            <w:top w:val="none" w:sz="0" w:space="0" w:color="auto"/>
            <w:left w:val="none" w:sz="0" w:space="0" w:color="auto"/>
            <w:bottom w:val="none" w:sz="0" w:space="0" w:color="auto"/>
            <w:right w:val="none" w:sz="0" w:space="0" w:color="auto"/>
          </w:divBdr>
        </w:div>
        <w:div w:id="376854412">
          <w:marLeft w:val="0"/>
          <w:marRight w:val="0"/>
          <w:marTop w:val="0"/>
          <w:marBottom w:val="0"/>
          <w:divBdr>
            <w:top w:val="none" w:sz="0" w:space="0" w:color="auto"/>
            <w:left w:val="none" w:sz="0" w:space="0" w:color="auto"/>
            <w:bottom w:val="none" w:sz="0" w:space="0" w:color="auto"/>
            <w:right w:val="none" w:sz="0" w:space="0" w:color="auto"/>
          </w:divBdr>
        </w:div>
        <w:div w:id="822962711">
          <w:marLeft w:val="0"/>
          <w:marRight w:val="0"/>
          <w:marTop w:val="0"/>
          <w:marBottom w:val="0"/>
          <w:divBdr>
            <w:top w:val="none" w:sz="0" w:space="0" w:color="auto"/>
            <w:left w:val="none" w:sz="0" w:space="0" w:color="auto"/>
            <w:bottom w:val="none" w:sz="0" w:space="0" w:color="auto"/>
            <w:right w:val="none" w:sz="0" w:space="0" w:color="auto"/>
          </w:divBdr>
        </w:div>
        <w:div w:id="202445316">
          <w:marLeft w:val="0"/>
          <w:marRight w:val="0"/>
          <w:marTop w:val="0"/>
          <w:marBottom w:val="0"/>
          <w:divBdr>
            <w:top w:val="none" w:sz="0" w:space="0" w:color="auto"/>
            <w:left w:val="none" w:sz="0" w:space="0" w:color="auto"/>
            <w:bottom w:val="none" w:sz="0" w:space="0" w:color="auto"/>
            <w:right w:val="none" w:sz="0" w:space="0" w:color="auto"/>
          </w:divBdr>
        </w:div>
      </w:divsChild>
    </w:div>
    <w:div w:id="758140706">
      <w:marLeft w:val="0"/>
      <w:marRight w:val="0"/>
      <w:marTop w:val="0"/>
      <w:marBottom w:val="0"/>
      <w:divBdr>
        <w:top w:val="none" w:sz="0" w:space="0" w:color="auto"/>
        <w:left w:val="none" w:sz="0" w:space="0" w:color="auto"/>
        <w:bottom w:val="none" w:sz="0" w:space="0" w:color="auto"/>
        <w:right w:val="none" w:sz="0" w:space="0" w:color="auto"/>
      </w:divBdr>
    </w:div>
    <w:div w:id="760108437">
      <w:marLeft w:val="0"/>
      <w:marRight w:val="0"/>
      <w:marTop w:val="0"/>
      <w:marBottom w:val="0"/>
      <w:divBdr>
        <w:top w:val="none" w:sz="0" w:space="0" w:color="auto"/>
        <w:left w:val="none" w:sz="0" w:space="0" w:color="auto"/>
        <w:bottom w:val="none" w:sz="0" w:space="0" w:color="auto"/>
        <w:right w:val="none" w:sz="0" w:space="0" w:color="auto"/>
      </w:divBdr>
    </w:div>
    <w:div w:id="764106944">
      <w:marLeft w:val="0"/>
      <w:marRight w:val="0"/>
      <w:marTop w:val="200"/>
      <w:marBottom w:val="0"/>
      <w:divBdr>
        <w:top w:val="none" w:sz="0" w:space="0" w:color="auto"/>
        <w:left w:val="none" w:sz="0" w:space="0" w:color="auto"/>
        <w:bottom w:val="none" w:sz="0" w:space="0" w:color="auto"/>
        <w:right w:val="none" w:sz="0" w:space="0" w:color="auto"/>
      </w:divBdr>
    </w:div>
    <w:div w:id="764157120">
      <w:marLeft w:val="0"/>
      <w:marRight w:val="0"/>
      <w:marTop w:val="0"/>
      <w:marBottom w:val="0"/>
      <w:divBdr>
        <w:top w:val="none" w:sz="0" w:space="0" w:color="auto"/>
        <w:left w:val="none" w:sz="0" w:space="0" w:color="auto"/>
        <w:bottom w:val="none" w:sz="0" w:space="0" w:color="auto"/>
        <w:right w:val="none" w:sz="0" w:space="0" w:color="auto"/>
      </w:divBdr>
    </w:div>
    <w:div w:id="766075880">
      <w:marLeft w:val="0"/>
      <w:marRight w:val="0"/>
      <w:marTop w:val="200"/>
      <w:marBottom w:val="0"/>
      <w:divBdr>
        <w:top w:val="none" w:sz="0" w:space="0" w:color="auto"/>
        <w:left w:val="none" w:sz="0" w:space="0" w:color="auto"/>
        <w:bottom w:val="none" w:sz="0" w:space="0" w:color="auto"/>
        <w:right w:val="none" w:sz="0" w:space="0" w:color="auto"/>
      </w:divBdr>
    </w:div>
    <w:div w:id="768888006">
      <w:marLeft w:val="0"/>
      <w:marRight w:val="0"/>
      <w:marTop w:val="0"/>
      <w:marBottom w:val="160"/>
      <w:divBdr>
        <w:top w:val="none" w:sz="0" w:space="0" w:color="auto"/>
        <w:left w:val="none" w:sz="0" w:space="0" w:color="auto"/>
        <w:bottom w:val="none" w:sz="0" w:space="0" w:color="auto"/>
        <w:right w:val="none" w:sz="0" w:space="0" w:color="auto"/>
      </w:divBdr>
    </w:div>
    <w:div w:id="771246002">
      <w:marLeft w:val="0"/>
      <w:marRight w:val="0"/>
      <w:marTop w:val="0"/>
      <w:marBottom w:val="0"/>
      <w:divBdr>
        <w:top w:val="none" w:sz="0" w:space="0" w:color="auto"/>
        <w:left w:val="none" w:sz="0" w:space="0" w:color="auto"/>
        <w:bottom w:val="none" w:sz="0" w:space="0" w:color="auto"/>
        <w:right w:val="none" w:sz="0" w:space="0" w:color="auto"/>
      </w:divBdr>
      <w:divsChild>
        <w:div w:id="1754426086">
          <w:marLeft w:val="0"/>
          <w:marRight w:val="0"/>
          <w:marTop w:val="0"/>
          <w:marBottom w:val="0"/>
          <w:divBdr>
            <w:top w:val="none" w:sz="0" w:space="0" w:color="auto"/>
            <w:left w:val="none" w:sz="0" w:space="0" w:color="auto"/>
            <w:bottom w:val="none" w:sz="0" w:space="0" w:color="auto"/>
            <w:right w:val="none" w:sz="0" w:space="0" w:color="auto"/>
          </w:divBdr>
        </w:div>
      </w:divsChild>
    </w:div>
    <w:div w:id="773089593">
      <w:marLeft w:val="0"/>
      <w:marRight w:val="0"/>
      <w:marTop w:val="200"/>
      <w:marBottom w:val="0"/>
      <w:divBdr>
        <w:top w:val="none" w:sz="0" w:space="0" w:color="auto"/>
        <w:left w:val="none" w:sz="0" w:space="0" w:color="auto"/>
        <w:bottom w:val="none" w:sz="0" w:space="0" w:color="auto"/>
        <w:right w:val="none" w:sz="0" w:space="0" w:color="auto"/>
      </w:divBdr>
    </w:div>
    <w:div w:id="773983170">
      <w:marLeft w:val="0"/>
      <w:marRight w:val="0"/>
      <w:marTop w:val="0"/>
      <w:marBottom w:val="0"/>
      <w:divBdr>
        <w:top w:val="none" w:sz="0" w:space="0" w:color="auto"/>
        <w:left w:val="none" w:sz="0" w:space="0" w:color="auto"/>
        <w:bottom w:val="none" w:sz="0" w:space="0" w:color="auto"/>
        <w:right w:val="none" w:sz="0" w:space="0" w:color="auto"/>
      </w:divBdr>
      <w:divsChild>
        <w:div w:id="236326137">
          <w:marLeft w:val="0"/>
          <w:marRight w:val="0"/>
          <w:marTop w:val="0"/>
          <w:marBottom w:val="0"/>
          <w:divBdr>
            <w:top w:val="none" w:sz="0" w:space="0" w:color="auto"/>
            <w:left w:val="none" w:sz="0" w:space="0" w:color="auto"/>
            <w:bottom w:val="none" w:sz="0" w:space="0" w:color="auto"/>
            <w:right w:val="none" w:sz="0" w:space="0" w:color="auto"/>
          </w:divBdr>
        </w:div>
      </w:divsChild>
    </w:div>
    <w:div w:id="775174812">
      <w:marLeft w:val="0"/>
      <w:marRight w:val="0"/>
      <w:marTop w:val="0"/>
      <w:marBottom w:val="0"/>
      <w:divBdr>
        <w:top w:val="none" w:sz="0" w:space="0" w:color="auto"/>
        <w:left w:val="none" w:sz="0" w:space="0" w:color="auto"/>
        <w:bottom w:val="none" w:sz="0" w:space="0" w:color="auto"/>
        <w:right w:val="none" w:sz="0" w:space="0" w:color="auto"/>
      </w:divBdr>
    </w:div>
    <w:div w:id="779565353">
      <w:marLeft w:val="0"/>
      <w:marRight w:val="0"/>
      <w:marTop w:val="200"/>
      <w:marBottom w:val="0"/>
      <w:divBdr>
        <w:top w:val="none" w:sz="0" w:space="0" w:color="auto"/>
        <w:left w:val="none" w:sz="0" w:space="0" w:color="auto"/>
        <w:bottom w:val="none" w:sz="0" w:space="0" w:color="auto"/>
        <w:right w:val="none" w:sz="0" w:space="0" w:color="auto"/>
      </w:divBdr>
    </w:div>
    <w:div w:id="780609907">
      <w:marLeft w:val="0"/>
      <w:marRight w:val="0"/>
      <w:marTop w:val="0"/>
      <w:marBottom w:val="0"/>
      <w:divBdr>
        <w:top w:val="none" w:sz="0" w:space="0" w:color="auto"/>
        <w:left w:val="none" w:sz="0" w:space="0" w:color="auto"/>
        <w:bottom w:val="none" w:sz="0" w:space="0" w:color="auto"/>
        <w:right w:val="none" w:sz="0" w:space="0" w:color="auto"/>
      </w:divBdr>
      <w:divsChild>
        <w:div w:id="466974386">
          <w:marLeft w:val="0"/>
          <w:marRight w:val="0"/>
          <w:marTop w:val="0"/>
          <w:marBottom w:val="0"/>
          <w:divBdr>
            <w:top w:val="none" w:sz="0" w:space="0" w:color="auto"/>
            <w:left w:val="none" w:sz="0" w:space="0" w:color="auto"/>
            <w:bottom w:val="none" w:sz="0" w:space="0" w:color="auto"/>
            <w:right w:val="none" w:sz="0" w:space="0" w:color="auto"/>
          </w:divBdr>
        </w:div>
      </w:divsChild>
    </w:div>
    <w:div w:id="783311329">
      <w:marLeft w:val="0"/>
      <w:marRight w:val="0"/>
      <w:marTop w:val="200"/>
      <w:marBottom w:val="0"/>
      <w:divBdr>
        <w:top w:val="none" w:sz="0" w:space="0" w:color="auto"/>
        <w:left w:val="none" w:sz="0" w:space="0" w:color="auto"/>
        <w:bottom w:val="none" w:sz="0" w:space="0" w:color="auto"/>
        <w:right w:val="none" w:sz="0" w:space="0" w:color="auto"/>
      </w:divBdr>
    </w:div>
    <w:div w:id="788668742">
      <w:marLeft w:val="0"/>
      <w:marRight w:val="0"/>
      <w:marTop w:val="0"/>
      <w:marBottom w:val="0"/>
      <w:divBdr>
        <w:top w:val="none" w:sz="0" w:space="0" w:color="auto"/>
        <w:left w:val="none" w:sz="0" w:space="0" w:color="auto"/>
        <w:bottom w:val="none" w:sz="0" w:space="0" w:color="auto"/>
        <w:right w:val="none" w:sz="0" w:space="0" w:color="auto"/>
      </w:divBdr>
      <w:divsChild>
        <w:div w:id="569119439">
          <w:marLeft w:val="0"/>
          <w:marRight w:val="0"/>
          <w:marTop w:val="0"/>
          <w:marBottom w:val="0"/>
          <w:divBdr>
            <w:top w:val="none" w:sz="0" w:space="0" w:color="auto"/>
            <w:left w:val="none" w:sz="0" w:space="0" w:color="auto"/>
            <w:bottom w:val="none" w:sz="0" w:space="0" w:color="auto"/>
            <w:right w:val="none" w:sz="0" w:space="0" w:color="auto"/>
          </w:divBdr>
        </w:div>
      </w:divsChild>
    </w:div>
    <w:div w:id="791750396">
      <w:marLeft w:val="0"/>
      <w:marRight w:val="0"/>
      <w:marTop w:val="0"/>
      <w:marBottom w:val="0"/>
      <w:divBdr>
        <w:top w:val="none" w:sz="0" w:space="0" w:color="auto"/>
        <w:left w:val="none" w:sz="0" w:space="0" w:color="auto"/>
        <w:bottom w:val="none" w:sz="0" w:space="0" w:color="auto"/>
        <w:right w:val="none" w:sz="0" w:space="0" w:color="auto"/>
      </w:divBdr>
    </w:div>
    <w:div w:id="792790807">
      <w:marLeft w:val="0"/>
      <w:marRight w:val="0"/>
      <w:marTop w:val="200"/>
      <w:marBottom w:val="0"/>
      <w:divBdr>
        <w:top w:val="none" w:sz="0" w:space="0" w:color="auto"/>
        <w:left w:val="none" w:sz="0" w:space="0" w:color="auto"/>
        <w:bottom w:val="none" w:sz="0" w:space="0" w:color="auto"/>
        <w:right w:val="none" w:sz="0" w:space="0" w:color="auto"/>
      </w:divBdr>
    </w:div>
    <w:div w:id="793791000">
      <w:marLeft w:val="0"/>
      <w:marRight w:val="0"/>
      <w:marTop w:val="0"/>
      <w:marBottom w:val="0"/>
      <w:divBdr>
        <w:top w:val="none" w:sz="0" w:space="0" w:color="auto"/>
        <w:left w:val="none" w:sz="0" w:space="0" w:color="auto"/>
        <w:bottom w:val="none" w:sz="0" w:space="0" w:color="auto"/>
        <w:right w:val="none" w:sz="0" w:space="0" w:color="auto"/>
      </w:divBdr>
      <w:divsChild>
        <w:div w:id="1921791398">
          <w:marLeft w:val="0"/>
          <w:marRight w:val="0"/>
          <w:marTop w:val="0"/>
          <w:marBottom w:val="0"/>
          <w:divBdr>
            <w:top w:val="none" w:sz="0" w:space="0" w:color="auto"/>
            <w:left w:val="none" w:sz="0" w:space="0" w:color="auto"/>
            <w:bottom w:val="none" w:sz="0" w:space="0" w:color="auto"/>
            <w:right w:val="none" w:sz="0" w:space="0" w:color="auto"/>
          </w:divBdr>
        </w:div>
      </w:divsChild>
    </w:div>
    <w:div w:id="795417697">
      <w:marLeft w:val="0"/>
      <w:marRight w:val="0"/>
      <w:marTop w:val="0"/>
      <w:marBottom w:val="0"/>
      <w:divBdr>
        <w:top w:val="none" w:sz="0" w:space="0" w:color="auto"/>
        <w:left w:val="none" w:sz="0" w:space="0" w:color="auto"/>
        <w:bottom w:val="none" w:sz="0" w:space="0" w:color="auto"/>
        <w:right w:val="none" w:sz="0" w:space="0" w:color="auto"/>
      </w:divBdr>
      <w:divsChild>
        <w:div w:id="139739305">
          <w:marLeft w:val="0"/>
          <w:marRight w:val="0"/>
          <w:marTop w:val="0"/>
          <w:marBottom w:val="0"/>
          <w:divBdr>
            <w:top w:val="none" w:sz="0" w:space="0" w:color="auto"/>
            <w:left w:val="none" w:sz="0" w:space="0" w:color="auto"/>
            <w:bottom w:val="none" w:sz="0" w:space="0" w:color="auto"/>
            <w:right w:val="none" w:sz="0" w:space="0" w:color="auto"/>
          </w:divBdr>
        </w:div>
      </w:divsChild>
    </w:div>
    <w:div w:id="796342109">
      <w:marLeft w:val="0"/>
      <w:marRight w:val="0"/>
      <w:marTop w:val="0"/>
      <w:marBottom w:val="0"/>
      <w:divBdr>
        <w:top w:val="none" w:sz="0" w:space="0" w:color="auto"/>
        <w:left w:val="none" w:sz="0" w:space="0" w:color="auto"/>
        <w:bottom w:val="none" w:sz="0" w:space="0" w:color="auto"/>
        <w:right w:val="none" w:sz="0" w:space="0" w:color="auto"/>
      </w:divBdr>
      <w:divsChild>
        <w:div w:id="1298485169">
          <w:marLeft w:val="0"/>
          <w:marRight w:val="0"/>
          <w:marTop w:val="0"/>
          <w:marBottom w:val="0"/>
          <w:divBdr>
            <w:top w:val="none" w:sz="0" w:space="0" w:color="auto"/>
            <w:left w:val="none" w:sz="0" w:space="0" w:color="auto"/>
            <w:bottom w:val="none" w:sz="0" w:space="0" w:color="auto"/>
            <w:right w:val="none" w:sz="0" w:space="0" w:color="auto"/>
          </w:divBdr>
        </w:div>
        <w:div w:id="1730179519">
          <w:marLeft w:val="0"/>
          <w:marRight w:val="0"/>
          <w:marTop w:val="0"/>
          <w:marBottom w:val="0"/>
          <w:divBdr>
            <w:top w:val="none" w:sz="0" w:space="0" w:color="auto"/>
            <w:left w:val="none" w:sz="0" w:space="0" w:color="auto"/>
            <w:bottom w:val="none" w:sz="0" w:space="0" w:color="auto"/>
            <w:right w:val="none" w:sz="0" w:space="0" w:color="auto"/>
          </w:divBdr>
        </w:div>
        <w:div w:id="1624186607">
          <w:marLeft w:val="0"/>
          <w:marRight w:val="0"/>
          <w:marTop w:val="0"/>
          <w:marBottom w:val="0"/>
          <w:divBdr>
            <w:top w:val="none" w:sz="0" w:space="0" w:color="auto"/>
            <w:left w:val="none" w:sz="0" w:space="0" w:color="auto"/>
            <w:bottom w:val="none" w:sz="0" w:space="0" w:color="auto"/>
            <w:right w:val="none" w:sz="0" w:space="0" w:color="auto"/>
          </w:divBdr>
        </w:div>
        <w:div w:id="902445988">
          <w:marLeft w:val="0"/>
          <w:marRight w:val="0"/>
          <w:marTop w:val="0"/>
          <w:marBottom w:val="0"/>
          <w:divBdr>
            <w:top w:val="none" w:sz="0" w:space="0" w:color="auto"/>
            <w:left w:val="none" w:sz="0" w:space="0" w:color="auto"/>
            <w:bottom w:val="none" w:sz="0" w:space="0" w:color="auto"/>
            <w:right w:val="none" w:sz="0" w:space="0" w:color="auto"/>
          </w:divBdr>
        </w:div>
      </w:divsChild>
    </w:div>
    <w:div w:id="797185926">
      <w:marLeft w:val="0"/>
      <w:marRight w:val="0"/>
      <w:marTop w:val="0"/>
      <w:marBottom w:val="0"/>
      <w:divBdr>
        <w:top w:val="none" w:sz="0" w:space="0" w:color="auto"/>
        <w:left w:val="none" w:sz="0" w:space="0" w:color="auto"/>
        <w:bottom w:val="none" w:sz="0" w:space="0" w:color="auto"/>
        <w:right w:val="none" w:sz="0" w:space="0" w:color="auto"/>
      </w:divBdr>
      <w:divsChild>
        <w:div w:id="1686058983">
          <w:marLeft w:val="0"/>
          <w:marRight w:val="0"/>
          <w:marTop w:val="0"/>
          <w:marBottom w:val="0"/>
          <w:divBdr>
            <w:top w:val="none" w:sz="0" w:space="0" w:color="auto"/>
            <w:left w:val="none" w:sz="0" w:space="0" w:color="auto"/>
            <w:bottom w:val="none" w:sz="0" w:space="0" w:color="auto"/>
            <w:right w:val="none" w:sz="0" w:space="0" w:color="auto"/>
          </w:divBdr>
        </w:div>
      </w:divsChild>
    </w:div>
    <w:div w:id="798380373">
      <w:marLeft w:val="0"/>
      <w:marRight w:val="0"/>
      <w:marTop w:val="100"/>
      <w:marBottom w:val="0"/>
      <w:divBdr>
        <w:top w:val="none" w:sz="0" w:space="0" w:color="auto"/>
        <w:left w:val="none" w:sz="0" w:space="0" w:color="auto"/>
        <w:bottom w:val="none" w:sz="0" w:space="0" w:color="auto"/>
        <w:right w:val="none" w:sz="0" w:space="0" w:color="auto"/>
      </w:divBdr>
    </w:div>
    <w:div w:id="801269026">
      <w:marLeft w:val="0"/>
      <w:marRight w:val="0"/>
      <w:marTop w:val="200"/>
      <w:marBottom w:val="0"/>
      <w:divBdr>
        <w:top w:val="none" w:sz="0" w:space="0" w:color="auto"/>
        <w:left w:val="none" w:sz="0" w:space="0" w:color="auto"/>
        <w:bottom w:val="none" w:sz="0" w:space="0" w:color="auto"/>
        <w:right w:val="none" w:sz="0" w:space="0" w:color="auto"/>
      </w:divBdr>
    </w:div>
    <w:div w:id="803500106">
      <w:marLeft w:val="0"/>
      <w:marRight w:val="0"/>
      <w:marTop w:val="200"/>
      <w:marBottom w:val="0"/>
      <w:divBdr>
        <w:top w:val="none" w:sz="0" w:space="0" w:color="auto"/>
        <w:left w:val="none" w:sz="0" w:space="0" w:color="auto"/>
        <w:bottom w:val="none" w:sz="0" w:space="0" w:color="auto"/>
        <w:right w:val="none" w:sz="0" w:space="0" w:color="auto"/>
      </w:divBdr>
    </w:div>
    <w:div w:id="805586709">
      <w:marLeft w:val="0"/>
      <w:marRight w:val="0"/>
      <w:marTop w:val="0"/>
      <w:marBottom w:val="0"/>
      <w:divBdr>
        <w:top w:val="none" w:sz="0" w:space="0" w:color="auto"/>
        <w:left w:val="none" w:sz="0" w:space="0" w:color="auto"/>
        <w:bottom w:val="none" w:sz="0" w:space="0" w:color="auto"/>
        <w:right w:val="none" w:sz="0" w:space="0" w:color="auto"/>
      </w:divBdr>
      <w:divsChild>
        <w:div w:id="301039044">
          <w:marLeft w:val="0"/>
          <w:marRight w:val="0"/>
          <w:marTop w:val="0"/>
          <w:marBottom w:val="0"/>
          <w:divBdr>
            <w:top w:val="none" w:sz="0" w:space="0" w:color="auto"/>
            <w:left w:val="none" w:sz="0" w:space="0" w:color="auto"/>
            <w:bottom w:val="none" w:sz="0" w:space="0" w:color="auto"/>
            <w:right w:val="none" w:sz="0" w:space="0" w:color="auto"/>
          </w:divBdr>
        </w:div>
        <w:div w:id="1702048576">
          <w:marLeft w:val="0"/>
          <w:marRight w:val="0"/>
          <w:marTop w:val="0"/>
          <w:marBottom w:val="0"/>
          <w:divBdr>
            <w:top w:val="none" w:sz="0" w:space="0" w:color="auto"/>
            <w:left w:val="none" w:sz="0" w:space="0" w:color="auto"/>
            <w:bottom w:val="none" w:sz="0" w:space="0" w:color="auto"/>
            <w:right w:val="none" w:sz="0" w:space="0" w:color="auto"/>
          </w:divBdr>
        </w:div>
        <w:div w:id="1218857481">
          <w:marLeft w:val="0"/>
          <w:marRight w:val="0"/>
          <w:marTop w:val="0"/>
          <w:marBottom w:val="0"/>
          <w:divBdr>
            <w:top w:val="none" w:sz="0" w:space="0" w:color="auto"/>
            <w:left w:val="none" w:sz="0" w:space="0" w:color="auto"/>
            <w:bottom w:val="none" w:sz="0" w:space="0" w:color="auto"/>
            <w:right w:val="none" w:sz="0" w:space="0" w:color="auto"/>
          </w:divBdr>
        </w:div>
        <w:div w:id="1648973374">
          <w:marLeft w:val="0"/>
          <w:marRight w:val="0"/>
          <w:marTop w:val="0"/>
          <w:marBottom w:val="0"/>
          <w:divBdr>
            <w:top w:val="none" w:sz="0" w:space="0" w:color="auto"/>
            <w:left w:val="none" w:sz="0" w:space="0" w:color="auto"/>
            <w:bottom w:val="none" w:sz="0" w:space="0" w:color="auto"/>
            <w:right w:val="none" w:sz="0" w:space="0" w:color="auto"/>
          </w:divBdr>
        </w:div>
      </w:divsChild>
    </w:div>
    <w:div w:id="812989274">
      <w:marLeft w:val="0"/>
      <w:marRight w:val="0"/>
      <w:marTop w:val="0"/>
      <w:marBottom w:val="0"/>
      <w:divBdr>
        <w:top w:val="none" w:sz="0" w:space="0" w:color="auto"/>
        <w:left w:val="none" w:sz="0" w:space="0" w:color="auto"/>
        <w:bottom w:val="none" w:sz="0" w:space="0" w:color="auto"/>
        <w:right w:val="none" w:sz="0" w:space="0" w:color="auto"/>
      </w:divBdr>
    </w:div>
    <w:div w:id="815220205">
      <w:marLeft w:val="0"/>
      <w:marRight w:val="0"/>
      <w:marTop w:val="0"/>
      <w:marBottom w:val="0"/>
      <w:divBdr>
        <w:top w:val="none" w:sz="0" w:space="0" w:color="auto"/>
        <w:left w:val="none" w:sz="0" w:space="0" w:color="auto"/>
        <w:bottom w:val="none" w:sz="0" w:space="0" w:color="auto"/>
        <w:right w:val="none" w:sz="0" w:space="0" w:color="auto"/>
      </w:divBdr>
      <w:divsChild>
        <w:div w:id="548952742">
          <w:marLeft w:val="0"/>
          <w:marRight w:val="0"/>
          <w:marTop w:val="0"/>
          <w:marBottom w:val="0"/>
          <w:divBdr>
            <w:top w:val="none" w:sz="0" w:space="0" w:color="auto"/>
            <w:left w:val="none" w:sz="0" w:space="0" w:color="auto"/>
            <w:bottom w:val="none" w:sz="0" w:space="0" w:color="auto"/>
            <w:right w:val="none" w:sz="0" w:space="0" w:color="auto"/>
          </w:divBdr>
        </w:div>
        <w:div w:id="1097218345">
          <w:marLeft w:val="0"/>
          <w:marRight w:val="0"/>
          <w:marTop w:val="0"/>
          <w:marBottom w:val="0"/>
          <w:divBdr>
            <w:top w:val="none" w:sz="0" w:space="0" w:color="auto"/>
            <w:left w:val="none" w:sz="0" w:space="0" w:color="auto"/>
            <w:bottom w:val="none" w:sz="0" w:space="0" w:color="auto"/>
            <w:right w:val="none" w:sz="0" w:space="0" w:color="auto"/>
          </w:divBdr>
        </w:div>
        <w:div w:id="2128615707">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sChild>
    </w:div>
    <w:div w:id="815339328">
      <w:marLeft w:val="0"/>
      <w:marRight w:val="0"/>
      <w:marTop w:val="0"/>
      <w:marBottom w:val="0"/>
      <w:divBdr>
        <w:top w:val="none" w:sz="0" w:space="0" w:color="auto"/>
        <w:left w:val="none" w:sz="0" w:space="0" w:color="auto"/>
        <w:bottom w:val="none" w:sz="0" w:space="0" w:color="auto"/>
        <w:right w:val="none" w:sz="0" w:space="0" w:color="auto"/>
      </w:divBdr>
    </w:div>
    <w:div w:id="815411982">
      <w:marLeft w:val="0"/>
      <w:marRight w:val="0"/>
      <w:marTop w:val="0"/>
      <w:marBottom w:val="0"/>
      <w:divBdr>
        <w:top w:val="none" w:sz="0" w:space="0" w:color="auto"/>
        <w:left w:val="none" w:sz="0" w:space="0" w:color="auto"/>
        <w:bottom w:val="none" w:sz="0" w:space="0" w:color="auto"/>
        <w:right w:val="none" w:sz="0" w:space="0" w:color="auto"/>
      </w:divBdr>
    </w:div>
    <w:div w:id="816993813">
      <w:marLeft w:val="0"/>
      <w:marRight w:val="0"/>
      <w:marTop w:val="100"/>
      <w:marBottom w:val="0"/>
      <w:divBdr>
        <w:top w:val="none" w:sz="0" w:space="0" w:color="auto"/>
        <w:left w:val="none" w:sz="0" w:space="0" w:color="auto"/>
        <w:bottom w:val="none" w:sz="0" w:space="0" w:color="auto"/>
        <w:right w:val="none" w:sz="0" w:space="0" w:color="auto"/>
      </w:divBdr>
    </w:div>
    <w:div w:id="817768731">
      <w:marLeft w:val="0"/>
      <w:marRight w:val="0"/>
      <w:marTop w:val="200"/>
      <w:marBottom w:val="0"/>
      <w:divBdr>
        <w:top w:val="none" w:sz="0" w:space="0" w:color="auto"/>
        <w:left w:val="none" w:sz="0" w:space="0" w:color="auto"/>
        <w:bottom w:val="none" w:sz="0" w:space="0" w:color="auto"/>
        <w:right w:val="none" w:sz="0" w:space="0" w:color="auto"/>
      </w:divBdr>
    </w:div>
    <w:div w:id="823745336">
      <w:marLeft w:val="0"/>
      <w:marRight w:val="0"/>
      <w:marTop w:val="200"/>
      <w:marBottom w:val="0"/>
      <w:divBdr>
        <w:top w:val="none" w:sz="0" w:space="0" w:color="auto"/>
        <w:left w:val="none" w:sz="0" w:space="0" w:color="auto"/>
        <w:bottom w:val="none" w:sz="0" w:space="0" w:color="auto"/>
        <w:right w:val="none" w:sz="0" w:space="0" w:color="auto"/>
      </w:divBdr>
    </w:div>
    <w:div w:id="825436773">
      <w:marLeft w:val="0"/>
      <w:marRight w:val="0"/>
      <w:marTop w:val="200"/>
      <w:marBottom w:val="0"/>
      <w:divBdr>
        <w:top w:val="none" w:sz="0" w:space="0" w:color="auto"/>
        <w:left w:val="none" w:sz="0" w:space="0" w:color="auto"/>
        <w:bottom w:val="none" w:sz="0" w:space="0" w:color="auto"/>
        <w:right w:val="none" w:sz="0" w:space="0" w:color="auto"/>
      </w:divBdr>
    </w:div>
    <w:div w:id="827982029">
      <w:marLeft w:val="0"/>
      <w:marRight w:val="0"/>
      <w:marTop w:val="100"/>
      <w:marBottom w:val="60"/>
      <w:divBdr>
        <w:top w:val="none" w:sz="0" w:space="0" w:color="auto"/>
        <w:left w:val="none" w:sz="0" w:space="0" w:color="auto"/>
        <w:bottom w:val="none" w:sz="0" w:space="0" w:color="auto"/>
        <w:right w:val="none" w:sz="0" w:space="0" w:color="auto"/>
      </w:divBdr>
    </w:div>
    <w:div w:id="835262690">
      <w:marLeft w:val="0"/>
      <w:marRight w:val="0"/>
      <w:marTop w:val="280"/>
      <w:marBottom w:val="0"/>
      <w:divBdr>
        <w:top w:val="none" w:sz="0" w:space="0" w:color="auto"/>
        <w:left w:val="none" w:sz="0" w:space="0" w:color="auto"/>
        <w:bottom w:val="none" w:sz="0" w:space="0" w:color="auto"/>
        <w:right w:val="none" w:sz="0" w:space="0" w:color="auto"/>
      </w:divBdr>
    </w:div>
    <w:div w:id="837111244">
      <w:marLeft w:val="0"/>
      <w:marRight w:val="0"/>
      <w:marTop w:val="0"/>
      <w:marBottom w:val="0"/>
      <w:divBdr>
        <w:top w:val="none" w:sz="0" w:space="0" w:color="auto"/>
        <w:left w:val="none" w:sz="0" w:space="0" w:color="auto"/>
        <w:bottom w:val="none" w:sz="0" w:space="0" w:color="auto"/>
        <w:right w:val="none" w:sz="0" w:space="0" w:color="auto"/>
      </w:divBdr>
      <w:divsChild>
        <w:div w:id="313292933">
          <w:marLeft w:val="0"/>
          <w:marRight w:val="0"/>
          <w:marTop w:val="0"/>
          <w:marBottom w:val="0"/>
          <w:divBdr>
            <w:top w:val="none" w:sz="0" w:space="0" w:color="auto"/>
            <w:left w:val="none" w:sz="0" w:space="0" w:color="auto"/>
            <w:bottom w:val="none" w:sz="0" w:space="0" w:color="auto"/>
            <w:right w:val="none" w:sz="0" w:space="0" w:color="auto"/>
          </w:divBdr>
        </w:div>
      </w:divsChild>
    </w:div>
    <w:div w:id="843083189">
      <w:marLeft w:val="0"/>
      <w:marRight w:val="0"/>
      <w:marTop w:val="0"/>
      <w:marBottom w:val="0"/>
      <w:divBdr>
        <w:top w:val="none" w:sz="0" w:space="0" w:color="auto"/>
        <w:left w:val="none" w:sz="0" w:space="0" w:color="auto"/>
        <w:bottom w:val="none" w:sz="0" w:space="0" w:color="auto"/>
        <w:right w:val="none" w:sz="0" w:space="0" w:color="auto"/>
      </w:divBdr>
    </w:div>
    <w:div w:id="843472306">
      <w:marLeft w:val="0"/>
      <w:marRight w:val="0"/>
      <w:marTop w:val="200"/>
      <w:marBottom w:val="0"/>
      <w:divBdr>
        <w:top w:val="none" w:sz="0" w:space="0" w:color="auto"/>
        <w:left w:val="none" w:sz="0" w:space="0" w:color="auto"/>
        <w:bottom w:val="none" w:sz="0" w:space="0" w:color="auto"/>
        <w:right w:val="none" w:sz="0" w:space="0" w:color="auto"/>
      </w:divBdr>
    </w:div>
    <w:div w:id="845750508">
      <w:marLeft w:val="0"/>
      <w:marRight w:val="0"/>
      <w:marTop w:val="0"/>
      <w:marBottom w:val="0"/>
      <w:divBdr>
        <w:top w:val="none" w:sz="0" w:space="0" w:color="auto"/>
        <w:left w:val="none" w:sz="0" w:space="0" w:color="auto"/>
        <w:bottom w:val="none" w:sz="0" w:space="0" w:color="auto"/>
        <w:right w:val="none" w:sz="0" w:space="0" w:color="auto"/>
      </w:divBdr>
      <w:divsChild>
        <w:div w:id="324744233">
          <w:marLeft w:val="0"/>
          <w:marRight w:val="0"/>
          <w:marTop w:val="0"/>
          <w:marBottom w:val="0"/>
          <w:divBdr>
            <w:top w:val="none" w:sz="0" w:space="0" w:color="auto"/>
            <w:left w:val="none" w:sz="0" w:space="0" w:color="auto"/>
            <w:bottom w:val="none" w:sz="0" w:space="0" w:color="auto"/>
            <w:right w:val="none" w:sz="0" w:space="0" w:color="auto"/>
          </w:divBdr>
        </w:div>
      </w:divsChild>
    </w:div>
    <w:div w:id="848176063">
      <w:marLeft w:val="0"/>
      <w:marRight w:val="0"/>
      <w:marTop w:val="0"/>
      <w:marBottom w:val="0"/>
      <w:divBdr>
        <w:top w:val="none" w:sz="0" w:space="0" w:color="auto"/>
        <w:left w:val="none" w:sz="0" w:space="0" w:color="auto"/>
        <w:bottom w:val="none" w:sz="0" w:space="0" w:color="auto"/>
        <w:right w:val="none" w:sz="0" w:space="0" w:color="auto"/>
      </w:divBdr>
      <w:divsChild>
        <w:div w:id="693075237">
          <w:marLeft w:val="0"/>
          <w:marRight w:val="0"/>
          <w:marTop w:val="0"/>
          <w:marBottom w:val="0"/>
          <w:divBdr>
            <w:top w:val="none" w:sz="0" w:space="0" w:color="auto"/>
            <w:left w:val="none" w:sz="0" w:space="0" w:color="auto"/>
            <w:bottom w:val="none" w:sz="0" w:space="0" w:color="auto"/>
            <w:right w:val="none" w:sz="0" w:space="0" w:color="auto"/>
          </w:divBdr>
        </w:div>
      </w:divsChild>
    </w:div>
    <w:div w:id="848984284">
      <w:marLeft w:val="0"/>
      <w:marRight w:val="0"/>
      <w:marTop w:val="0"/>
      <w:marBottom w:val="0"/>
      <w:divBdr>
        <w:top w:val="none" w:sz="0" w:space="0" w:color="auto"/>
        <w:left w:val="none" w:sz="0" w:space="0" w:color="auto"/>
        <w:bottom w:val="none" w:sz="0" w:space="0" w:color="auto"/>
        <w:right w:val="none" w:sz="0" w:space="0" w:color="auto"/>
      </w:divBdr>
      <w:divsChild>
        <w:div w:id="1124150804">
          <w:marLeft w:val="0"/>
          <w:marRight w:val="0"/>
          <w:marTop w:val="0"/>
          <w:marBottom w:val="0"/>
          <w:divBdr>
            <w:top w:val="none" w:sz="0" w:space="0" w:color="auto"/>
            <w:left w:val="none" w:sz="0" w:space="0" w:color="auto"/>
            <w:bottom w:val="none" w:sz="0" w:space="0" w:color="auto"/>
            <w:right w:val="none" w:sz="0" w:space="0" w:color="auto"/>
          </w:divBdr>
        </w:div>
        <w:div w:id="1424493334">
          <w:marLeft w:val="0"/>
          <w:marRight w:val="0"/>
          <w:marTop w:val="0"/>
          <w:marBottom w:val="0"/>
          <w:divBdr>
            <w:top w:val="none" w:sz="0" w:space="0" w:color="auto"/>
            <w:left w:val="none" w:sz="0" w:space="0" w:color="auto"/>
            <w:bottom w:val="none" w:sz="0" w:space="0" w:color="auto"/>
            <w:right w:val="none" w:sz="0" w:space="0" w:color="auto"/>
          </w:divBdr>
        </w:div>
        <w:div w:id="1328941456">
          <w:marLeft w:val="0"/>
          <w:marRight w:val="0"/>
          <w:marTop w:val="0"/>
          <w:marBottom w:val="0"/>
          <w:divBdr>
            <w:top w:val="none" w:sz="0" w:space="0" w:color="auto"/>
            <w:left w:val="none" w:sz="0" w:space="0" w:color="auto"/>
            <w:bottom w:val="none" w:sz="0" w:space="0" w:color="auto"/>
            <w:right w:val="none" w:sz="0" w:space="0" w:color="auto"/>
          </w:divBdr>
        </w:div>
        <w:div w:id="1833522410">
          <w:marLeft w:val="0"/>
          <w:marRight w:val="0"/>
          <w:marTop w:val="0"/>
          <w:marBottom w:val="0"/>
          <w:divBdr>
            <w:top w:val="none" w:sz="0" w:space="0" w:color="auto"/>
            <w:left w:val="none" w:sz="0" w:space="0" w:color="auto"/>
            <w:bottom w:val="none" w:sz="0" w:space="0" w:color="auto"/>
            <w:right w:val="none" w:sz="0" w:space="0" w:color="auto"/>
          </w:divBdr>
        </w:div>
      </w:divsChild>
    </w:div>
    <w:div w:id="851140756">
      <w:marLeft w:val="0"/>
      <w:marRight w:val="0"/>
      <w:marTop w:val="0"/>
      <w:marBottom w:val="0"/>
      <w:divBdr>
        <w:top w:val="none" w:sz="0" w:space="0" w:color="auto"/>
        <w:left w:val="none" w:sz="0" w:space="0" w:color="auto"/>
        <w:bottom w:val="none" w:sz="0" w:space="0" w:color="auto"/>
        <w:right w:val="none" w:sz="0" w:space="0" w:color="auto"/>
      </w:divBdr>
      <w:divsChild>
        <w:div w:id="447042787">
          <w:marLeft w:val="0"/>
          <w:marRight w:val="0"/>
          <w:marTop w:val="0"/>
          <w:marBottom w:val="0"/>
          <w:divBdr>
            <w:top w:val="none" w:sz="0" w:space="0" w:color="auto"/>
            <w:left w:val="none" w:sz="0" w:space="0" w:color="auto"/>
            <w:bottom w:val="none" w:sz="0" w:space="0" w:color="auto"/>
            <w:right w:val="none" w:sz="0" w:space="0" w:color="auto"/>
          </w:divBdr>
        </w:div>
      </w:divsChild>
    </w:div>
    <w:div w:id="852454041">
      <w:marLeft w:val="0"/>
      <w:marRight w:val="0"/>
      <w:marTop w:val="200"/>
      <w:marBottom w:val="0"/>
      <w:divBdr>
        <w:top w:val="none" w:sz="0" w:space="0" w:color="auto"/>
        <w:left w:val="none" w:sz="0" w:space="0" w:color="auto"/>
        <w:bottom w:val="none" w:sz="0" w:space="0" w:color="auto"/>
        <w:right w:val="none" w:sz="0" w:space="0" w:color="auto"/>
      </w:divBdr>
    </w:div>
    <w:div w:id="853611634">
      <w:marLeft w:val="0"/>
      <w:marRight w:val="0"/>
      <w:marTop w:val="200"/>
      <w:marBottom w:val="0"/>
      <w:divBdr>
        <w:top w:val="none" w:sz="0" w:space="0" w:color="auto"/>
        <w:left w:val="none" w:sz="0" w:space="0" w:color="auto"/>
        <w:bottom w:val="none" w:sz="0" w:space="0" w:color="auto"/>
        <w:right w:val="none" w:sz="0" w:space="0" w:color="auto"/>
      </w:divBdr>
    </w:div>
    <w:div w:id="855584537">
      <w:marLeft w:val="0"/>
      <w:marRight w:val="0"/>
      <w:marTop w:val="200"/>
      <w:marBottom w:val="0"/>
      <w:divBdr>
        <w:top w:val="none" w:sz="0" w:space="0" w:color="auto"/>
        <w:left w:val="none" w:sz="0" w:space="0" w:color="auto"/>
        <w:bottom w:val="none" w:sz="0" w:space="0" w:color="auto"/>
        <w:right w:val="none" w:sz="0" w:space="0" w:color="auto"/>
      </w:divBdr>
    </w:div>
    <w:div w:id="856112971">
      <w:marLeft w:val="0"/>
      <w:marRight w:val="0"/>
      <w:marTop w:val="0"/>
      <w:marBottom w:val="0"/>
      <w:divBdr>
        <w:top w:val="none" w:sz="0" w:space="0" w:color="auto"/>
        <w:left w:val="none" w:sz="0" w:space="0" w:color="auto"/>
        <w:bottom w:val="none" w:sz="0" w:space="0" w:color="auto"/>
        <w:right w:val="none" w:sz="0" w:space="0" w:color="auto"/>
      </w:divBdr>
    </w:div>
    <w:div w:id="859321206">
      <w:marLeft w:val="0"/>
      <w:marRight w:val="0"/>
      <w:marTop w:val="0"/>
      <w:marBottom w:val="0"/>
      <w:divBdr>
        <w:top w:val="none" w:sz="0" w:space="0" w:color="auto"/>
        <w:left w:val="none" w:sz="0" w:space="0" w:color="auto"/>
        <w:bottom w:val="none" w:sz="0" w:space="0" w:color="auto"/>
        <w:right w:val="none" w:sz="0" w:space="0" w:color="auto"/>
      </w:divBdr>
    </w:div>
    <w:div w:id="862551849">
      <w:marLeft w:val="0"/>
      <w:marRight w:val="0"/>
      <w:marTop w:val="0"/>
      <w:marBottom w:val="0"/>
      <w:divBdr>
        <w:top w:val="none" w:sz="0" w:space="0" w:color="auto"/>
        <w:left w:val="none" w:sz="0" w:space="0" w:color="auto"/>
        <w:bottom w:val="none" w:sz="0" w:space="0" w:color="auto"/>
        <w:right w:val="none" w:sz="0" w:space="0" w:color="auto"/>
      </w:divBdr>
      <w:divsChild>
        <w:div w:id="1219703913">
          <w:marLeft w:val="0"/>
          <w:marRight w:val="0"/>
          <w:marTop w:val="0"/>
          <w:marBottom w:val="0"/>
          <w:divBdr>
            <w:top w:val="none" w:sz="0" w:space="0" w:color="auto"/>
            <w:left w:val="none" w:sz="0" w:space="0" w:color="auto"/>
            <w:bottom w:val="none" w:sz="0" w:space="0" w:color="auto"/>
            <w:right w:val="none" w:sz="0" w:space="0" w:color="auto"/>
          </w:divBdr>
        </w:div>
      </w:divsChild>
    </w:div>
    <w:div w:id="865412922">
      <w:marLeft w:val="0"/>
      <w:marRight w:val="0"/>
      <w:marTop w:val="120"/>
      <w:marBottom w:val="0"/>
      <w:divBdr>
        <w:top w:val="none" w:sz="0" w:space="0" w:color="auto"/>
        <w:left w:val="none" w:sz="0" w:space="0" w:color="auto"/>
        <w:bottom w:val="none" w:sz="0" w:space="0" w:color="auto"/>
        <w:right w:val="none" w:sz="0" w:space="0" w:color="auto"/>
      </w:divBdr>
    </w:div>
    <w:div w:id="866527235">
      <w:marLeft w:val="0"/>
      <w:marRight w:val="0"/>
      <w:marTop w:val="100"/>
      <w:marBottom w:val="0"/>
      <w:divBdr>
        <w:top w:val="none" w:sz="0" w:space="0" w:color="auto"/>
        <w:left w:val="none" w:sz="0" w:space="0" w:color="auto"/>
        <w:bottom w:val="none" w:sz="0" w:space="0" w:color="auto"/>
        <w:right w:val="none" w:sz="0" w:space="0" w:color="auto"/>
      </w:divBdr>
    </w:div>
    <w:div w:id="867912014">
      <w:marLeft w:val="0"/>
      <w:marRight w:val="0"/>
      <w:marTop w:val="0"/>
      <w:marBottom w:val="0"/>
      <w:divBdr>
        <w:top w:val="none" w:sz="0" w:space="0" w:color="auto"/>
        <w:left w:val="none" w:sz="0" w:space="0" w:color="auto"/>
        <w:bottom w:val="none" w:sz="0" w:space="0" w:color="auto"/>
        <w:right w:val="none" w:sz="0" w:space="0" w:color="auto"/>
      </w:divBdr>
      <w:divsChild>
        <w:div w:id="1310983209">
          <w:marLeft w:val="0"/>
          <w:marRight w:val="0"/>
          <w:marTop w:val="0"/>
          <w:marBottom w:val="0"/>
          <w:divBdr>
            <w:top w:val="none" w:sz="0" w:space="0" w:color="auto"/>
            <w:left w:val="none" w:sz="0" w:space="0" w:color="auto"/>
            <w:bottom w:val="none" w:sz="0" w:space="0" w:color="auto"/>
            <w:right w:val="none" w:sz="0" w:space="0" w:color="auto"/>
          </w:divBdr>
        </w:div>
      </w:divsChild>
    </w:div>
    <w:div w:id="873929124">
      <w:marLeft w:val="0"/>
      <w:marRight w:val="0"/>
      <w:marTop w:val="0"/>
      <w:marBottom w:val="0"/>
      <w:divBdr>
        <w:top w:val="none" w:sz="0" w:space="0" w:color="auto"/>
        <w:left w:val="none" w:sz="0" w:space="0" w:color="auto"/>
        <w:bottom w:val="none" w:sz="0" w:space="0" w:color="auto"/>
        <w:right w:val="none" w:sz="0" w:space="0" w:color="auto"/>
      </w:divBdr>
    </w:div>
    <w:div w:id="874536689">
      <w:marLeft w:val="0"/>
      <w:marRight w:val="0"/>
      <w:marTop w:val="0"/>
      <w:marBottom w:val="0"/>
      <w:divBdr>
        <w:top w:val="none" w:sz="0" w:space="0" w:color="auto"/>
        <w:left w:val="none" w:sz="0" w:space="0" w:color="auto"/>
        <w:bottom w:val="none" w:sz="0" w:space="0" w:color="auto"/>
        <w:right w:val="none" w:sz="0" w:space="0" w:color="auto"/>
      </w:divBdr>
      <w:divsChild>
        <w:div w:id="2059620332">
          <w:marLeft w:val="0"/>
          <w:marRight w:val="0"/>
          <w:marTop w:val="0"/>
          <w:marBottom w:val="0"/>
          <w:divBdr>
            <w:top w:val="none" w:sz="0" w:space="0" w:color="auto"/>
            <w:left w:val="none" w:sz="0" w:space="0" w:color="auto"/>
            <w:bottom w:val="none" w:sz="0" w:space="0" w:color="auto"/>
            <w:right w:val="none" w:sz="0" w:space="0" w:color="auto"/>
          </w:divBdr>
        </w:div>
      </w:divsChild>
    </w:div>
    <w:div w:id="874586454">
      <w:marLeft w:val="0"/>
      <w:marRight w:val="0"/>
      <w:marTop w:val="0"/>
      <w:marBottom w:val="0"/>
      <w:divBdr>
        <w:top w:val="none" w:sz="0" w:space="0" w:color="auto"/>
        <w:left w:val="none" w:sz="0" w:space="0" w:color="auto"/>
        <w:bottom w:val="none" w:sz="0" w:space="0" w:color="auto"/>
        <w:right w:val="none" w:sz="0" w:space="0" w:color="auto"/>
      </w:divBdr>
    </w:div>
    <w:div w:id="875118902">
      <w:marLeft w:val="0"/>
      <w:marRight w:val="0"/>
      <w:marTop w:val="0"/>
      <w:marBottom w:val="200"/>
      <w:divBdr>
        <w:top w:val="none" w:sz="0" w:space="0" w:color="auto"/>
        <w:left w:val="none" w:sz="0" w:space="0" w:color="auto"/>
        <w:bottom w:val="none" w:sz="0" w:space="0" w:color="auto"/>
        <w:right w:val="none" w:sz="0" w:space="0" w:color="auto"/>
      </w:divBdr>
    </w:div>
    <w:div w:id="875653619">
      <w:marLeft w:val="0"/>
      <w:marRight w:val="0"/>
      <w:marTop w:val="0"/>
      <w:marBottom w:val="0"/>
      <w:divBdr>
        <w:top w:val="none" w:sz="0" w:space="0" w:color="auto"/>
        <w:left w:val="none" w:sz="0" w:space="0" w:color="auto"/>
        <w:bottom w:val="none" w:sz="0" w:space="0" w:color="auto"/>
        <w:right w:val="none" w:sz="0" w:space="0" w:color="auto"/>
      </w:divBdr>
      <w:divsChild>
        <w:div w:id="2072345370">
          <w:marLeft w:val="0"/>
          <w:marRight w:val="0"/>
          <w:marTop w:val="0"/>
          <w:marBottom w:val="0"/>
          <w:divBdr>
            <w:top w:val="none" w:sz="0" w:space="0" w:color="auto"/>
            <w:left w:val="none" w:sz="0" w:space="0" w:color="auto"/>
            <w:bottom w:val="none" w:sz="0" w:space="0" w:color="auto"/>
            <w:right w:val="none" w:sz="0" w:space="0" w:color="auto"/>
          </w:divBdr>
        </w:div>
      </w:divsChild>
    </w:div>
    <w:div w:id="876157625">
      <w:marLeft w:val="0"/>
      <w:marRight w:val="0"/>
      <w:marTop w:val="200"/>
      <w:marBottom w:val="0"/>
      <w:divBdr>
        <w:top w:val="none" w:sz="0" w:space="0" w:color="auto"/>
        <w:left w:val="none" w:sz="0" w:space="0" w:color="auto"/>
        <w:bottom w:val="none" w:sz="0" w:space="0" w:color="auto"/>
        <w:right w:val="none" w:sz="0" w:space="0" w:color="auto"/>
      </w:divBdr>
    </w:div>
    <w:div w:id="877352221">
      <w:marLeft w:val="0"/>
      <w:marRight w:val="0"/>
      <w:marTop w:val="0"/>
      <w:marBottom w:val="0"/>
      <w:divBdr>
        <w:top w:val="none" w:sz="0" w:space="0" w:color="auto"/>
        <w:left w:val="none" w:sz="0" w:space="0" w:color="auto"/>
        <w:bottom w:val="none" w:sz="0" w:space="0" w:color="auto"/>
        <w:right w:val="none" w:sz="0" w:space="0" w:color="auto"/>
      </w:divBdr>
    </w:div>
    <w:div w:id="880245959">
      <w:marLeft w:val="0"/>
      <w:marRight w:val="0"/>
      <w:marTop w:val="0"/>
      <w:marBottom w:val="0"/>
      <w:divBdr>
        <w:top w:val="none" w:sz="0" w:space="0" w:color="auto"/>
        <w:left w:val="none" w:sz="0" w:space="0" w:color="auto"/>
        <w:bottom w:val="none" w:sz="0" w:space="0" w:color="auto"/>
        <w:right w:val="none" w:sz="0" w:space="0" w:color="auto"/>
      </w:divBdr>
      <w:divsChild>
        <w:div w:id="1821578723">
          <w:marLeft w:val="0"/>
          <w:marRight w:val="0"/>
          <w:marTop w:val="0"/>
          <w:marBottom w:val="0"/>
          <w:divBdr>
            <w:top w:val="none" w:sz="0" w:space="0" w:color="auto"/>
            <w:left w:val="none" w:sz="0" w:space="0" w:color="auto"/>
            <w:bottom w:val="none" w:sz="0" w:space="0" w:color="auto"/>
            <w:right w:val="none" w:sz="0" w:space="0" w:color="auto"/>
          </w:divBdr>
        </w:div>
      </w:divsChild>
    </w:div>
    <w:div w:id="886255077">
      <w:marLeft w:val="0"/>
      <w:marRight w:val="0"/>
      <w:marTop w:val="200"/>
      <w:marBottom w:val="160"/>
      <w:divBdr>
        <w:top w:val="none" w:sz="0" w:space="0" w:color="auto"/>
        <w:left w:val="none" w:sz="0" w:space="0" w:color="auto"/>
        <w:bottom w:val="none" w:sz="0" w:space="0" w:color="auto"/>
        <w:right w:val="none" w:sz="0" w:space="0" w:color="auto"/>
      </w:divBdr>
    </w:div>
    <w:div w:id="894203040">
      <w:marLeft w:val="0"/>
      <w:marRight w:val="0"/>
      <w:marTop w:val="0"/>
      <w:marBottom w:val="0"/>
      <w:divBdr>
        <w:top w:val="none" w:sz="0" w:space="0" w:color="auto"/>
        <w:left w:val="none" w:sz="0" w:space="0" w:color="auto"/>
        <w:bottom w:val="none" w:sz="0" w:space="0" w:color="auto"/>
        <w:right w:val="none" w:sz="0" w:space="0" w:color="auto"/>
      </w:divBdr>
    </w:div>
    <w:div w:id="896286713">
      <w:marLeft w:val="0"/>
      <w:marRight w:val="0"/>
      <w:marTop w:val="200"/>
      <w:marBottom w:val="0"/>
      <w:divBdr>
        <w:top w:val="none" w:sz="0" w:space="0" w:color="auto"/>
        <w:left w:val="none" w:sz="0" w:space="0" w:color="auto"/>
        <w:bottom w:val="none" w:sz="0" w:space="0" w:color="auto"/>
        <w:right w:val="none" w:sz="0" w:space="0" w:color="auto"/>
      </w:divBdr>
    </w:div>
    <w:div w:id="897790068">
      <w:marLeft w:val="0"/>
      <w:marRight w:val="0"/>
      <w:marTop w:val="200"/>
      <w:marBottom w:val="0"/>
      <w:divBdr>
        <w:top w:val="none" w:sz="0" w:space="0" w:color="auto"/>
        <w:left w:val="none" w:sz="0" w:space="0" w:color="auto"/>
        <w:bottom w:val="none" w:sz="0" w:space="0" w:color="auto"/>
        <w:right w:val="none" w:sz="0" w:space="0" w:color="auto"/>
      </w:divBdr>
    </w:div>
    <w:div w:id="901519608">
      <w:marLeft w:val="0"/>
      <w:marRight w:val="0"/>
      <w:marTop w:val="200"/>
      <w:marBottom w:val="0"/>
      <w:divBdr>
        <w:top w:val="none" w:sz="0" w:space="0" w:color="auto"/>
        <w:left w:val="none" w:sz="0" w:space="0" w:color="auto"/>
        <w:bottom w:val="none" w:sz="0" w:space="0" w:color="auto"/>
        <w:right w:val="none" w:sz="0" w:space="0" w:color="auto"/>
      </w:divBdr>
    </w:div>
    <w:div w:id="901793870">
      <w:marLeft w:val="0"/>
      <w:marRight w:val="0"/>
      <w:marTop w:val="0"/>
      <w:marBottom w:val="0"/>
      <w:divBdr>
        <w:top w:val="none" w:sz="0" w:space="0" w:color="auto"/>
        <w:left w:val="none" w:sz="0" w:space="0" w:color="auto"/>
        <w:bottom w:val="none" w:sz="0" w:space="0" w:color="auto"/>
        <w:right w:val="none" w:sz="0" w:space="0" w:color="auto"/>
      </w:divBdr>
      <w:divsChild>
        <w:div w:id="1816599936">
          <w:marLeft w:val="0"/>
          <w:marRight w:val="0"/>
          <w:marTop w:val="0"/>
          <w:marBottom w:val="0"/>
          <w:divBdr>
            <w:top w:val="none" w:sz="0" w:space="0" w:color="auto"/>
            <w:left w:val="none" w:sz="0" w:space="0" w:color="auto"/>
            <w:bottom w:val="none" w:sz="0" w:space="0" w:color="auto"/>
            <w:right w:val="none" w:sz="0" w:space="0" w:color="auto"/>
          </w:divBdr>
        </w:div>
      </w:divsChild>
    </w:div>
    <w:div w:id="909539208">
      <w:marLeft w:val="0"/>
      <w:marRight w:val="0"/>
      <w:marTop w:val="0"/>
      <w:marBottom w:val="0"/>
      <w:divBdr>
        <w:top w:val="none" w:sz="0" w:space="0" w:color="auto"/>
        <w:left w:val="none" w:sz="0" w:space="0" w:color="auto"/>
        <w:bottom w:val="none" w:sz="0" w:space="0" w:color="auto"/>
        <w:right w:val="none" w:sz="0" w:space="0" w:color="auto"/>
      </w:divBdr>
    </w:div>
    <w:div w:id="909732711">
      <w:marLeft w:val="0"/>
      <w:marRight w:val="0"/>
      <w:marTop w:val="0"/>
      <w:marBottom w:val="0"/>
      <w:divBdr>
        <w:top w:val="none" w:sz="0" w:space="0" w:color="auto"/>
        <w:left w:val="none" w:sz="0" w:space="0" w:color="auto"/>
        <w:bottom w:val="none" w:sz="0" w:space="0" w:color="auto"/>
        <w:right w:val="none" w:sz="0" w:space="0" w:color="auto"/>
      </w:divBdr>
    </w:div>
    <w:div w:id="911505402">
      <w:marLeft w:val="0"/>
      <w:marRight w:val="0"/>
      <w:marTop w:val="200"/>
      <w:marBottom w:val="0"/>
      <w:divBdr>
        <w:top w:val="none" w:sz="0" w:space="0" w:color="auto"/>
        <w:left w:val="none" w:sz="0" w:space="0" w:color="auto"/>
        <w:bottom w:val="none" w:sz="0" w:space="0" w:color="auto"/>
        <w:right w:val="none" w:sz="0" w:space="0" w:color="auto"/>
      </w:divBdr>
    </w:div>
    <w:div w:id="911618212">
      <w:marLeft w:val="0"/>
      <w:marRight w:val="0"/>
      <w:marTop w:val="0"/>
      <w:marBottom w:val="0"/>
      <w:divBdr>
        <w:top w:val="none" w:sz="0" w:space="0" w:color="auto"/>
        <w:left w:val="none" w:sz="0" w:space="0" w:color="auto"/>
        <w:bottom w:val="none" w:sz="0" w:space="0" w:color="auto"/>
        <w:right w:val="none" w:sz="0" w:space="0" w:color="auto"/>
      </w:divBdr>
    </w:div>
    <w:div w:id="914323238">
      <w:marLeft w:val="0"/>
      <w:marRight w:val="0"/>
      <w:marTop w:val="0"/>
      <w:marBottom w:val="0"/>
      <w:divBdr>
        <w:top w:val="none" w:sz="0" w:space="0" w:color="auto"/>
        <w:left w:val="none" w:sz="0" w:space="0" w:color="auto"/>
        <w:bottom w:val="none" w:sz="0" w:space="0" w:color="auto"/>
        <w:right w:val="none" w:sz="0" w:space="0" w:color="auto"/>
      </w:divBdr>
    </w:div>
    <w:div w:id="914782867">
      <w:marLeft w:val="0"/>
      <w:marRight w:val="0"/>
      <w:marTop w:val="0"/>
      <w:marBottom w:val="0"/>
      <w:divBdr>
        <w:top w:val="none" w:sz="0" w:space="0" w:color="auto"/>
        <w:left w:val="none" w:sz="0" w:space="0" w:color="auto"/>
        <w:bottom w:val="none" w:sz="0" w:space="0" w:color="auto"/>
        <w:right w:val="none" w:sz="0" w:space="0" w:color="auto"/>
      </w:divBdr>
    </w:div>
    <w:div w:id="915356674">
      <w:marLeft w:val="0"/>
      <w:marRight w:val="0"/>
      <w:marTop w:val="0"/>
      <w:marBottom w:val="0"/>
      <w:divBdr>
        <w:top w:val="none" w:sz="0" w:space="0" w:color="auto"/>
        <w:left w:val="none" w:sz="0" w:space="0" w:color="auto"/>
        <w:bottom w:val="none" w:sz="0" w:space="0" w:color="auto"/>
        <w:right w:val="none" w:sz="0" w:space="0" w:color="auto"/>
      </w:divBdr>
      <w:divsChild>
        <w:div w:id="638265545">
          <w:marLeft w:val="0"/>
          <w:marRight w:val="0"/>
          <w:marTop w:val="0"/>
          <w:marBottom w:val="0"/>
          <w:divBdr>
            <w:top w:val="none" w:sz="0" w:space="0" w:color="auto"/>
            <w:left w:val="none" w:sz="0" w:space="0" w:color="auto"/>
            <w:bottom w:val="none" w:sz="0" w:space="0" w:color="auto"/>
            <w:right w:val="none" w:sz="0" w:space="0" w:color="auto"/>
          </w:divBdr>
        </w:div>
      </w:divsChild>
    </w:div>
    <w:div w:id="916480024">
      <w:marLeft w:val="0"/>
      <w:marRight w:val="0"/>
      <w:marTop w:val="0"/>
      <w:marBottom w:val="0"/>
      <w:divBdr>
        <w:top w:val="none" w:sz="0" w:space="0" w:color="auto"/>
        <w:left w:val="none" w:sz="0" w:space="0" w:color="auto"/>
        <w:bottom w:val="none" w:sz="0" w:space="0" w:color="auto"/>
        <w:right w:val="none" w:sz="0" w:space="0" w:color="auto"/>
      </w:divBdr>
    </w:div>
    <w:div w:id="916482236">
      <w:marLeft w:val="0"/>
      <w:marRight w:val="0"/>
      <w:marTop w:val="0"/>
      <w:marBottom w:val="0"/>
      <w:divBdr>
        <w:top w:val="none" w:sz="0" w:space="0" w:color="auto"/>
        <w:left w:val="none" w:sz="0" w:space="0" w:color="auto"/>
        <w:bottom w:val="none" w:sz="0" w:space="0" w:color="auto"/>
        <w:right w:val="none" w:sz="0" w:space="0" w:color="auto"/>
      </w:divBdr>
      <w:divsChild>
        <w:div w:id="2134861908">
          <w:marLeft w:val="0"/>
          <w:marRight w:val="0"/>
          <w:marTop w:val="0"/>
          <w:marBottom w:val="0"/>
          <w:divBdr>
            <w:top w:val="none" w:sz="0" w:space="0" w:color="auto"/>
            <w:left w:val="none" w:sz="0" w:space="0" w:color="auto"/>
            <w:bottom w:val="none" w:sz="0" w:space="0" w:color="auto"/>
            <w:right w:val="none" w:sz="0" w:space="0" w:color="auto"/>
          </w:divBdr>
        </w:div>
        <w:div w:id="343477670">
          <w:marLeft w:val="0"/>
          <w:marRight w:val="0"/>
          <w:marTop w:val="0"/>
          <w:marBottom w:val="0"/>
          <w:divBdr>
            <w:top w:val="none" w:sz="0" w:space="0" w:color="auto"/>
            <w:left w:val="none" w:sz="0" w:space="0" w:color="auto"/>
            <w:bottom w:val="none" w:sz="0" w:space="0" w:color="auto"/>
            <w:right w:val="none" w:sz="0" w:space="0" w:color="auto"/>
          </w:divBdr>
        </w:div>
        <w:div w:id="323968679">
          <w:marLeft w:val="0"/>
          <w:marRight w:val="0"/>
          <w:marTop w:val="0"/>
          <w:marBottom w:val="0"/>
          <w:divBdr>
            <w:top w:val="none" w:sz="0" w:space="0" w:color="auto"/>
            <w:left w:val="none" w:sz="0" w:space="0" w:color="auto"/>
            <w:bottom w:val="none" w:sz="0" w:space="0" w:color="auto"/>
            <w:right w:val="none" w:sz="0" w:space="0" w:color="auto"/>
          </w:divBdr>
        </w:div>
        <w:div w:id="1053699170">
          <w:marLeft w:val="0"/>
          <w:marRight w:val="0"/>
          <w:marTop w:val="0"/>
          <w:marBottom w:val="0"/>
          <w:divBdr>
            <w:top w:val="none" w:sz="0" w:space="0" w:color="auto"/>
            <w:left w:val="none" w:sz="0" w:space="0" w:color="auto"/>
            <w:bottom w:val="none" w:sz="0" w:space="0" w:color="auto"/>
            <w:right w:val="none" w:sz="0" w:space="0" w:color="auto"/>
          </w:divBdr>
        </w:div>
      </w:divsChild>
    </w:div>
    <w:div w:id="918095368">
      <w:marLeft w:val="0"/>
      <w:marRight w:val="0"/>
      <w:marTop w:val="0"/>
      <w:marBottom w:val="0"/>
      <w:divBdr>
        <w:top w:val="none" w:sz="0" w:space="0" w:color="auto"/>
        <w:left w:val="none" w:sz="0" w:space="0" w:color="auto"/>
        <w:bottom w:val="none" w:sz="0" w:space="0" w:color="auto"/>
        <w:right w:val="none" w:sz="0" w:space="0" w:color="auto"/>
      </w:divBdr>
    </w:div>
    <w:div w:id="920599008">
      <w:marLeft w:val="0"/>
      <w:marRight w:val="0"/>
      <w:marTop w:val="0"/>
      <w:marBottom w:val="0"/>
      <w:divBdr>
        <w:top w:val="none" w:sz="0" w:space="0" w:color="auto"/>
        <w:left w:val="none" w:sz="0" w:space="0" w:color="auto"/>
        <w:bottom w:val="none" w:sz="0" w:space="0" w:color="auto"/>
        <w:right w:val="none" w:sz="0" w:space="0" w:color="auto"/>
      </w:divBdr>
      <w:divsChild>
        <w:div w:id="393743979">
          <w:marLeft w:val="0"/>
          <w:marRight w:val="0"/>
          <w:marTop w:val="0"/>
          <w:marBottom w:val="0"/>
          <w:divBdr>
            <w:top w:val="none" w:sz="0" w:space="0" w:color="auto"/>
            <w:left w:val="none" w:sz="0" w:space="0" w:color="auto"/>
            <w:bottom w:val="none" w:sz="0" w:space="0" w:color="auto"/>
            <w:right w:val="none" w:sz="0" w:space="0" w:color="auto"/>
          </w:divBdr>
        </w:div>
      </w:divsChild>
    </w:div>
    <w:div w:id="926306899">
      <w:marLeft w:val="0"/>
      <w:marRight w:val="0"/>
      <w:marTop w:val="195"/>
      <w:marBottom w:val="0"/>
      <w:divBdr>
        <w:top w:val="none" w:sz="0" w:space="0" w:color="auto"/>
        <w:left w:val="none" w:sz="0" w:space="0" w:color="auto"/>
        <w:bottom w:val="none" w:sz="0" w:space="0" w:color="auto"/>
        <w:right w:val="none" w:sz="0" w:space="0" w:color="auto"/>
      </w:divBdr>
    </w:div>
    <w:div w:id="931206383">
      <w:marLeft w:val="0"/>
      <w:marRight w:val="0"/>
      <w:marTop w:val="0"/>
      <w:marBottom w:val="0"/>
      <w:divBdr>
        <w:top w:val="none" w:sz="0" w:space="0" w:color="auto"/>
        <w:left w:val="none" w:sz="0" w:space="0" w:color="auto"/>
        <w:bottom w:val="none" w:sz="0" w:space="0" w:color="auto"/>
        <w:right w:val="none" w:sz="0" w:space="0" w:color="auto"/>
      </w:divBdr>
    </w:div>
    <w:div w:id="934246875">
      <w:marLeft w:val="0"/>
      <w:marRight w:val="0"/>
      <w:marTop w:val="0"/>
      <w:marBottom w:val="0"/>
      <w:divBdr>
        <w:top w:val="none" w:sz="0" w:space="0" w:color="auto"/>
        <w:left w:val="none" w:sz="0" w:space="0" w:color="auto"/>
        <w:bottom w:val="none" w:sz="0" w:space="0" w:color="auto"/>
        <w:right w:val="none" w:sz="0" w:space="0" w:color="auto"/>
      </w:divBdr>
      <w:divsChild>
        <w:div w:id="1007439592">
          <w:marLeft w:val="0"/>
          <w:marRight w:val="0"/>
          <w:marTop w:val="0"/>
          <w:marBottom w:val="0"/>
          <w:divBdr>
            <w:top w:val="none" w:sz="0" w:space="0" w:color="auto"/>
            <w:left w:val="none" w:sz="0" w:space="0" w:color="auto"/>
            <w:bottom w:val="none" w:sz="0" w:space="0" w:color="auto"/>
            <w:right w:val="none" w:sz="0" w:space="0" w:color="auto"/>
          </w:divBdr>
        </w:div>
      </w:divsChild>
    </w:div>
    <w:div w:id="935989872">
      <w:marLeft w:val="0"/>
      <w:marRight w:val="0"/>
      <w:marTop w:val="0"/>
      <w:marBottom w:val="0"/>
      <w:divBdr>
        <w:top w:val="none" w:sz="0" w:space="0" w:color="auto"/>
        <w:left w:val="none" w:sz="0" w:space="0" w:color="auto"/>
        <w:bottom w:val="none" w:sz="0" w:space="0" w:color="auto"/>
        <w:right w:val="none" w:sz="0" w:space="0" w:color="auto"/>
      </w:divBdr>
      <w:divsChild>
        <w:div w:id="1929145727">
          <w:marLeft w:val="0"/>
          <w:marRight w:val="0"/>
          <w:marTop w:val="0"/>
          <w:marBottom w:val="0"/>
          <w:divBdr>
            <w:top w:val="none" w:sz="0" w:space="0" w:color="auto"/>
            <w:left w:val="none" w:sz="0" w:space="0" w:color="auto"/>
            <w:bottom w:val="none" w:sz="0" w:space="0" w:color="auto"/>
            <w:right w:val="none" w:sz="0" w:space="0" w:color="auto"/>
          </w:divBdr>
        </w:div>
      </w:divsChild>
    </w:div>
    <w:div w:id="938024051">
      <w:marLeft w:val="0"/>
      <w:marRight w:val="0"/>
      <w:marTop w:val="200"/>
      <w:marBottom w:val="0"/>
      <w:divBdr>
        <w:top w:val="none" w:sz="0" w:space="0" w:color="auto"/>
        <w:left w:val="none" w:sz="0" w:space="0" w:color="auto"/>
        <w:bottom w:val="none" w:sz="0" w:space="0" w:color="auto"/>
        <w:right w:val="none" w:sz="0" w:space="0" w:color="auto"/>
      </w:divBdr>
    </w:div>
    <w:div w:id="938827319">
      <w:marLeft w:val="0"/>
      <w:marRight w:val="0"/>
      <w:marTop w:val="0"/>
      <w:marBottom w:val="0"/>
      <w:divBdr>
        <w:top w:val="none" w:sz="0" w:space="0" w:color="auto"/>
        <w:left w:val="none" w:sz="0" w:space="0" w:color="auto"/>
        <w:bottom w:val="none" w:sz="0" w:space="0" w:color="auto"/>
        <w:right w:val="none" w:sz="0" w:space="0" w:color="auto"/>
      </w:divBdr>
      <w:divsChild>
        <w:div w:id="2140872695">
          <w:marLeft w:val="0"/>
          <w:marRight w:val="0"/>
          <w:marTop w:val="0"/>
          <w:marBottom w:val="0"/>
          <w:divBdr>
            <w:top w:val="none" w:sz="0" w:space="0" w:color="auto"/>
            <w:left w:val="none" w:sz="0" w:space="0" w:color="auto"/>
            <w:bottom w:val="none" w:sz="0" w:space="0" w:color="auto"/>
            <w:right w:val="none" w:sz="0" w:space="0" w:color="auto"/>
          </w:divBdr>
        </w:div>
        <w:div w:id="1351252888">
          <w:marLeft w:val="0"/>
          <w:marRight w:val="0"/>
          <w:marTop w:val="0"/>
          <w:marBottom w:val="0"/>
          <w:divBdr>
            <w:top w:val="none" w:sz="0" w:space="0" w:color="auto"/>
            <w:left w:val="none" w:sz="0" w:space="0" w:color="auto"/>
            <w:bottom w:val="none" w:sz="0" w:space="0" w:color="auto"/>
            <w:right w:val="none" w:sz="0" w:space="0" w:color="auto"/>
          </w:divBdr>
        </w:div>
        <w:div w:id="359278715">
          <w:marLeft w:val="0"/>
          <w:marRight w:val="0"/>
          <w:marTop w:val="0"/>
          <w:marBottom w:val="0"/>
          <w:divBdr>
            <w:top w:val="none" w:sz="0" w:space="0" w:color="auto"/>
            <w:left w:val="none" w:sz="0" w:space="0" w:color="auto"/>
            <w:bottom w:val="none" w:sz="0" w:space="0" w:color="auto"/>
            <w:right w:val="none" w:sz="0" w:space="0" w:color="auto"/>
          </w:divBdr>
        </w:div>
        <w:div w:id="384842357">
          <w:marLeft w:val="0"/>
          <w:marRight w:val="0"/>
          <w:marTop w:val="0"/>
          <w:marBottom w:val="0"/>
          <w:divBdr>
            <w:top w:val="none" w:sz="0" w:space="0" w:color="auto"/>
            <w:left w:val="none" w:sz="0" w:space="0" w:color="auto"/>
            <w:bottom w:val="none" w:sz="0" w:space="0" w:color="auto"/>
            <w:right w:val="none" w:sz="0" w:space="0" w:color="auto"/>
          </w:divBdr>
        </w:div>
      </w:divsChild>
    </w:div>
    <w:div w:id="939721572">
      <w:marLeft w:val="0"/>
      <w:marRight w:val="0"/>
      <w:marTop w:val="100"/>
      <w:marBottom w:val="0"/>
      <w:divBdr>
        <w:top w:val="none" w:sz="0" w:space="0" w:color="auto"/>
        <w:left w:val="none" w:sz="0" w:space="0" w:color="auto"/>
        <w:bottom w:val="none" w:sz="0" w:space="0" w:color="auto"/>
        <w:right w:val="none" w:sz="0" w:space="0" w:color="auto"/>
      </w:divBdr>
    </w:div>
    <w:div w:id="947007852">
      <w:marLeft w:val="0"/>
      <w:marRight w:val="0"/>
      <w:marTop w:val="0"/>
      <w:marBottom w:val="0"/>
      <w:divBdr>
        <w:top w:val="none" w:sz="0" w:space="0" w:color="auto"/>
        <w:left w:val="none" w:sz="0" w:space="0" w:color="auto"/>
        <w:bottom w:val="none" w:sz="0" w:space="0" w:color="auto"/>
        <w:right w:val="none" w:sz="0" w:space="0" w:color="auto"/>
      </w:divBdr>
    </w:div>
    <w:div w:id="955214840">
      <w:marLeft w:val="0"/>
      <w:marRight w:val="0"/>
      <w:marTop w:val="0"/>
      <w:marBottom w:val="0"/>
      <w:divBdr>
        <w:top w:val="none" w:sz="0" w:space="0" w:color="auto"/>
        <w:left w:val="none" w:sz="0" w:space="0" w:color="auto"/>
        <w:bottom w:val="none" w:sz="0" w:space="0" w:color="auto"/>
        <w:right w:val="none" w:sz="0" w:space="0" w:color="auto"/>
      </w:divBdr>
      <w:divsChild>
        <w:div w:id="1716537774">
          <w:marLeft w:val="0"/>
          <w:marRight w:val="0"/>
          <w:marTop w:val="0"/>
          <w:marBottom w:val="0"/>
          <w:divBdr>
            <w:top w:val="none" w:sz="0" w:space="0" w:color="auto"/>
            <w:left w:val="none" w:sz="0" w:space="0" w:color="auto"/>
            <w:bottom w:val="none" w:sz="0" w:space="0" w:color="auto"/>
            <w:right w:val="none" w:sz="0" w:space="0" w:color="auto"/>
          </w:divBdr>
        </w:div>
      </w:divsChild>
    </w:div>
    <w:div w:id="955719244">
      <w:marLeft w:val="0"/>
      <w:marRight w:val="0"/>
      <w:marTop w:val="0"/>
      <w:marBottom w:val="0"/>
      <w:divBdr>
        <w:top w:val="none" w:sz="0" w:space="0" w:color="auto"/>
        <w:left w:val="none" w:sz="0" w:space="0" w:color="auto"/>
        <w:bottom w:val="none" w:sz="0" w:space="0" w:color="auto"/>
        <w:right w:val="none" w:sz="0" w:space="0" w:color="auto"/>
      </w:divBdr>
    </w:div>
    <w:div w:id="957031002">
      <w:marLeft w:val="0"/>
      <w:marRight w:val="0"/>
      <w:marTop w:val="0"/>
      <w:marBottom w:val="0"/>
      <w:divBdr>
        <w:top w:val="none" w:sz="0" w:space="0" w:color="auto"/>
        <w:left w:val="none" w:sz="0" w:space="0" w:color="auto"/>
        <w:bottom w:val="none" w:sz="0" w:space="0" w:color="auto"/>
        <w:right w:val="none" w:sz="0" w:space="0" w:color="auto"/>
      </w:divBdr>
    </w:div>
    <w:div w:id="958025754">
      <w:marLeft w:val="0"/>
      <w:marRight w:val="0"/>
      <w:marTop w:val="0"/>
      <w:marBottom w:val="200"/>
      <w:divBdr>
        <w:top w:val="none" w:sz="0" w:space="0" w:color="auto"/>
        <w:left w:val="none" w:sz="0" w:space="0" w:color="auto"/>
        <w:bottom w:val="none" w:sz="0" w:space="0" w:color="auto"/>
        <w:right w:val="none" w:sz="0" w:space="0" w:color="auto"/>
      </w:divBdr>
    </w:div>
    <w:div w:id="960842342">
      <w:marLeft w:val="0"/>
      <w:marRight w:val="0"/>
      <w:marTop w:val="60"/>
      <w:marBottom w:val="0"/>
      <w:divBdr>
        <w:top w:val="none" w:sz="0" w:space="0" w:color="auto"/>
        <w:left w:val="none" w:sz="0" w:space="0" w:color="auto"/>
        <w:bottom w:val="none" w:sz="0" w:space="0" w:color="auto"/>
        <w:right w:val="none" w:sz="0" w:space="0" w:color="auto"/>
      </w:divBdr>
    </w:div>
    <w:div w:id="962155875">
      <w:marLeft w:val="0"/>
      <w:marRight w:val="0"/>
      <w:marTop w:val="0"/>
      <w:marBottom w:val="0"/>
      <w:divBdr>
        <w:top w:val="none" w:sz="0" w:space="0" w:color="auto"/>
        <w:left w:val="none" w:sz="0" w:space="0" w:color="auto"/>
        <w:bottom w:val="none" w:sz="0" w:space="0" w:color="auto"/>
        <w:right w:val="none" w:sz="0" w:space="0" w:color="auto"/>
      </w:divBdr>
    </w:div>
    <w:div w:id="965235226">
      <w:marLeft w:val="0"/>
      <w:marRight w:val="0"/>
      <w:marTop w:val="100"/>
      <w:marBottom w:val="0"/>
      <w:divBdr>
        <w:top w:val="none" w:sz="0" w:space="0" w:color="auto"/>
        <w:left w:val="none" w:sz="0" w:space="0" w:color="auto"/>
        <w:bottom w:val="none" w:sz="0" w:space="0" w:color="auto"/>
        <w:right w:val="none" w:sz="0" w:space="0" w:color="auto"/>
      </w:divBdr>
    </w:div>
    <w:div w:id="973558684">
      <w:marLeft w:val="0"/>
      <w:marRight w:val="0"/>
      <w:marTop w:val="200"/>
      <w:marBottom w:val="0"/>
      <w:divBdr>
        <w:top w:val="none" w:sz="0" w:space="0" w:color="auto"/>
        <w:left w:val="none" w:sz="0" w:space="0" w:color="auto"/>
        <w:bottom w:val="none" w:sz="0" w:space="0" w:color="auto"/>
        <w:right w:val="none" w:sz="0" w:space="0" w:color="auto"/>
      </w:divBdr>
    </w:div>
    <w:div w:id="975375299">
      <w:marLeft w:val="0"/>
      <w:marRight w:val="0"/>
      <w:marTop w:val="0"/>
      <w:marBottom w:val="0"/>
      <w:divBdr>
        <w:top w:val="none" w:sz="0" w:space="0" w:color="auto"/>
        <w:left w:val="none" w:sz="0" w:space="0" w:color="auto"/>
        <w:bottom w:val="none" w:sz="0" w:space="0" w:color="auto"/>
        <w:right w:val="none" w:sz="0" w:space="0" w:color="auto"/>
      </w:divBdr>
    </w:div>
    <w:div w:id="977222024">
      <w:marLeft w:val="0"/>
      <w:marRight w:val="0"/>
      <w:marTop w:val="0"/>
      <w:marBottom w:val="0"/>
      <w:divBdr>
        <w:top w:val="none" w:sz="0" w:space="0" w:color="auto"/>
        <w:left w:val="none" w:sz="0" w:space="0" w:color="auto"/>
        <w:bottom w:val="none" w:sz="0" w:space="0" w:color="auto"/>
        <w:right w:val="none" w:sz="0" w:space="0" w:color="auto"/>
      </w:divBdr>
      <w:divsChild>
        <w:div w:id="147135188">
          <w:marLeft w:val="0"/>
          <w:marRight w:val="0"/>
          <w:marTop w:val="0"/>
          <w:marBottom w:val="0"/>
          <w:divBdr>
            <w:top w:val="none" w:sz="0" w:space="0" w:color="auto"/>
            <w:left w:val="none" w:sz="0" w:space="0" w:color="auto"/>
            <w:bottom w:val="none" w:sz="0" w:space="0" w:color="auto"/>
            <w:right w:val="none" w:sz="0" w:space="0" w:color="auto"/>
          </w:divBdr>
        </w:div>
      </w:divsChild>
    </w:div>
    <w:div w:id="977413368">
      <w:marLeft w:val="0"/>
      <w:marRight w:val="0"/>
      <w:marTop w:val="120"/>
      <w:marBottom w:val="0"/>
      <w:divBdr>
        <w:top w:val="none" w:sz="0" w:space="0" w:color="auto"/>
        <w:left w:val="none" w:sz="0" w:space="0" w:color="auto"/>
        <w:bottom w:val="none" w:sz="0" w:space="0" w:color="auto"/>
        <w:right w:val="none" w:sz="0" w:space="0" w:color="auto"/>
      </w:divBdr>
    </w:div>
    <w:div w:id="983654380">
      <w:marLeft w:val="0"/>
      <w:marRight w:val="0"/>
      <w:marTop w:val="0"/>
      <w:marBottom w:val="0"/>
      <w:divBdr>
        <w:top w:val="none" w:sz="0" w:space="0" w:color="auto"/>
        <w:left w:val="none" w:sz="0" w:space="0" w:color="auto"/>
        <w:bottom w:val="none" w:sz="0" w:space="0" w:color="auto"/>
        <w:right w:val="none" w:sz="0" w:space="0" w:color="auto"/>
      </w:divBdr>
    </w:div>
    <w:div w:id="984309926">
      <w:marLeft w:val="0"/>
      <w:marRight w:val="0"/>
      <w:marTop w:val="200"/>
      <w:marBottom w:val="0"/>
      <w:divBdr>
        <w:top w:val="none" w:sz="0" w:space="0" w:color="auto"/>
        <w:left w:val="none" w:sz="0" w:space="0" w:color="auto"/>
        <w:bottom w:val="none" w:sz="0" w:space="0" w:color="auto"/>
        <w:right w:val="none" w:sz="0" w:space="0" w:color="auto"/>
      </w:divBdr>
    </w:div>
    <w:div w:id="984702755">
      <w:marLeft w:val="0"/>
      <w:marRight w:val="0"/>
      <w:marTop w:val="0"/>
      <w:marBottom w:val="160"/>
      <w:divBdr>
        <w:top w:val="none" w:sz="0" w:space="0" w:color="auto"/>
        <w:left w:val="none" w:sz="0" w:space="0" w:color="auto"/>
        <w:bottom w:val="none" w:sz="0" w:space="0" w:color="auto"/>
        <w:right w:val="none" w:sz="0" w:space="0" w:color="auto"/>
      </w:divBdr>
    </w:div>
    <w:div w:id="986252070">
      <w:marLeft w:val="0"/>
      <w:marRight w:val="0"/>
      <w:marTop w:val="0"/>
      <w:marBottom w:val="200"/>
      <w:divBdr>
        <w:top w:val="none" w:sz="0" w:space="0" w:color="auto"/>
        <w:left w:val="none" w:sz="0" w:space="0" w:color="auto"/>
        <w:bottom w:val="none" w:sz="0" w:space="0" w:color="auto"/>
        <w:right w:val="none" w:sz="0" w:space="0" w:color="auto"/>
      </w:divBdr>
    </w:div>
    <w:div w:id="986397021">
      <w:marLeft w:val="0"/>
      <w:marRight w:val="0"/>
      <w:marTop w:val="0"/>
      <w:marBottom w:val="0"/>
      <w:divBdr>
        <w:top w:val="none" w:sz="0" w:space="0" w:color="auto"/>
        <w:left w:val="none" w:sz="0" w:space="0" w:color="auto"/>
        <w:bottom w:val="none" w:sz="0" w:space="0" w:color="auto"/>
        <w:right w:val="none" w:sz="0" w:space="0" w:color="auto"/>
      </w:divBdr>
    </w:div>
    <w:div w:id="988365806">
      <w:marLeft w:val="0"/>
      <w:marRight w:val="0"/>
      <w:marTop w:val="200"/>
      <w:marBottom w:val="0"/>
      <w:divBdr>
        <w:top w:val="none" w:sz="0" w:space="0" w:color="auto"/>
        <w:left w:val="none" w:sz="0" w:space="0" w:color="auto"/>
        <w:bottom w:val="none" w:sz="0" w:space="0" w:color="auto"/>
        <w:right w:val="none" w:sz="0" w:space="0" w:color="auto"/>
      </w:divBdr>
    </w:div>
    <w:div w:id="990476218">
      <w:marLeft w:val="0"/>
      <w:marRight w:val="0"/>
      <w:marTop w:val="0"/>
      <w:marBottom w:val="0"/>
      <w:divBdr>
        <w:top w:val="none" w:sz="0" w:space="0" w:color="auto"/>
        <w:left w:val="none" w:sz="0" w:space="0" w:color="auto"/>
        <w:bottom w:val="none" w:sz="0" w:space="0" w:color="auto"/>
        <w:right w:val="none" w:sz="0" w:space="0" w:color="auto"/>
      </w:divBdr>
      <w:divsChild>
        <w:div w:id="933825205">
          <w:marLeft w:val="0"/>
          <w:marRight w:val="0"/>
          <w:marTop w:val="0"/>
          <w:marBottom w:val="0"/>
          <w:divBdr>
            <w:top w:val="none" w:sz="0" w:space="0" w:color="auto"/>
            <w:left w:val="none" w:sz="0" w:space="0" w:color="auto"/>
            <w:bottom w:val="none" w:sz="0" w:space="0" w:color="auto"/>
            <w:right w:val="none" w:sz="0" w:space="0" w:color="auto"/>
          </w:divBdr>
        </w:div>
      </w:divsChild>
    </w:div>
    <w:div w:id="991105422">
      <w:marLeft w:val="0"/>
      <w:marRight w:val="0"/>
      <w:marTop w:val="200"/>
      <w:marBottom w:val="0"/>
      <w:divBdr>
        <w:top w:val="none" w:sz="0" w:space="0" w:color="auto"/>
        <w:left w:val="none" w:sz="0" w:space="0" w:color="auto"/>
        <w:bottom w:val="none" w:sz="0" w:space="0" w:color="auto"/>
        <w:right w:val="none" w:sz="0" w:space="0" w:color="auto"/>
      </w:divBdr>
    </w:div>
    <w:div w:id="992680967">
      <w:marLeft w:val="0"/>
      <w:marRight w:val="0"/>
      <w:marTop w:val="0"/>
      <w:marBottom w:val="0"/>
      <w:divBdr>
        <w:top w:val="none" w:sz="0" w:space="0" w:color="auto"/>
        <w:left w:val="none" w:sz="0" w:space="0" w:color="auto"/>
        <w:bottom w:val="none" w:sz="0" w:space="0" w:color="auto"/>
        <w:right w:val="none" w:sz="0" w:space="0" w:color="auto"/>
      </w:divBdr>
    </w:div>
    <w:div w:id="997611282">
      <w:marLeft w:val="0"/>
      <w:marRight w:val="0"/>
      <w:marTop w:val="200"/>
      <w:marBottom w:val="0"/>
      <w:divBdr>
        <w:top w:val="none" w:sz="0" w:space="0" w:color="auto"/>
        <w:left w:val="none" w:sz="0" w:space="0" w:color="auto"/>
        <w:bottom w:val="none" w:sz="0" w:space="0" w:color="auto"/>
        <w:right w:val="none" w:sz="0" w:space="0" w:color="auto"/>
      </w:divBdr>
    </w:div>
    <w:div w:id="999390032">
      <w:marLeft w:val="0"/>
      <w:marRight w:val="0"/>
      <w:marTop w:val="0"/>
      <w:marBottom w:val="0"/>
      <w:divBdr>
        <w:top w:val="none" w:sz="0" w:space="0" w:color="auto"/>
        <w:left w:val="none" w:sz="0" w:space="0" w:color="auto"/>
        <w:bottom w:val="none" w:sz="0" w:space="0" w:color="auto"/>
        <w:right w:val="none" w:sz="0" w:space="0" w:color="auto"/>
      </w:divBdr>
      <w:divsChild>
        <w:div w:id="53087487">
          <w:marLeft w:val="0"/>
          <w:marRight w:val="0"/>
          <w:marTop w:val="0"/>
          <w:marBottom w:val="0"/>
          <w:divBdr>
            <w:top w:val="none" w:sz="0" w:space="0" w:color="auto"/>
            <w:left w:val="none" w:sz="0" w:space="0" w:color="auto"/>
            <w:bottom w:val="none" w:sz="0" w:space="0" w:color="auto"/>
            <w:right w:val="none" w:sz="0" w:space="0" w:color="auto"/>
          </w:divBdr>
        </w:div>
        <w:div w:id="413748054">
          <w:marLeft w:val="0"/>
          <w:marRight w:val="0"/>
          <w:marTop w:val="0"/>
          <w:marBottom w:val="0"/>
          <w:divBdr>
            <w:top w:val="none" w:sz="0" w:space="0" w:color="auto"/>
            <w:left w:val="none" w:sz="0" w:space="0" w:color="auto"/>
            <w:bottom w:val="none" w:sz="0" w:space="0" w:color="auto"/>
            <w:right w:val="none" w:sz="0" w:space="0" w:color="auto"/>
          </w:divBdr>
        </w:div>
        <w:div w:id="835728393">
          <w:marLeft w:val="0"/>
          <w:marRight w:val="0"/>
          <w:marTop w:val="0"/>
          <w:marBottom w:val="0"/>
          <w:divBdr>
            <w:top w:val="none" w:sz="0" w:space="0" w:color="auto"/>
            <w:left w:val="none" w:sz="0" w:space="0" w:color="auto"/>
            <w:bottom w:val="none" w:sz="0" w:space="0" w:color="auto"/>
            <w:right w:val="none" w:sz="0" w:space="0" w:color="auto"/>
          </w:divBdr>
        </w:div>
        <w:div w:id="1669479476">
          <w:marLeft w:val="0"/>
          <w:marRight w:val="0"/>
          <w:marTop w:val="0"/>
          <w:marBottom w:val="0"/>
          <w:divBdr>
            <w:top w:val="none" w:sz="0" w:space="0" w:color="auto"/>
            <w:left w:val="none" w:sz="0" w:space="0" w:color="auto"/>
            <w:bottom w:val="none" w:sz="0" w:space="0" w:color="auto"/>
            <w:right w:val="none" w:sz="0" w:space="0" w:color="auto"/>
          </w:divBdr>
        </w:div>
      </w:divsChild>
    </w:div>
    <w:div w:id="1000738343">
      <w:marLeft w:val="0"/>
      <w:marRight w:val="0"/>
      <w:marTop w:val="0"/>
      <w:marBottom w:val="0"/>
      <w:divBdr>
        <w:top w:val="none" w:sz="0" w:space="0" w:color="auto"/>
        <w:left w:val="none" w:sz="0" w:space="0" w:color="auto"/>
        <w:bottom w:val="none" w:sz="0" w:space="0" w:color="auto"/>
        <w:right w:val="none" w:sz="0" w:space="0" w:color="auto"/>
      </w:divBdr>
      <w:divsChild>
        <w:div w:id="86579140">
          <w:marLeft w:val="0"/>
          <w:marRight w:val="0"/>
          <w:marTop w:val="0"/>
          <w:marBottom w:val="0"/>
          <w:divBdr>
            <w:top w:val="none" w:sz="0" w:space="0" w:color="auto"/>
            <w:left w:val="none" w:sz="0" w:space="0" w:color="auto"/>
            <w:bottom w:val="none" w:sz="0" w:space="0" w:color="auto"/>
            <w:right w:val="none" w:sz="0" w:space="0" w:color="auto"/>
          </w:divBdr>
        </w:div>
        <w:div w:id="1157957849">
          <w:marLeft w:val="0"/>
          <w:marRight w:val="0"/>
          <w:marTop w:val="0"/>
          <w:marBottom w:val="0"/>
          <w:divBdr>
            <w:top w:val="none" w:sz="0" w:space="0" w:color="auto"/>
            <w:left w:val="none" w:sz="0" w:space="0" w:color="auto"/>
            <w:bottom w:val="none" w:sz="0" w:space="0" w:color="auto"/>
            <w:right w:val="none" w:sz="0" w:space="0" w:color="auto"/>
          </w:divBdr>
        </w:div>
        <w:div w:id="1745880983">
          <w:marLeft w:val="0"/>
          <w:marRight w:val="0"/>
          <w:marTop w:val="0"/>
          <w:marBottom w:val="0"/>
          <w:divBdr>
            <w:top w:val="none" w:sz="0" w:space="0" w:color="auto"/>
            <w:left w:val="none" w:sz="0" w:space="0" w:color="auto"/>
            <w:bottom w:val="none" w:sz="0" w:space="0" w:color="auto"/>
            <w:right w:val="none" w:sz="0" w:space="0" w:color="auto"/>
          </w:divBdr>
        </w:div>
        <w:div w:id="625621418">
          <w:marLeft w:val="0"/>
          <w:marRight w:val="0"/>
          <w:marTop w:val="0"/>
          <w:marBottom w:val="0"/>
          <w:divBdr>
            <w:top w:val="none" w:sz="0" w:space="0" w:color="auto"/>
            <w:left w:val="none" w:sz="0" w:space="0" w:color="auto"/>
            <w:bottom w:val="none" w:sz="0" w:space="0" w:color="auto"/>
            <w:right w:val="none" w:sz="0" w:space="0" w:color="auto"/>
          </w:divBdr>
        </w:div>
      </w:divsChild>
    </w:div>
    <w:div w:id="1001465557">
      <w:marLeft w:val="0"/>
      <w:marRight w:val="0"/>
      <w:marTop w:val="0"/>
      <w:marBottom w:val="0"/>
      <w:divBdr>
        <w:top w:val="none" w:sz="0" w:space="0" w:color="auto"/>
        <w:left w:val="none" w:sz="0" w:space="0" w:color="auto"/>
        <w:bottom w:val="none" w:sz="0" w:space="0" w:color="auto"/>
        <w:right w:val="none" w:sz="0" w:space="0" w:color="auto"/>
      </w:divBdr>
    </w:div>
    <w:div w:id="1002858789">
      <w:marLeft w:val="0"/>
      <w:marRight w:val="0"/>
      <w:marTop w:val="200"/>
      <w:marBottom w:val="0"/>
      <w:divBdr>
        <w:top w:val="none" w:sz="0" w:space="0" w:color="auto"/>
        <w:left w:val="none" w:sz="0" w:space="0" w:color="auto"/>
        <w:bottom w:val="none" w:sz="0" w:space="0" w:color="auto"/>
        <w:right w:val="none" w:sz="0" w:space="0" w:color="auto"/>
      </w:divBdr>
    </w:div>
    <w:div w:id="1004238242">
      <w:marLeft w:val="0"/>
      <w:marRight w:val="0"/>
      <w:marTop w:val="0"/>
      <w:marBottom w:val="0"/>
      <w:divBdr>
        <w:top w:val="none" w:sz="0" w:space="0" w:color="auto"/>
        <w:left w:val="none" w:sz="0" w:space="0" w:color="auto"/>
        <w:bottom w:val="none" w:sz="0" w:space="0" w:color="auto"/>
        <w:right w:val="none" w:sz="0" w:space="0" w:color="auto"/>
      </w:divBdr>
    </w:div>
    <w:div w:id="1006829652">
      <w:marLeft w:val="0"/>
      <w:marRight w:val="0"/>
      <w:marTop w:val="200"/>
      <w:marBottom w:val="0"/>
      <w:divBdr>
        <w:top w:val="none" w:sz="0" w:space="0" w:color="auto"/>
        <w:left w:val="none" w:sz="0" w:space="0" w:color="auto"/>
        <w:bottom w:val="none" w:sz="0" w:space="0" w:color="auto"/>
        <w:right w:val="none" w:sz="0" w:space="0" w:color="auto"/>
      </w:divBdr>
    </w:div>
    <w:div w:id="1007562643">
      <w:marLeft w:val="0"/>
      <w:marRight w:val="0"/>
      <w:marTop w:val="0"/>
      <w:marBottom w:val="0"/>
      <w:divBdr>
        <w:top w:val="none" w:sz="0" w:space="0" w:color="auto"/>
        <w:left w:val="none" w:sz="0" w:space="0" w:color="auto"/>
        <w:bottom w:val="none" w:sz="0" w:space="0" w:color="auto"/>
        <w:right w:val="none" w:sz="0" w:space="0" w:color="auto"/>
      </w:divBdr>
      <w:divsChild>
        <w:div w:id="1927809326">
          <w:marLeft w:val="0"/>
          <w:marRight w:val="0"/>
          <w:marTop w:val="0"/>
          <w:marBottom w:val="0"/>
          <w:divBdr>
            <w:top w:val="none" w:sz="0" w:space="0" w:color="auto"/>
            <w:left w:val="none" w:sz="0" w:space="0" w:color="auto"/>
            <w:bottom w:val="none" w:sz="0" w:space="0" w:color="auto"/>
            <w:right w:val="none" w:sz="0" w:space="0" w:color="auto"/>
          </w:divBdr>
        </w:div>
      </w:divsChild>
    </w:div>
    <w:div w:id="1009524936">
      <w:marLeft w:val="0"/>
      <w:marRight w:val="0"/>
      <w:marTop w:val="0"/>
      <w:marBottom w:val="0"/>
      <w:divBdr>
        <w:top w:val="none" w:sz="0" w:space="0" w:color="auto"/>
        <w:left w:val="none" w:sz="0" w:space="0" w:color="auto"/>
        <w:bottom w:val="none" w:sz="0" w:space="0" w:color="auto"/>
        <w:right w:val="none" w:sz="0" w:space="0" w:color="auto"/>
      </w:divBdr>
      <w:divsChild>
        <w:div w:id="1523741969">
          <w:marLeft w:val="0"/>
          <w:marRight w:val="0"/>
          <w:marTop w:val="0"/>
          <w:marBottom w:val="0"/>
          <w:divBdr>
            <w:top w:val="none" w:sz="0" w:space="0" w:color="auto"/>
            <w:left w:val="none" w:sz="0" w:space="0" w:color="auto"/>
            <w:bottom w:val="none" w:sz="0" w:space="0" w:color="auto"/>
            <w:right w:val="none" w:sz="0" w:space="0" w:color="auto"/>
          </w:divBdr>
        </w:div>
      </w:divsChild>
    </w:div>
    <w:div w:id="1010986774">
      <w:marLeft w:val="0"/>
      <w:marRight w:val="0"/>
      <w:marTop w:val="0"/>
      <w:marBottom w:val="0"/>
      <w:divBdr>
        <w:top w:val="none" w:sz="0" w:space="0" w:color="auto"/>
        <w:left w:val="none" w:sz="0" w:space="0" w:color="auto"/>
        <w:bottom w:val="none" w:sz="0" w:space="0" w:color="auto"/>
        <w:right w:val="none" w:sz="0" w:space="0" w:color="auto"/>
      </w:divBdr>
      <w:divsChild>
        <w:div w:id="341514040">
          <w:marLeft w:val="0"/>
          <w:marRight w:val="0"/>
          <w:marTop w:val="0"/>
          <w:marBottom w:val="0"/>
          <w:divBdr>
            <w:top w:val="none" w:sz="0" w:space="0" w:color="auto"/>
            <w:left w:val="none" w:sz="0" w:space="0" w:color="auto"/>
            <w:bottom w:val="none" w:sz="0" w:space="0" w:color="auto"/>
            <w:right w:val="none" w:sz="0" w:space="0" w:color="auto"/>
          </w:divBdr>
        </w:div>
      </w:divsChild>
    </w:div>
    <w:div w:id="1013992853">
      <w:marLeft w:val="0"/>
      <w:marRight w:val="0"/>
      <w:marTop w:val="0"/>
      <w:marBottom w:val="0"/>
      <w:divBdr>
        <w:top w:val="none" w:sz="0" w:space="0" w:color="auto"/>
        <w:left w:val="none" w:sz="0" w:space="0" w:color="auto"/>
        <w:bottom w:val="none" w:sz="0" w:space="0" w:color="auto"/>
        <w:right w:val="none" w:sz="0" w:space="0" w:color="auto"/>
      </w:divBdr>
      <w:divsChild>
        <w:div w:id="1018776159">
          <w:marLeft w:val="0"/>
          <w:marRight w:val="0"/>
          <w:marTop w:val="0"/>
          <w:marBottom w:val="0"/>
          <w:divBdr>
            <w:top w:val="none" w:sz="0" w:space="0" w:color="auto"/>
            <w:left w:val="none" w:sz="0" w:space="0" w:color="auto"/>
            <w:bottom w:val="none" w:sz="0" w:space="0" w:color="auto"/>
            <w:right w:val="none" w:sz="0" w:space="0" w:color="auto"/>
          </w:divBdr>
        </w:div>
      </w:divsChild>
    </w:div>
    <w:div w:id="1021662581">
      <w:marLeft w:val="0"/>
      <w:marRight w:val="0"/>
      <w:marTop w:val="0"/>
      <w:marBottom w:val="160"/>
      <w:divBdr>
        <w:top w:val="none" w:sz="0" w:space="0" w:color="auto"/>
        <w:left w:val="none" w:sz="0" w:space="0" w:color="auto"/>
        <w:bottom w:val="none" w:sz="0" w:space="0" w:color="auto"/>
        <w:right w:val="none" w:sz="0" w:space="0" w:color="auto"/>
      </w:divBdr>
    </w:div>
    <w:div w:id="1023434610">
      <w:marLeft w:val="0"/>
      <w:marRight w:val="0"/>
      <w:marTop w:val="200"/>
      <w:marBottom w:val="0"/>
      <w:divBdr>
        <w:top w:val="none" w:sz="0" w:space="0" w:color="auto"/>
        <w:left w:val="none" w:sz="0" w:space="0" w:color="auto"/>
        <w:bottom w:val="none" w:sz="0" w:space="0" w:color="auto"/>
        <w:right w:val="none" w:sz="0" w:space="0" w:color="auto"/>
      </w:divBdr>
    </w:div>
    <w:div w:id="1023440924">
      <w:marLeft w:val="0"/>
      <w:marRight w:val="0"/>
      <w:marTop w:val="200"/>
      <w:marBottom w:val="0"/>
      <w:divBdr>
        <w:top w:val="none" w:sz="0" w:space="0" w:color="auto"/>
        <w:left w:val="none" w:sz="0" w:space="0" w:color="auto"/>
        <w:bottom w:val="none" w:sz="0" w:space="0" w:color="auto"/>
        <w:right w:val="none" w:sz="0" w:space="0" w:color="auto"/>
      </w:divBdr>
    </w:div>
    <w:div w:id="1025785482">
      <w:marLeft w:val="0"/>
      <w:marRight w:val="0"/>
      <w:marTop w:val="0"/>
      <w:marBottom w:val="0"/>
      <w:divBdr>
        <w:top w:val="none" w:sz="0" w:space="0" w:color="auto"/>
        <w:left w:val="none" w:sz="0" w:space="0" w:color="auto"/>
        <w:bottom w:val="none" w:sz="0" w:space="0" w:color="auto"/>
        <w:right w:val="none" w:sz="0" w:space="0" w:color="auto"/>
      </w:divBdr>
    </w:div>
    <w:div w:id="1031342691">
      <w:marLeft w:val="0"/>
      <w:marRight w:val="0"/>
      <w:marTop w:val="0"/>
      <w:marBottom w:val="0"/>
      <w:divBdr>
        <w:top w:val="none" w:sz="0" w:space="0" w:color="auto"/>
        <w:left w:val="none" w:sz="0" w:space="0" w:color="auto"/>
        <w:bottom w:val="none" w:sz="0" w:space="0" w:color="auto"/>
        <w:right w:val="none" w:sz="0" w:space="0" w:color="auto"/>
      </w:divBdr>
    </w:div>
    <w:div w:id="1033506979">
      <w:marLeft w:val="0"/>
      <w:marRight w:val="0"/>
      <w:marTop w:val="60"/>
      <w:marBottom w:val="0"/>
      <w:divBdr>
        <w:top w:val="none" w:sz="0" w:space="0" w:color="auto"/>
        <w:left w:val="none" w:sz="0" w:space="0" w:color="auto"/>
        <w:bottom w:val="none" w:sz="0" w:space="0" w:color="auto"/>
        <w:right w:val="none" w:sz="0" w:space="0" w:color="auto"/>
      </w:divBdr>
    </w:div>
    <w:div w:id="1033770729">
      <w:marLeft w:val="0"/>
      <w:marRight w:val="0"/>
      <w:marTop w:val="200"/>
      <w:marBottom w:val="0"/>
      <w:divBdr>
        <w:top w:val="none" w:sz="0" w:space="0" w:color="auto"/>
        <w:left w:val="none" w:sz="0" w:space="0" w:color="auto"/>
        <w:bottom w:val="none" w:sz="0" w:space="0" w:color="auto"/>
        <w:right w:val="none" w:sz="0" w:space="0" w:color="auto"/>
      </w:divBdr>
    </w:div>
    <w:div w:id="1033992614">
      <w:marLeft w:val="0"/>
      <w:marRight w:val="0"/>
      <w:marTop w:val="0"/>
      <w:marBottom w:val="160"/>
      <w:divBdr>
        <w:top w:val="none" w:sz="0" w:space="0" w:color="auto"/>
        <w:left w:val="none" w:sz="0" w:space="0" w:color="auto"/>
        <w:bottom w:val="none" w:sz="0" w:space="0" w:color="auto"/>
        <w:right w:val="none" w:sz="0" w:space="0" w:color="auto"/>
      </w:divBdr>
    </w:div>
    <w:div w:id="1037856248">
      <w:marLeft w:val="0"/>
      <w:marRight w:val="0"/>
      <w:marTop w:val="0"/>
      <w:marBottom w:val="0"/>
      <w:divBdr>
        <w:top w:val="none" w:sz="0" w:space="0" w:color="auto"/>
        <w:left w:val="none" w:sz="0" w:space="0" w:color="auto"/>
        <w:bottom w:val="none" w:sz="0" w:space="0" w:color="auto"/>
        <w:right w:val="none" w:sz="0" w:space="0" w:color="auto"/>
      </w:divBdr>
    </w:div>
    <w:div w:id="1037925401">
      <w:marLeft w:val="0"/>
      <w:marRight w:val="0"/>
      <w:marTop w:val="0"/>
      <w:marBottom w:val="0"/>
      <w:divBdr>
        <w:top w:val="none" w:sz="0" w:space="0" w:color="auto"/>
        <w:left w:val="none" w:sz="0" w:space="0" w:color="auto"/>
        <w:bottom w:val="none" w:sz="0" w:space="0" w:color="auto"/>
        <w:right w:val="none" w:sz="0" w:space="0" w:color="auto"/>
      </w:divBdr>
      <w:divsChild>
        <w:div w:id="997802167">
          <w:marLeft w:val="0"/>
          <w:marRight w:val="0"/>
          <w:marTop w:val="0"/>
          <w:marBottom w:val="0"/>
          <w:divBdr>
            <w:top w:val="none" w:sz="0" w:space="0" w:color="auto"/>
            <w:left w:val="none" w:sz="0" w:space="0" w:color="auto"/>
            <w:bottom w:val="none" w:sz="0" w:space="0" w:color="auto"/>
            <w:right w:val="none" w:sz="0" w:space="0" w:color="auto"/>
          </w:divBdr>
        </w:div>
      </w:divsChild>
    </w:div>
    <w:div w:id="1040322802">
      <w:marLeft w:val="0"/>
      <w:marRight w:val="0"/>
      <w:marTop w:val="0"/>
      <w:marBottom w:val="160"/>
      <w:divBdr>
        <w:top w:val="none" w:sz="0" w:space="0" w:color="auto"/>
        <w:left w:val="none" w:sz="0" w:space="0" w:color="auto"/>
        <w:bottom w:val="none" w:sz="0" w:space="0" w:color="auto"/>
        <w:right w:val="none" w:sz="0" w:space="0" w:color="auto"/>
      </w:divBdr>
    </w:div>
    <w:div w:id="1040856236">
      <w:marLeft w:val="0"/>
      <w:marRight w:val="0"/>
      <w:marTop w:val="0"/>
      <w:marBottom w:val="0"/>
      <w:divBdr>
        <w:top w:val="none" w:sz="0" w:space="0" w:color="auto"/>
        <w:left w:val="none" w:sz="0" w:space="0" w:color="auto"/>
        <w:bottom w:val="none" w:sz="0" w:space="0" w:color="auto"/>
        <w:right w:val="none" w:sz="0" w:space="0" w:color="auto"/>
      </w:divBdr>
    </w:div>
    <w:div w:id="1045982495">
      <w:marLeft w:val="0"/>
      <w:marRight w:val="0"/>
      <w:marTop w:val="0"/>
      <w:marBottom w:val="0"/>
      <w:divBdr>
        <w:top w:val="none" w:sz="0" w:space="0" w:color="auto"/>
        <w:left w:val="none" w:sz="0" w:space="0" w:color="auto"/>
        <w:bottom w:val="none" w:sz="0" w:space="0" w:color="auto"/>
        <w:right w:val="none" w:sz="0" w:space="0" w:color="auto"/>
      </w:divBdr>
    </w:div>
    <w:div w:id="1048264513">
      <w:marLeft w:val="0"/>
      <w:marRight w:val="0"/>
      <w:marTop w:val="0"/>
      <w:marBottom w:val="0"/>
      <w:divBdr>
        <w:top w:val="none" w:sz="0" w:space="0" w:color="auto"/>
        <w:left w:val="none" w:sz="0" w:space="0" w:color="auto"/>
        <w:bottom w:val="none" w:sz="0" w:space="0" w:color="auto"/>
        <w:right w:val="none" w:sz="0" w:space="0" w:color="auto"/>
      </w:divBdr>
    </w:div>
    <w:div w:id="1048723930">
      <w:marLeft w:val="0"/>
      <w:marRight w:val="0"/>
      <w:marTop w:val="200"/>
      <w:marBottom w:val="0"/>
      <w:divBdr>
        <w:top w:val="none" w:sz="0" w:space="0" w:color="auto"/>
        <w:left w:val="none" w:sz="0" w:space="0" w:color="auto"/>
        <w:bottom w:val="none" w:sz="0" w:space="0" w:color="auto"/>
        <w:right w:val="none" w:sz="0" w:space="0" w:color="auto"/>
      </w:divBdr>
    </w:div>
    <w:div w:id="1049232081">
      <w:marLeft w:val="0"/>
      <w:marRight w:val="0"/>
      <w:marTop w:val="0"/>
      <w:marBottom w:val="0"/>
      <w:divBdr>
        <w:top w:val="none" w:sz="0" w:space="0" w:color="auto"/>
        <w:left w:val="none" w:sz="0" w:space="0" w:color="auto"/>
        <w:bottom w:val="none" w:sz="0" w:space="0" w:color="auto"/>
        <w:right w:val="none" w:sz="0" w:space="0" w:color="auto"/>
      </w:divBdr>
      <w:divsChild>
        <w:div w:id="697396096">
          <w:marLeft w:val="0"/>
          <w:marRight w:val="0"/>
          <w:marTop w:val="0"/>
          <w:marBottom w:val="0"/>
          <w:divBdr>
            <w:top w:val="none" w:sz="0" w:space="0" w:color="auto"/>
            <w:left w:val="none" w:sz="0" w:space="0" w:color="auto"/>
            <w:bottom w:val="none" w:sz="0" w:space="0" w:color="auto"/>
            <w:right w:val="none" w:sz="0" w:space="0" w:color="auto"/>
          </w:divBdr>
        </w:div>
      </w:divsChild>
    </w:div>
    <w:div w:id="1049497631">
      <w:marLeft w:val="0"/>
      <w:marRight w:val="0"/>
      <w:marTop w:val="0"/>
      <w:marBottom w:val="0"/>
      <w:divBdr>
        <w:top w:val="none" w:sz="0" w:space="0" w:color="auto"/>
        <w:left w:val="none" w:sz="0" w:space="0" w:color="auto"/>
        <w:bottom w:val="none" w:sz="0" w:space="0" w:color="auto"/>
        <w:right w:val="none" w:sz="0" w:space="0" w:color="auto"/>
      </w:divBdr>
      <w:divsChild>
        <w:div w:id="962879853">
          <w:marLeft w:val="0"/>
          <w:marRight w:val="0"/>
          <w:marTop w:val="0"/>
          <w:marBottom w:val="0"/>
          <w:divBdr>
            <w:top w:val="none" w:sz="0" w:space="0" w:color="auto"/>
            <w:left w:val="none" w:sz="0" w:space="0" w:color="auto"/>
            <w:bottom w:val="none" w:sz="0" w:space="0" w:color="auto"/>
            <w:right w:val="none" w:sz="0" w:space="0" w:color="auto"/>
          </w:divBdr>
        </w:div>
      </w:divsChild>
    </w:div>
    <w:div w:id="1052384286">
      <w:marLeft w:val="0"/>
      <w:marRight w:val="0"/>
      <w:marTop w:val="0"/>
      <w:marBottom w:val="0"/>
      <w:divBdr>
        <w:top w:val="none" w:sz="0" w:space="0" w:color="auto"/>
        <w:left w:val="none" w:sz="0" w:space="0" w:color="auto"/>
        <w:bottom w:val="none" w:sz="0" w:space="0" w:color="auto"/>
        <w:right w:val="none" w:sz="0" w:space="0" w:color="auto"/>
      </w:divBdr>
    </w:div>
    <w:div w:id="1052996572">
      <w:marLeft w:val="0"/>
      <w:marRight w:val="0"/>
      <w:marTop w:val="60"/>
      <w:marBottom w:val="0"/>
      <w:divBdr>
        <w:top w:val="none" w:sz="0" w:space="0" w:color="auto"/>
        <w:left w:val="none" w:sz="0" w:space="0" w:color="auto"/>
        <w:bottom w:val="none" w:sz="0" w:space="0" w:color="auto"/>
        <w:right w:val="none" w:sz="0" w:space="0" w:color="auto"/>
      </w:divBdr>
    </w:div>
    <w:div w:id="1053693463">
      <w:marLeft w:val="0"/>
      <w:marRight w:val="0"/>
      <w:marTop w:val="0"/>
      <w:marBottom w:val="0"/>
      <w:divBdr>
        <w:top w:val="none" w:sz="0" w:space="0" w:color="auto"/>
        <w:left w:val="none" w:sz="0" w:space="0" w:color="auto"/>
        <w:bottom w:val="none" w:sz="0" w:space="0" w:color="auto"/>
        <w:right w:val="none" w:sz="0" w:space="0" w:color="auto"/>
      </w:divBdr>
      <w:divsChild>
        <w:div w:id="1114444506">
          <w:marLeft w:val="0"/>
          <w:marRight w:val="0"/>
          <w:marTop w:val="0"/>
          <w:marBottom w:val="0"/>
          <w:divBdr>
            <w:top w:val="none" w:sz="0" w:space="0" w:color="auto"/>
            <w:left w:val="none" w:sz="0" w:space="0" w:color="auto"/>
            <w:bottom w:val="none" w:sz="0" w:space="0" w:color="auto"/>
            <w:right w:val="none" w:sz="0" w:space="0" w:color="auto"/>
          </w:divBdr>
        </w:div>
      </w:divsChild>
    </w:div>
    <w:div w:id="1053888433">
      <w:marLeft w:val="0"/>
      <w:marRight w:val="0"/>
      <w:marTop w:val="0"/>
      <w:marBottom w:val="0"/>
      <w:divBdr>
        <w:top w:val="none" w:sz="0" w:space="0" w:color="auto"/>
        <w:left w:val="none" w:sz="0" w:space="0" w:color="auto"/>
        <w:bottom w:val="none" w:sz="0" w:space="0" w:color="auto"/>
        <w:right w:val="none" w:sz="0" w:space="0" w:color="auto"/>
      </w:divBdr>
    </w:div>
    <w:div w:id="1056320107">
      <w:marLeft w:val="0"/>
      <w:marRight w:val="0"/>
      <w:marTop w:val="0"/>
      <w:marBottom w:val="0"/>
      <w:divBdr>
        <w:top w:val="none" w:sz="0" w:space="0" w:color="auto"/>
        <w:left w:val="none" w:sz="0" w:space="0" w:color="auto"/>
        <w:bottom w:val="none" w:sz="0" w:space="0" w:color="auto"/>
        <w:right w:val="none" w:sz="0" w:space="0" w:color="auto"/>
      </w:divBdr>
      <w:divsChild>
        <w:div w:id="869613754">
          <w:marLeft w:val="0"/>
          <w:marRight w:val="0"/>
          <w:marTop w:val="0"/>
          <w:marBottom w:val="0"/>
          <w:divBdr>
            <w:top w:val="none" w:sz="0" w:space="0" w:color="auto"/>
            <w:left w:val="none" w:sz="0" w:space="0" w:color="auto"/>
            <w:bottom w:val="none" w:sz="0" w:space="0" w:color="auto"/>
            <w:right w:val="none" w:sz="0" w:space="0" w:color="auto"/>
          </w:divBdr>
        </w:div>
      </w:divsChild>
    </w:div>
    <w:div w:id="1063139800">
      <w:marLeft w:val="0"/>
      <w:marRight w:val="0"/>
      <w:marTop w:val="0"/>
      <w:marBottom w:val="0"/>
      <w:divBdr>
        <w:top w:val="none" w:sz="0" w:space="0" w:color="auto"/>
        <w:left w:val="none" w:sz="0" w:space="0" w:color="auto"/>
        <w:bottom w:val="none" w:sz="0" w:space="0" w:color="auto"/>
        <w:right w:val="none" w:sz="0" w:space="0" w:color="auto"/>
      </w:divBdr>
      <w:divsChild>
        <w:div w:id="2110812566">
          <w:marLeft w:val="0"/>
          <w:marRight w:val="0"/>
          <w:marTop w:val="0"/>
          <w:marBottom w:val="0"/>
          <w:divBdr>
            <w:top w:val="none" w:sz="0" w:space="0" w:color="auto"/>
            <w:left w:val="none" w:sz="0" w:space="0" w:color="auto"/>
            <w:bottom w:val="none" w:sz="0" w:space="0" w:color="auto"/>
            <w:right w:val="none" w:sz="0" w:space="0" w:color="auto"/>
          </w:divBdr>
        </w:div>
      </w:divsChild>
    </w:div>
    <w:div w:id="1068529188">
      <w:marLeft w:val="0"/>
      <w:marRight w:val="0"/>
      <w:marTop w:val="0"/>
      <w:marBottom w:val="0"/>
      <w:divBdr>
        <w:top w:val="none" w:sz="0" w:space="0" w:color="auto"/>
        <w:left w:val="none" w:sz="0" w:space="0" w:color="auto"/>
        <w:bottom w:val="none" w:sz="0" w:space="0" w:color="auto"/>
        <w:right w:val="none" w:sz="0" w:space="0" w:color="auto"/>
      </w:divBdr>
    </w:div>
    <w:div w:id="1069619694">
      <w:marLeft w:val="0"/>
      <w:marRight w:val="0"/>
      <w:marTop w:val="0"/>
      <w:marBottom w:val="0"/>
      <w:divBdr>
        <w:top w:val="none" w:sz="0" w:space="0" w:color="auto"/>
        <w:left w:val="none" w:sz="0" w:space="0" w:color="auto"/>
        <w:bottom w:val="none" w:sz="0" w:space="0" w:color="auto"/>
        <w:right w:val="none" w:sz="0" w:space="0" w:color="auto"/>
      </w:divBdr>
      <w:divsChild>
        <w:div w:id="104735388">
          <w:marLeft w:val="0"/>
          <w:marRight w:val="0"/>
          <w:marTop w:val="0"/>
          <w:marBottom w:val="0"/>
          <w:divBdr>
            <w:top w:val="none" w:sz="0" w:space="0" w:color="auto"/>
            <w:left w:val="none" w:sz="0" w:space="0" w:color="auto"/>
            <w:bottom w:val="none" w:sz="0" w:space="0" w:color="auto"/>
            <w:right w:val="none" w:sz="0" w:space="0" w:color="auto"/>
          </w:divBdr>
        </w:div>
      </w:divsChild>
    </w:div>
    <w:div w:id="1070805583">
      <w:marLeft w:val="0"/>
      <w:marRight w:val="0"/>
      <w:marTop w:val="0"/>
      <w:marBottom w:val="0"/>
      <w:divBdr>
        <w:top w:val="none" w:sz="0" w:space="0" w:color="auto"/>
        <w:left w:val="none" w:sz="0" w:space="0" w:color="auto"/>
        <w:bottom w:val="none" w:sz="0" w:space="0" w:color="auto"/>
        <w:right w:val="none" w:sz="0" w:space="0" w:color="auto"/>
      </w:divBdr>
      <w:divsChild>
        <w:div w:id="273051498">
          <w:marLeft w:val="0"/>
          <w:marRight w:val="0"/>
          <w:marTop w:val="0"/>
          <w:marBottom w:val="0"/>
          <w:divBdr>
            <w:top w:val="none" w:sz="0" w:space="0" w:color="auto"/>
            <w:left w:val="none" w:sz="0" w:space="0" w:color="auto"/>
            <w:bottom w:val="none" w:sz="0" w:space="0" w:color="auto"/>
            <w:right w:val="none" w:sz="0" w:space="0" w:color="auto"/>
          </w:divBdr>
        </w:div>
        <w:div w:id="1406142581">
          <w:marLeft w:val="0"/>
          <w:marRight w:val="0"/>
          <w:marTop w:val="0"/>
          <w:marBottom w:val="0"/>
          <w:divBdr>
            <w:top w:val="none" w:sz="0" w:space="0" w:color="auto"/>
            <w:left w:val="none" w:sz="0" w:space="0" w:color="auto"/>
            <w:bottom w:val="none" w:sz="0" w:space="0" w:color="auto"/>
            <w:right w:val="none" w:sz="0" w:space="0" w:color="auto"/>
          </w:divBdr>
        </w:div>
        <w:div w:id="2116902821">
          <w:marLeft w:val="0"/>
          <w:marRight w:val="0"/>
          <w:marTop w:val="0"/>
          <w:marBottom w:val="0"/>
          <w:divBdr>
            <w:top w:val="none" w:sz="0" w:space="0" w:color="auto"/>
            <w:left w:val="none" w:sz="0" w:space="0" w:color="auto"/>
            <w:bottom w:val="none" w:sz="0" w:space="0" w:color="auto"/>
            <w:right w:val="none" w:sz="0" w:space="0" w:color="auto"/>
          </w:divBdr>
        </w:div>
        <w:div w:id="1721594780">
          <w:marLeft w:val="0"/>
          <w:marRight w:val="0"/>
          <w:marTop w:val="0"/>
          <w:marBottom w:val="0"/>
          <w:divBdr>
            <w:top w:val="none" w:sz="0" w:space="0" w:color="auto"/>
            <w:left w:val="none" w:sz="0" w:space="0" w:color="auto"/>
            <w:bottom w:val="none" w:sz="0" w:space="0" w:color="auto"/>
            <w:right w:val="none" w:sz="0" w:space="0" w:color="auto"/>
          </w:divBdr>
        </w:div>
      </w:divsChild>
    </w:div>
    <w:div w:id="1072584162">
      <w:marLeft w:val="0"/>
      <w:marRight w:val="0"/>
      <w:marTop w:val="0"/>
      <w:marBottom w:val="0"/>
      <w:divBdr>
        <w:top w:val="none" w:sz="0" w:space="0" w:color="auto"/>
        <w:left w:val="none" w:sz="0" w:space="0" w:color="auto"/>
        <w:bottom w:val="none" w:sz="0" w:space="0" w:color="auto"/>
        <w:right w:val="none" w:sz="0" w:space="0" w:color="auto"/>
      </w:divBdr>
    </w:div>
    <w:div w:id="1072921638">
      <w:marLeft w:val="0"/>
      <w:marRight w:val="0"/>
      <w:marTop w:val="0"/>
      <w:marBottom w:val="160"/>
      <w:divBdr>
        <w:top w:val="none" w:sz="0" w:space="0" w:color="auto"/>
        <w:left w:val="none" w:sz="0" w:space="0" w:color="auto"/>
        <w:bottom w:val="none" w:sz="0" w:space="0" w:color="auto"/>
        <w:right w:val="none" w:sz="0" w:space="0" w:color="auto"/>
      </w:divBdr>
    </w:div>
    <w:div w:id="1075320303">
      <w:marLeft w:val="0"/>
      <w:marRight w:val="0"/>
      <w:marTop w:val="0"/>
      <w:marBottom w:val="0"/>
      <w:divBdr>
        <w:top w:val="none" w:sz="0" w:space="0" w:color="auto"/>
        <w:left w:val="none" w:sz="0" w:space="0" w:color="auto"/>
        <w:bottom w:val="none" w:sz="0" w:space="0" w:color="auto"/>
        <w:right w:val="none" w:sz="0" w:space="0" w:color="auto"/>
      </w:divBdr>
      <w:divsChild>
        <w:div w:id="1186792677">
          <w:marLeft w:val="0"/>
          <w:marRight w:val="0"/>
          <w:marTop w:val="0"/>
          <w:marBottom w:val="0"/>
          <w:divBdr>
            <w:top w:val="none" w:sz="0" w:space="0" w:color="auto"/>
            <w:left w:val="none" w:sz="0" w:space="0" w:color="auto"/>
            <w:bottom w:val="none" w:sz="0" w:space="0" w:color="auto"/>
            <w:right w:val="none" w:sz="0" w:space="0" w:color="auto"/>
          </w:divBdr>
        </w:div>
      </w:divsChild>
    </w:div>
    <w:div w:id="1075398448">
      <w:marLeft w:val="0"/>
      <w:marRight w:val="0"/>
      <w:marTop w:val="0"/>
      <w:marBottom w:val="0"/>
      <w:divBdr>
        <w:top w:val="none" w:sz="0" w:space="0" w:color="auto"/>
        <w:left w:val="none" w:sz="0" w:space="0" w:color="auto"/>
        <w:bottom w:val="none" w:sz="0" w:space="0" w:color="auto"/>
        <w:right w:val="none" w:sz="0" w:space="0" w:color="auto"/>
      </w:divBdr>
    </w:div>
    <w:div w:id="1078477391">
      <w:marLeft w:val="0"/>
      <w:marRight w:val="0"/>
      <w:marTop w:val="0"/>
      <w:marBottom w:val="0"/>
      <w:divBdr>
        <w:top w:val="none" w:sz="0" w:space="0" w:color="auto"/>
        <w:left w:val="none" w:sz="0" w:space="0" w:color="auto"/>
        <w:bottom w:val="none" w:sz="0" w:space="0" w:color="auto"/>
        <w:right w:val="none" w:sz="0" w:space="0" w:color="auto"/>
      </w:divBdr>
    </w:div>
    <w:div w:id="1078985718">
      <w:marLeft w:val="0"/>
      <w:marRight w:val="0"/>
      <w:marTop w:val="0"/>
      <w:marBottom w:val="0"/>
      <w:divBdr>
        <w:top w:val="none" w:sz="0" w:space="0" w:color="auto"/>
        <w:left w:val="none" w:sz="0" w:space="0" w:color="auto"/>
        <w:bottom w:val="none" w:sz="0" w:space="0" w:color="auto"/>
        <w:right w:val="none" w:sz="0" w:space="0" w:color="auto"/>
      </w:divBdr>
      <w:divsChild>
        <w:div w:id="463933533">
          <w:marLeft w:val="0"/>
          <w:marRight w:val="0"/>
          <w:marTop w:val="0"/>
          <w:marBottom w:val="0"/>
          <w:divBdr>
            <w:top w:val="none" w:sz="0" w:space="0" w:color="auto"/>
            <w:left w:val="none" w:sz="0" w:space="0" w:color="auto"/>
            <w:bottom w:val="none" w:sz="0" w:space="0" w:color="auto"/>
            <w:right w:val="none" w:sz="0" w:space="0" w:color="auto"/>
          </w:divBdr>
        </w:div>
      </w:divsChild>
    </w:div>
    <w:div w:id="1079210640">
      <w:marLeft w:val="0"/>
      <w:marRight w:val="0"/>
      <w:marTop w:val="200"/>
      <w:marBottom w:val="0"/>
      <w:divBdr>
        <w:top w:val="none" w:sz="0" w:space="0" w:color="auto"/>
        <w:left w:val="none" w:sz="0" w:space="0" w:color="auto"/>
        <w:bottom w:val="none" w:sz="0" w:space="0" w:color="auto"/>
        <w:right w:val="none" w:sz="0" w:space="0" w:color="auto"/>
      </w:divBdr>
    </w:div>
    <w:div w:id="1079251015">
      <w:marLeft w:val="0"/>
      <w:marRight w:val="0"/>
      <w:marTop w:val="0"/>
      <w:marBottom w:val="240"/>
      <w:divBdr>
        <w:top w:val="none" w:sz="0" w:space="0" w:color="auto"/>
        <w:left w:val="none" w:sz="0" w:space="0" w:color="auto"/>
        <w:bottom w:val="none" w:sz="0" w:space="0" w:color="auto"/>
        <w:right w:val="none" w:sz="0" w:space="0" w:color="auto"/>
      </w:divBdr>
    </w:div>
    <w:div w:id="1082139809">
      <w:marLeft w:val="0"/>
      <w:marRight w:val="0"/>
      <w:marTop w:val="0"/>
      <w:marBottom w:val="0"/>
      <w:divBdr>
        <w:top w:val="none" w:sz="0" w:space="0" w:color="auto"/>
        <w:left w:val="none" w:sz="0" w:space="0" w:color="auto"/>
        <w:bottom w:val="none" w:sz="0" w:space="0" w:color="auto"/>
        <w:right w:val="none" w:sz="0" w:space="0" w:color="auto"/>
      </w:divBdr>
      <w:divsChild>
        <w:div w:id="1931501710">
          <w:marLeft w:val="0"/>
          <w:marRight w:val="0"/>
          <w:marTop w:val="0"/>
          <w:marBottom w:val="0"/>
          <w:divBdr>
            <w:top w:val="none" w:sz="0" w:space="0" w:color="auto"/>
            <w:left w:val="none" w:sz="0" w:space="0" w:color="auto"/>
            <w:bottom w:val="none" w:sz="0" w:space="0" w:color="auto"/>
            <w:right w:val="none" w:sz="0" w:space="0" w:color="auto"/>
          </w:divBdr>
        </w:div>
        <w:div w:id="998583894">
          <w:marLeft w:val="0"/>
          <w:marRight w:val="0"/>
          <w:marTop w:val="0"/>
          <w:marBottom w:val="0"/>
          <w:divBdr>
            <w:top w:val="none" w:sz="0" w:space="0" w:color="auto"/>
            <w:left w:val="none" w:sz="0" w:space="0" w:color="auto"/>
            <w:bottom w:val="none" w:sz="0" w:space="0" w:color="auto"/>
            <w:right w:val="none" w:sz="0" w:space="0" w:color="auto"/>
          </w:divBdr>
        </w:div>
        <w:div w:id="1004894648">
          <w:marLeft w:val="0"/>
          <w:marRight w:val="0"/>
          <w:marTop w:val="0"/>
          <w:marBottom w:val="0"/>
          <w:divBdr>
            <w:top w:val="none" w:sz="0" w:space="0" w:color="auto"/>
            <w:left w:val="none" w:sz="0" w:space="0" w:color="auto"/>
            <w:bottom w:val="none" w:sz="0" w:space="0" w:color="auto"/>
            <w:right w:val="none" w:sz="0" w:space="0" w:color="auto"/>
          </w:divBdr>
        </w:div>
        <w:div w:id="878055877">
          <w:marLeft w:val="0"/>
          <w:marRight w:val="0"/>
          <w:marTop w:val="0"/>
          <w:marBottom w:val="0"/>
          <w:divBdr>
            <w:top w:val="none" w:sz="0" w:space="0" w:color="auto"/>
            <w:left w:val="none" w:sz="0" w:space="0" w:color="auto"/>
            <w:bottom w:val="none" w:sz="0" w:space="0" w:color="auto"/>
            <w:right w:val="none" w:sz="0" w:space="0" w:color="auto"/>
          </w:divBdr>
        </w:div>
      </w:divsChild>
    </w:div>
    <w:div w:id="1082603967">
      <w:marLeft w:val="0"/>
      <w:marRight w:val="0"/>
      <w:marTop w:val="0"/>
      <w:marBottom w:val="0"/>
      <w:divBdr>
        <w:top w:val="none" w:sz="0" w:space="0" w:color="auto"/>
        <w:left w:val="none" w:sz="0" w:space="0" w:color="auto"/>
        <w:bottom w:val="none" w:sz="0" w:space="0" w:color="auto"/>
        <w:right w:val="none" w:sz="0" w:space="0" w:color="auto"/>
      </w:divBdr>
    </w:div>
    <w:div w:id="1083181693">
      <w:marLeft w:val="0"/>
      <w:marRight w:val="0"/>
      <w:marTop w:val="0"/>
      <w:marBottom w:val="0"/>
      <w:divBdr>
        <w:top w:val="none" w:sz="0" w:space="0" w:color="auto"/>
        <w:left w:val="none" w:sz="0" w:space="0" w:color="auto"/>
        <w:bottom w:val="none" w:sz="0" w:space="0" w:color="auto"/>
        <w:right w:val="none" w:sz="0" w:space="0" w:color="auto"/>
      </w:divBdr>
      <w:divsChild>
        <w:div w:id="1266038312">
          <w:marLeft w:val="0"/>
          <w:marRight w:val="0"/>
          <w:marTop w:val="0"/>
          <w:marBottom w:val="0"/>
          <w:divBdr>
            <w:top w:val="none" w:sz="0" w:space="0" w:color="auto"/>
            <w:left w:val="none" w:sz="0" w:space="0" w:color="auto"/>
            <w:bottom w:val="none" w:sz="0" w:space="0" w:color="auto"/>
            <w:right w:val="none" w:sz="0" w:space="0" w:color="auto"/>
          </w:divBdr>
        </w:div>
      </w:divsChild>
    </w:div>
    <w:div w:id="1083837902">
      <w:marLeft w:val="0"/>
      <w:marRight w:val="0"/>
      <w:marTop w:val="100"/>
      <w:marBottom w:val="0"/>
      <w:divBdr>
        <w:top w:val="none" w:sz="0" w:space="0" w:color="auto"/>
        <w:left w:val="none" w:sz="0" w:space="0" w:color="auto"/>
        <w:bottom w:val="none" w:sz="0" w:space="0" w:color="auto"/>
        <w:right w:val="none" w:sz="0" w:space="0" w:color="auto"/>
      </w:divBdr>
    </w:div>
    <w:div w:id="1084297955">
      <w:marLeft w:val="0"/>
      <w:marRight w:val="0"/>
      <w:marTop w:val="200"/>
      <w:marBottom w:val="0"/>
      <w:divBdr>
        <w:top w:val="none" w:sz="0" w:space="0" w:color="auto"/>
        <w:left w:val="none" w:sz="0" w:space="0" w:color="auto"/>
        <w:bottom w:val="none" w:sz="0" w:space="0" w:color="auto"/>
        <w:right w:val="none" w:sz="0" w:space="0" w:color="auto"/>
      </w:divBdr>
    </w:div>
    <w:div w:id="1087965033">
      <w:marLeft w:val="0"/>
      <w:marRight w:val="0"/>
      <w:marTop w:val="0"/>
      <w:marBottom w:val="0"/>
      <w:divBdr>
        <w:top w:val="none" w:sz="0" w:space="0" w:color="auto"/>
        <w:left w:val="none" w:sz="0" w:space="0" w:color="auto"/>
        <w:bottom w:val="none" w:sz="0" w:space="0" w:color="auto"/>
        <w:right w:val="none" w:sz="0" w:space="0" w:color="auto"/>
      </w:divBdr>
    </w:div>
    <w:div w:id="1092749099">
      <w:marLeft w:val="0"/>
      <w:marRight w:val="0"/>
      <w:marTop w:val="0"/>
      <w:marBottom w:val="0"/>
      <w:divBdr>
        <w:top w:val="none" w:sz="0" w:space="0" w:color="auto"/>
        <w:left w:val="none" w:sz="0" w:space="0" w:color="auto"/>
        <w:bottom w:val="none" w:sz="0" w:space="0" w:color="auto"/>
        <w:right w:val="none" w:sz="0" w:space="0" w:color="auto"/>
      </w:divBdr>
      <w:divsChild>
        <w:div w:id="1304844997">
          <w:marLeft w:val="0"/>
          <w:marRight w:val="0"/>
          <w:marTop w:val="0"/>
          <w:marBottom w:val="0"/>
          <w:divBdr>
            <w:top w:val="none" w:sz="0" w:space="0" w:color="auto"/>
            <w:left w:val="none" w:sz="0" w:space="0" w:color="auto"/>
            <w:bottom w:val="none" w:sz="0" w:space="0" w:color="auto"/>
            <w:right w:val="none" w:sz="0" w:space="0" w:color="auto"/>
          </w:divBdr>
        </w:div>
        <w:div w:id="1798837078">
          <w:marLeft w:val="0"/>
          <w:marRight w:val="0"/>
          <w:marTop w:val="0"/>
          <w:marBottom w:val="0"/>
          <w:divBdr>
            <w:top w:val="none" w:sz="0" w:space="0" w:color="auto"/>
            <w:left w:val="none" w:sz="0" w:space="0" w:color="auto"/>
            <w:bottom w:val="none" w:sz="0" w:space="0" w:color="auto"/>
            <w:right w:val="none" w:sz="0" w:space="0" w:color="auto"/>
          </w:divBdr>
        </w:div>
        <w:div w:id="1240867079">
          <w:marLeft w:val="0"/>
          <w:marRight w:val="0"/>
          <w:marTop w:val="0"/>
          <w:marBottom w:val="0"/>
          <w:divBdr>
            <w:top w:val="none" w:sz="0" w:space="0" w:color="auto"/>
            <w:left w:val="none" w:sz="0" w:space="0" w:color="auto"/>
            <w:bottom w:val="none" w:sz="0" w:space="0" w:color="auto"/>
            <w:right w:val="none" w:sz="0" w:space="0" w:color="auto"/>
          </w:divBdr>
        </w:div>
        <w:div w:id="485241985">
          <w:marLeft w:val="0"/>
          <w:marRight w:val="0"/>
          <w:marTop w:val="0"/>
          <w:marBottom w:val="0"/>
          <w:divBdr>
            <w:top w:val="none" w:sz="0" w:space="0" w:color="auto"/>
            <w:left w:val="none" w:sz="0" w:space="0" w:color="auto"/>
            <w:bottom w:val="none" w:sz="0" w:space="0" w:color="auto"/>
            <w:right w:val="none" w:sz="0" w:space="0" w:color="auto"/>
          </w:divBdr>
        </w:div>
      </w:divsChild>
    </w:div>
    <w:div w:id="1093286764">
      <w:marLeft w:val="0"/>
      <w:marRight w:val="0"/>
      <w:marTop w:val="0"/>
      <w:marBottom w:val="0"/>
      <w:divBdr>
        <w:top w:val="none" w:sz="0" w:space="0" w:color="auto"/>
        <w:left w:val="none" w:sz="0" w:space="0" w:color="auto"/>
        <w:bottom w:val="none" w:sz="0" w:space="0" w:color="auto"/>
        <w:right w:val="none" w:sz="0" w:space="0" w:color="auto"/>
      </w:divBdr>
    </w:div>
    <w:div w:id="1093670330">
      <w:marLeft w:val="0"/>
      <w:marRight w:val="0"/>
      <w:marTop w:val="0"/>
      <w:marBottom w:val="0"/>
      <w:divBdr>
        <w:top w:val="none" w:sz="0" w:space="0" w:color="auto"/>
        <w:left w:val="none" w:sz="0" w:space="0" w:color="auto"/>
        <w:bottom w:val="none" w:sz="0" w:space="0" w:color="auto"/>
        <w:right w:val="none" w:sz="0" w:space="0" w:color="auto"/>
      </w:divBdr>
    </w:div>
    <w:div w:id="1094401522">
      <w:marLeft w:val="0"/>
      <w:marRight w:val="0"/>
      <w:marTop w:val="0"/>
      <w:marBottom w:val="200"/>
      <w:divBdr>
        <w:top w:val="none" w:sz="0" w:space="0" w:color="auto"/>
        <w:left w:val="none" w:sz="0" w:space="0" w:color="auto"/>
        <w:bottom w:val="none" w:sz="0" w:space="0" w:color="auto"/>
        <w:right w:val="none" w:sz="0" w:space="0" w:color="auto"/>
      </w:divBdr>
    </w:div>
    <w:div w:id="1096905116">
      <w:marLeft w:val="0"/>
      <w:marRight w:val="0"/>
      <w:marTop w:val="0"/>
      <w:marBottom w:val="0"/>
      <w:divBdr>
        <w:top w:val="none" w:sz="0" w:space="0" w:color="auto"/>
        <w:left w:val="none" w:sz="0" w:space="0" w:color="auto"/>
        <w:bottom w:val="none" w:sz="0" w:space="0" w:color="auto"/>
        <w:right w:val="none" w:sz="0" w:space="0" w:color="auto"/>
      </w:divBdr>
      <w:divsChild>
        <w:div w:id="1961372810">
          <w:marLeft w:val="0"/>
          <w:marRight w:val="0"/>
          <w:marTop w:val="0"/>
          <w:marBottom w:val="0"/>
          <w:divBdr>
            <w:top w:val="none" w:sz="0" w:space="0" w:color="auto"/>
            <w:left w:val="none" w:sz="0" w:space="0" w:color="auto"/>
            <w:bottom w:val="none" w:sz="0" w:space="0" w:color="auto"/>
            <w:right w:val="none" w:sz="0" w:space="0" w:color="auto"/>
          </w:divBdr>
        </w:div>
      </w:divsChild>
    </w:div>
    <w:div w:id="1097287837">
      <w:marLeft w:val="0"/>
      <w:marRight w:val="0"/>
      <w:marTop w:val="0"/>
      <w:marBottom w:val="0"/>
      <w:divBdr>
        <w:top w:val="none" w:sz="0" w:space="0" w:color="auto"/>
        <w:left w:val="none" w:sz="0" w:space="0" w:color="auto"/>
        <w:bottom w:val="none" w:sz="0" w:space="0" w:color="auto"/>
        <w:right w:val="none" w:sz="0" w:space="0" w:color="auto"/>
      </w:divBdr>
    </w:div>
    <w:div w:id="1098062041">
      <w:marLeft w:val="0"/>
      <w:marRight w:val="0"/>
      <w:marTop w:val="0"/>
      <w:marBottom w:val="0"/>
      <w:divBdr>
        <w:top w:val="none" w:sz="0" w:space="0" w:color="auto"/>
        <w:left w:val="none" w:sz="0" w:space="0" w:color="auto"/>
        <w:bottom w:val="none" w:sz="0" w:space="0" w:color="auto"/>
        <w:right w:val="none" w:sz="0" w:space="0" w:color="auto"/>
      </w:divBdr>
      <w:divsChild>
        <w:div w:id="954487028">
          <w:marLeft w:val="0"/>
          <w:marRight w:val="0"/>
          <w:marTop w:val="0"/>
          <w:marBottom w:val="0"/>
          <w:divBdr>
            <w:top w:val="none" w:sz="0" w:space="0" w:color="auto"/>
            <w:left w:val="none" w:sz="0" w:space="0" w:color="auto"/>
            <w:bottom w:val="none" w:sz="0" w:space="0" w:color="auto"/>
            <w:right w:val="none" w:sz="0" w:space="0" w:color="auto"/>
          </w:divBdr>
        </w:div>
      </w:divsChild>
    </w:div>
    <w:div w:id="1098134393">
      <w:marLeft w:val="0"/>
      <w:marRight w:val="0"/>
      <w:marTop w:val="200"/>
      <w:marBottom w:val="0"/>
      <w:divBdr>
        <w:top w:val="none" w:sz="0" w:space="0" w:color="auto"/>
        <w:left w:val="none" w:sz="0" w:space="0" w:color="auto"/>
        <w:bottom w:val="none" w:sz="0" w:space="0" w:color="auto"/>
        <w:right w:val="none" w:sz="0" w:space="0" w:color="auto"/>
      </w:divBdr>
    </w:div>
    <w:div w:id="1100565802">
      <w:marLeft w:val="0"/>
      <w:marRight w:val="0"/>
      <w:marTop w:val="0"/>
      <w:marBottom w:val="0"/>
      <w:divBdr>
        <w:top w:val="none" w:sz="0" w:space="0" w:color="auto"/>
        <w:left w:val="none" w:sz="0" w:space="0" w:color="auto"/>
        <w:bottom w:val="none" w:sz="0" w:space="0" w:color="auto"/>
        <w:right w:val="none" w:sz="0" w:space="0" w:color="auto"/>
      </w:divBdr>
      <w:divsChild>
        <w:div w:id="229317379">
          <w:marLeft w:val="0"/>
          <w:marRight w:val="0"/>
          <w:marTop w:val="0"/>
          <w:marBottom w:val="0"/>
          <w:divBdr>
            <w:top w:val="none" w:sz="0" w:space="0" w:color="auto"/>
            <w:left w:val="none" w:sz="0" w:space="0" w:color="auto"/>
            <w:bottom w:val="none" w:sz="0" w:space="0" w:color="auto"/>
            <w:right w:val="none" w:sz="0" w:space="0" w:color="auto"/>
          </w:divBdr>
        </w:div>
      </w:divsChild>
    </w:div>
    <w:div w:id="1100763794">
      <w:marLeft w:val="0"/>
      <w:marRight w:val="0"/>
      <w:marTop w:val="0"/>
      <w:marBottom w:val="0"/>
      <w:divBdr>
        <w:top w:val="none" w:sz="0" w:space="0" w:color="auto"/>
        <w:left w:val="none" w:sz="0" w:space="0" w:color="auto"/>
        <w:bottom w:val="none" w:sz="0" w:space="0" w:color="auto"/>
        <w:right w:val="none" w:sz="0" w:space="0" w:color="auto"/>
      </w:divBdr>
      <w:divsChild>
        <w:div w:id="1158351594">
          <w:marLeft w:val="0"/>
          <w:marRight w:val="0"/>
          <w:marTop w:val="0"/>
          <w:marBottom w:val="0"/>
          <w:divBdr>
            <w:top w:val="none" w:sz="0" w:space="0" w:color="auto"/>
            <w:left w:val="none" w:sz="0" w:space="0" w:color="auto"/>
            <w:bottom w:val="none" w:sz="0" w:space="0" w:color="auto"/>
            <w:right w:val="none" w:sz="0" w:space="0" w:color="auto"/>
          </w:divBdr>
        </w:div>
      </w:divsChild>
    </w:div>
    <w:div w:id="1100837655">
      <w:marLeft w:val="0"/>
      <w:marRight w:val="0"/>
      <w:marTop w:val="100"/>
      <w:marBottom w:val="0"/>
      <w:divBdr>
        <w:top w:val="none" w:sz="0" w:space="0" w:color="auto"/>
        <w:left w:val="none" w:sz="0" w:space="0" w:color="auto"/>
        <w:bottom w:val="none" w:sz="0" w:space="0" w:color="auto"/>
        <w:right w:val="none" w:sz="0" w:space="0" w:color="auto"/>
      </w:divBdr>
      <w:divsChild>
        <w:div w:id="1396782555">
          <w:marLeft w:val="0"/>
          <w:marRight w:val="0"/>
          <w:marTop w:val="0"/>
          <w:marBottom w:val="0"/>
          <w:divBdr>
            <w:top w:val="none" w:sz="0" w:space="0" w:color="auto"/>
            <w:left w:val="none" w:sz="0" w:space="0" w:color="auto"/>
            <w:bottom w:val="none" w:sz="0" w:space="0" w:color="auto"/>
            <w:right w:val="none" w:sz="0" w:space="0" w:color="auto"/>
          </w:divBdr>
        </w:div>
      </w:divsChild>
    </w:div>
    <w:div w:id="1103308129">
      <w:marLeft w:val="0"/>
      <w:marRight w:val="0"/>
      <w:marTop w:val="0"/>
      <w:marBottom w:val="0"/>
      <w:divBdr>
        <w:top w:val="none" w:sz="0" w:space="0" w:color="auto"/>
        <w:left w:val="none" w:sz="0" w:space="0" w:color="auto"/>
        <w:bottom w:val="none" w:sz="0" w:space="0" w:color="auto"/>
        <w:right w:val="none" w:sz="0" w:space="0" w:color="auto"/>
      </w:divBdr>
      <w:divsChild>
        <w:div w:id="85006346">
          <w:marLeft w:val="0"/>
          <w:marRight w:val="0"/>
          <w:marTop w:val="0"/>
          <w:marBottom w:val="0"/>
          <w:divBdr>
            <w:top w:val="none" w:sz="0" w:space="0" w:color="auto"/>
            <w:left w:val="none" w:sz="0" w:space="0" w:color="auto"/>
            <w:bottom w:val="none" w:sz="0" w:space="0" w:color="auto"/>
            <w:right w:val="none" w:sz="0" w:space="0" w:color="auto"/>
          </w:divBdr>
        </w:div>
      </w:divsChild>
    </w:div>
    <w:div w:id="1107697474">
      <w:marLeft w:val="0"/>
      <w:marRight w:val="0"/>
      <w:marTop w:val="0"/>
      <w:marBottom w:val="0"/>
      <w:divBdr>
        <w:top w:val="none" w:sz="0" w:space="0" w:color="auto"/>
        <w:left w:val="none" w:sz="0" w:space="0" w:color="auto"/>
        <w:bottom w:val="none" w:sz="0" w:space="0" w:color="auto"/>
        <w:right w:val="none" w:sz="0" w:space="0" w:color="auto"/>
      </w:divBdr>
      <w:divsChild>
        <w:div w:id="1007251722">
          <w:marLeft w:val="0"/>
          <w:marRight w:val="0"/>
          <w:marTop w:val="0"/>
          <w:marBottom w:val="0"/>
          <w:divBdr>
            <w:top w:val="none" w:sz="0" w:space="0" w:color="auto"/>
            <w:left w:val="none" w:sz="0" w:space="0" w:color="auto"/>
            <w:bottom w:val="none" w:sz="0" w:space="0" w:color="auto"/>
            <w:right w:val="none" w:sz="0" w:space="0" w:color="auto"/>
          </w:divBdr>
        </w:div>
      </w:divsChild>
    </w:div>
    <w:div w:id="1112171966">
      <w:marLeft w:val="0"/>
      <w:marRight w:val="0"/>
      <w:marTop w:val="0"/>
      <w:marBottom w:val="0"/>
      <w:divBdr>
        <w:top w:val="none" w:sz="0" w:space="0" w:color="auto"/>
        <w:left w:val="none" w:sz="0" w:space="0" w:color="auto"/>
        <w:bottom w:val="none" w:sz="0" w:space="0" w:color="auto"/>
        <w:right w:val="none" w:sz="0" w:space="0" w:color="auto"/>
      </w:divBdr>
    </w:div>
    <w:div w:id="1116220245">
      <w:marLeft w:val="0"/>
      <w:marRight w:val="0"/>
      <w:marTop w:val="100"/>
      <w:marBottom w:val="0"/>
      <w:divBdr>
        <w:top w:val="none" w:sz="0" w:space="0" w:color="auto"/>
        <w:left w:val="none" w:sz="0" w:space="0" w:color="auto"/>
        <w:bottom w:val="none" w:sz="0" w:space="0" w:color="auto"/>
        <w:right w:val="none" w:sz="0" w:space="0" w:color="auto"/>
      </w:divBdr>
      <w:divsChild>
        <w:div w:id="66726890">
          <w:marLeft w:val="0"/>
          <w:marRight w:val="0"/>
          <w:marTop w:val="0"/>
          <w:marBottom w:val="0"/>
          <w:divBdr>
            <w:top w:val="none" w:sz="0" w:space="0" w:color="auto"/>
            <w:left w:val="none" w:sz="0" w:space="0" w:color="auto"/>
            <w:bottom w:val="none" w:sz="0" w:space="0" w:color="auto"/>
            <w:right w:val="none" w:sz="0" w:space="0" w:color="auto"/>
          </w:divBdr>
        </w:div>
        <w:div w:id="1109275690">
          <w:marLeft w:val="0"/>
          <w:marRight w:val="0"/>
          <w:marTop w:val="0"/>
          <w:marBottom w:val="0"/>
          <w:divBdr>
            <w:top w:val="none" w:sz="0" w:space="0" w:color="auto"/>
            <w:left w:val="none" w:sz="0" w:space="0" w:color="auto"/>
            <w:bottom w:val="none" w:sz="0" w:space="0" w:color="auto"/>
            <w:right w:val="none" w:sz="0" w:space="0" w:color="auto"/>
          </w:divBdr>
        </w:div>
        <w:div w:id="903494652">
          <w:marLeft w:val="0"/>
          <w:marRight w:val="0"/>
          <w:marTop w:val="0"/>
          <w:marBottom w:val="0"/>
          <w:divBdr>
            <w:top w:val="none" w:sz="0" w:space="0" w:color="auto"/>
            <w:left w:val="none" w:sz="0" w:space="0" w:color="auto"/>
            <w:bottom w:val="none" w:sz="0" w:space="0" w:color="auto"/>
            <w:right w:val="none" w:sz="0" w:space="0" w:color="auto"/>
          </w:divBdr>
        </w:div>
        <w:div w:id="997878511">
          <w:marLeft w:val="0"/>
          <w:marRight w:val="0"/>
          <w:marTop w:val="0"/>
          <w:marBottom w:val="0"/>
          <w:divBdr>
            <w:top w:val="none" w:sz="0" w:space="0" w:color="auto"/>
            <w:left w:val="none" w:sz="0" w:space="0" w:color="auto"/>
            <w:bottom w:val="none" w:sz="0" w:space="0" w:color="auto"/>
            <w:right w:val="none" w:sz="0" w:space="0" w:color="auto"/>
          </w:divBdr>
        </w:div>
        <w:div w:id="2100788006">
          <w:marLeft w:val="0"/>
          <w:marRight w:val="0"/>
          <w:marTop w:val="0"/>
          <w:marBottom w:val="0"/>
          <w:divBdr>
            <w:top w:val="none" w:sz="0" w:space="0" w:color="auto"/>
            <w:left w:val="none" w:sz="0" w:space="0" w:color="auto"/>
            <w:bottom w:val="none" w:sz="0" w:space="0" w:color="auto"/>
            <w:right w:val="none" w:sz="0" w:space="0" w:color="auto"/>
          </w:divBdr>
        </w:div>
        <w:div w:id="451560184">
          <w:marLeft w:val="0"/>
          <w:marRight w:val="0"/>
          <w:marTop w:val="0"/>
          <w:marBottom w:val="0"/>
          <w:divBdr>
            <w:top w:val="none" w:sz="0" w:space="0" w:color="auto"/>
            <w:left w:val="none" w:sz="0" w:space="0" w:color="auto"/>
            <w:bottom w:val="none" w:sz="0" w:space="0" w:color="auto"/>
            <w:right w:val="none" w:sz="0" w:space="0" w:color="auto"/>
          </w:divBdr>
        </w:div>
        <w:div w:id="1261260233">
          <w:marLeft w:val="0"/>
          <w:marRight w:val="0"/>
          <w:marTop w:val="0"/>
          <w:marBottom w:val="0"/>
          <w:divBdr>
            <w:top w:val="none" w:sz="0" w:space="0" w:color="auto"/>
            <w:left w:val="none" w:sz="0" w:space="0" w:color="auto"/>
            <w:bottom w:val="none" w:sz="0" w:space="0" w:color="auto"/>
            <w:right w:val="none" w:sz="0" w:space="0" w:color="auto"/>
          </w:divBdr>
        </w:div>
        <w:div w:id="869883028">
          <w:marLeft w:val="0"/>
          <w:marRight w:val="0"/>
          <w:marTop w:val="0"/>
          <w:marBottom w:val="0"/>
          <w:divBdr>
            <w:top w:val="none" w:sz="0" w:space="0" w:color="auto"/>
            <w:left w:val="none" w:sz="0" w:space="0" w:color="auto"/>
            <w:bottom w:val="none" w:sz="0" w:space="0" w:color="auto"/>
            <w:right w:val="none" w:sz="0" w:space="0" w:color="auto"/>
          </w:divBdr>
        </w:div>
        <w:div w:id="1110665401">
          <w:marLeft w:val="0"/>
          <w:marRight w:val="0"/>
          <w:marTop w:val="0"/>
          <w:marBottom w:val="0"/>
          <w:divBdr>
            <w:top w:val="none" w:sz="0" w:space="0" w:color="auto"/>
            <w:left w:val="none" w:sz="0" w:space="0" w:color="auto"/>
            <w:bottom w:val="none" w:sz="0" w:space="0" w:color="auto"/>
            <w:right w:val="none" w:sz="0" w:space="0" w:color="auto"/>
          </w:divBdr>
        </w:div>
        <w:div w:id="864561895">
          <w:marLeft w:val="0"/>
          <w:marRight w:val="0"/>
          <w:marTop w:val="0"/>
          <w:marBottom w:val="0"/>
          <w:divBdr>
            <w:top w:val="none" w:sz="0" w:space="0" w:color="auto"/>
            <w:left w:val="none" w:sz="0" w:space="0" w:color="auto"/>
            <w:bottom w:val="none" w:sz="0" w:space="0" w:color="auto"/>
            <w:right w:val="none" w:sz="0" w:space="0" w:color="auto"/>
          </w:divBdr>
        </w:div>
        <w:div w:id="1730348090">
          <w:marLeft w:val="0"/>
          <w:marRight w:val="0"/>
          <w:marTop w:val="0"/>
          <w:marBottom w:val="0"/>
          <w:divBdr>
            <w:top w:val="none" w:sz="0" w:space="0" w:color="auto"/>
            <w:left w:val="none" w:sz="0" w:space="0" w:color="auto"/>
            <w:bottom w:val="none" w:sz="0" w:space="0" w:color="auto"/>
            <w:right w:val="none" w:sz="0" w:space="0" w:color="auto"/>
          </w:divBdr>
        </w:div>
        <w:div w:id="761028970">
          <w:marLeft w:val="0"/>
          <w:marRight w:val="0"/>
          <w:marTop w:val="0"/>
          <w:marBottom w:val="0"/>
          <w:divBdr>
            <w:top w:val="none" w:sz="0" w:space="0" w:color="auto"/>
            <w:left w:val="none" w:sz="0" w:space="0" w:color="auto"/>
            <w:bottom w:val="none" w:sz="0" w:space="0" w:color="auto"/>
            <w:right w:val="none" w:sz="0" w:space="0" w:color="auto"/>
          </w:divBdr>
        </w:div>
        <w:div w:id="1353267054">
          <w:marLeft w:val="0"/>
          <w:marRight w:val="0"/>
          <w:marTop w:val="0"/>
          <w:marBottom w:val="0"/>
          <w:divBdr>
            <w:top w:val="none" w:sz="0" w:space="0" w:color="auto"/>
            <w:left w:val="none" w:sz="0" w:space="0" w:color="auto"/>
            <w:bottom w:val="none" w:sz="0" w:space="0" w:color="auto"/>
            <w:right w:val="none" w:sz="0" w:space="0" w:color="auto"/>
          </w:divBdr>
        </w:div>
        <w:div w:id="136535566">
          <w:marLeft w:val="0"/>
          <w:marRight w:val="0"/>
          <w:marTop w:val="0"/>
          <w:marBottom w:val="0"/>
          <w:divBdr>
            <w:top w:val="none" w:sz="0" w:space="0" w:color="auto"/>
            <w:left w:val="none" w:sz="0" w:space="0" w:color="auto"/>
            <w:bottom w:val="none" w:sz="0" w:space="0" w:color="auto"/>
            <w:right w:val="none" w:sz="0" w:space="0" w:color="auto"/>
          </w:divBdr>
        </w:div>
        <w:div w:id="1371422150">
          <w:marLeft w:val="0"/>
          <w:marRight w:val="0"/>
          <w:marTop w:val="0"/>
          <w:marBottom w:val="0"/>
          <w:divBdr>
            <w:top w:val="none" w:sz="0" w:space="0" w:color="auto"/>
            <w:left w:val="none" w:sz="0" w:space="0" w:color="auto"/>
            <w:bottom w:val="none" w:sz="0" w:space="0" w:color="auto"/>
            <w:right w:val="none" w:sz="0" w:space="0" w:color="auto"/>
          </w:divBdr>
        </w:div>
        <w:div w:id="1827745398">
          <w:marLeft w:val="0"/>
          <w:marRight w:val="0"/>
          <w:marTop w:val="0"/>
          <w:marBottom w:val="0"/>
          <w:divBdr>
            <w:top w:val="none" w:sz="0" w:space="0" w:color="auto"/>
            <w:left w:val="none" w:sz="0" w:space="0" w:color="auto"/>
            <w:bottom w:val="none" w:sz="0" w:space="0" w:color="auto"/>
            <w:right w:val="none" w:sz="0" w:space="0" w:color="auto"/>
          </w:divBdr>
        </w:div>
        <w:div w:id="1797983343">
          <w:marLeft w:val="0"/>
          <w:marRight w:val="0"/>
          <w:marTop w:val="0"/>
          <w:marBottom w:val="0"/>
          <w:divBdr>
            <w:top w:val="none" w:sz="0" w:space="0" w:color="auto"/>
            <w:left w:val="none" w:sz="0" w:space="0" w:color="auto"/>
            <w:bottom w:val="none" w:sz="0" w:space="0" w:color="auto"/>
            <w:right w:val="none" w:sz="0" w:space="0" w:color="auto"/>
          </w:divBdr>
        </w:div>
        <w:div w:id="345909847">
          <w:marLeft w:val="0"/>
          <w:marRight w:val="0"/>
          <w:marTop w:val="0"/>
          <w:marBottom w:val="0"/>
          <w:divBdr>
            <w:top w:val="none" w:sz="0" w:space="0" w:color="auto"/>
            <w:left w:val="none" w:sz="0" w:space="0" w:color="auto"/>
            <w:bottom w:val="none" w:sz="0" w:space="0" w:color="auto"/>
            <w:right w:val="none" w:sz="0" w:space="0" w:color="auto"/>
          </w:divBdr>
        </w:div>
        <w:div w:id="1420054199">
          <w:marLeft w:val="0"/>
          <w:marRight w:val="0"/>
          <w:marTop w:val="0"/>
          <w:marBottom w:val="0"/>
          <w:divBdr>
            <w:top w:val="none" w:sz="0" w:space="0" w:color="auto"/>
            <w:left w:val="none" w:sz="0" w:space="0" w:color="auto"/>
            <w:bottom w:val="none" w:sz="0" w:space="0" w:color="auto"/>
            <w:right w:val="none" w:sz="0" w:space="0" w:color="auto"/>
          </w:divBdr>
        </w:div>
        <w:div w:id="1819881233">
          <w:marLeft w:val="0"/>
          <w:marRight w:val="0"/>
          <w:marTop w:val="0"/>
          <w:marBottom w:val="0"/>
          <w:divBdr>
            <w:top w:val="none" w:sz="0" w:space="0" w:color="auto"/>
            <w:left w:val="none" w:sz="0" w:space="0" w:color="auto"/>
            <w:bottom w:val="none" w:sz="0" w:space="0" w:color="auto"/>
            <w:right w:val="none" w:sz="0" w:space="0" w:color="auto"/>
          </w:divBdr>
        </w:div>
        <w:div w:id="815073860">
          <w:marLeft w:val="0"/>
          <w:marRight w:val="0"/>
          <w:marTop w:val="0"/>
          <w:marBottom w:val="0"/>
          <w:divBdr>
            <w:top w:val="none" w:sz="0" w:space="0" w:color="auto"/>
            <w:left w:val="none" w:sz="0" w:space="0" w:color="auto"/>
            <w:bottom w:val="none" w:sz="0" w:space="0" w:color="auto"/>
            <w:right w:val="none" w:sz="0" w:space="0" w:color="auto"/>
          </w:divBdr>
        </w:div>
        <w:div w:id="1298756915">
          <w:marLeft w:val="0"/>
          <w:marRight w:val="0"/>
          <w:marTop w:val="0"/>
          <w:marBottom w:val="0"/>
          <w:divBdr>
            <w:top w:val="none" w:sz="0" w:space="0" w:color="auto"/>
            <w:left w:val="none" w:sz="0" w:space="0" w:color="auto"/>
            <w:bottom w:val="none" w:sz="0" w:space="0" w:color="auto"/>
            <w:right w:val="none" w:sz="0" w:space="0" w:color="auto"/>
          </w:divBdr>
        </w:div>
        <w:div w:id="1044328010">
          <w:marLeft w:val="0"/>
          <w:marRight w:val="0"/>
          <w:marTop w:val="0"/>
          <w:marBottom w:val="0"/>
          <w:divBdr>
            <w:top w:val="none" w:sz="0" w:space="0" w:color="auto"/>
            <w:left w:val="none" w:sz="0" w:space="0" w:color="auto"/>
            <w:bottom w:val="none" w:sz="0" w:space="0" w:color="auto"/>
            <w:right w:val="none" w:sz="0" w:space="0" w:color="auto"/>
          </w:divBdr>
        </w:div>
        <w:div w:id="1908949777">
          <w:marLeft w:val="0"/>
          <w:marRight w:val="0"/>
          <w:marTop w:val="0"/>
          <w:marBottom w:val="0"/>
          <w:divBdr>
            <w:top w:val="none" w:sz="0" w:space="0" w:color="auto"/>
            <w:left w:val="none" w:sz="0" w:space="0" w:color="auto"/>
            <w:bottom w:val="none" w:sz="0" w:space="0" w:color="auto"/>
            <w:right w:val="none" w:sz="0" w:space="0" w:color="auto"/>
          </w:divBdr>
        </w:div>
        <w:div w:id="264849568">
          <w:marLeft w:val="0"/>
          <w:marRight w:val="0"/>
          <w:marTop w:val="0"/>
          <w:marBottom w:val="0"/>
          <w:divBdr>
            <w:top w:val="none" w:sz="0" w:space="0" w:color="auto"/>
            <w:left w:val="none" w:sz="0" w:space="0" w:color="auto"/>
            <w:bottom w:val="none" w:sz="0" w:space="0" w:color="auto"/>
            <w:right w:val="none" w:sz="0" w:space="0" w:color="auto"/>
          </w:divBdr>
        </w:div>
        <w:div w:id="1202785464">
          <w:marLeft w:val="0"/>
          <w:marRight w:val="0"/>
          <w:marTop w:val="0"/>
          <w:marBottom w:val="0"/>
          <w:divBdr>
            <w:top w:val="none" w:sz="0" w:space="0" w:color="auto"/>
            <w:left w:val="none" w:sz="0" w:space="0" w:color="auto"/>
            <w:bottom w:val="none" w:sz="0" w:space="0" w:color="auto"/>
            <w:right w:val="none" w:sz="0" w:space="0" w:color="auto"/>
          </w:divBdr>
        </w:div>
        <w:div w:id="22705589">
          <w:marLeft w:val="0"/>
          <w:marRight w:val="0"/>
          <w:marTop w:val="0"/>
          <w:marBottom w:val="0"/>
          <w:divBdr>
            <w:top w:val="none" w:sz="0" w:space="0" w:color="auto"/>
            <w:left w:val="none" w:sz="0" w:space="0" w:color="auto"/>
            <w:bottom w:val="none" w:sz="0" w:space="0" w:color="auto"/>
            <w:right w:val="none" w:sz="0" w:space="0" w:color="auto"/>
          </w:divBdr>
        </w:div>
        <w:div w:id="1049264101">
          <w:marLeft w:val="0"/>
          <w:marRight w:val="0"/>
          <w:marTop w:val="0"/>
          <w:marBottom w:val="0"/>
          <w:divBdr>
            <w:top w:val="none" w:sz="0" w:space="0" w:color="auto"/>
            <w:left w:val="none" w:sz="0" w:space="0" w:color="auto"/>
            <w:bottom w:val="none" w:sz="0" w:space="0" w:color="auto"/>
            <w:right w:val="none" w:sz="0" w:space="0" w:color="auto"/>
          </w:divBdr>
        </w:div>
      </w:divsChild>
    </w:div>
    <w:div w:id="1116750139">
      <w:marLeft w:val="0"/>
      <w:marRight w:val="0"/>
      <w:marTop w:val="0"/>
      <w:marBottom w:val="0"/>
      <w:divBdr>
        <w:top w:val="none" w:sz="0" w:space="0" w:color="auto"/>
        <w:left w:val="none" w:sz="0" w:space="0" w:color="auto"/>
        <w:bottom w:val="none" w:sz="0" w:space="0" w:color="auto"/>
        <w:right w:val="none" w:sz="0" w:space="0" w:color="auto"/>
      </w:divBdr>
    </w:div>
    <w:div w:id="1117676035">
      <w:marLeft w:val="0"/>
      <w:marRight w:val="0"/>
      <w:marTop w:val="0"/>
      <w:marBottom w:val="0"/>
      <w:divBdr>
        <w:top w:val="none" w:sz="0" w:space="0" w:color="auto"/>
        <w:left w:val="none" w:sz="0" w:space="0" w:color="auto"/>
        <w:bottom w:val="none" w:sz="0" w:space="0" w:color="auto"/>
        <w:right w:val="none" w:sz="0" w:space="0" w:color="auto"/>
      </w:divBdr>
      <w:divsChild>
        <w:div w:id="2029982753">
          <w:marLeft w:val="0"/>
          <w:marRight w:val="0"/>
          <w:marTop w:val="0"/>
          <w:marBottom w:val="0"/>
          <w:divBdr>
            <w:top w:val="none" w:sz="0" w:space="0" w:color="auto"/>
            <w:left w:val="none" w:sz="0" w:space="0" w:color="auto"/>
            <w:bottom w:val="none" w:sz="0" w:space="0" w:color="auto"/>
            <w:right w:val="none" w:sz="0" w:space="0" w:color="auto"/>
          </w:divBdr>
        </w:div>
      </w:divsChild>
    </w:div>
    <w:div w:id="1118913121">
      <w:marLeft w:val="0"/>
      <w:marRight w:val="0"/>
      <w:marTop w:val="200"/>
      <w:marBottom w:val="0"/>
      <w:divBdr>
        <w:top w:val="none" w:sz="0" w:space="0" w:color="auto"/>
        <w:left w:val="none" w:sz="0" w:space="0" w:color="auto"/>
        <w:bottom w:val="none" w:sz="0" w:space="0" w:color="auto"/>
        <w:right w:val="none" w:sz="0" w:space="0" w:color="auto"/>
      </w:divBdr>
    </w:div>
    <w:div w:id="1121342144">
      <w:marLeft w:val="0"/>
      <w:marRight w:val="0"/>
      <w:marTop w:val="0"/>
      <w:marBottom w:val="0"/>
      <w:divBdr>
        <w:top w:val="none" w:sz="0" w:space="0" w:color="auto"/>
        <w:left w:val="none" w:sz="0" w:space="0" w:color="auto"/>
        <w:bottom w:val="none" w:sz="0" w:space="0" w:color="auto"/>
        <w:right w:val="none" w:sz="0" w:space="0" w:color="auto"/>
      </w:divBdr>
      <w:divsChild>
        <w:div w:id="781803251">
          <w:marLeft w:val="0"/>
          <w:marRight w:val="0"/>
          <w:marTop w:val="0"/>
          <w:marBottom w:val="0"/>
          <w:divBdr>
            <w:top w:val="none" w:sz="0" w:space="0" w:color="auto"/>
            <w:left w:val="none" w:sz="0" w:space="0" w:color="auto"/>
            <w:bottom w:val="none" w:sz="0" w:space="0" w:color="auto"/>
            <w:right w:val="none" w:sz="0" w:space="0" w:color="auto"/>
          </w:divBdr>
        </w:div>
      </w:divsChild>
    </w:div>
    <w:div w:id="1122190963">
      <w:marLeft w:val="0"/>
      <w:marRight w:val="0"/>
      <w:marTop w:val="0"/>
      <w:marBottom w:val="0"/>
      <w:divBdr>
        <w:top w:val="none" w:sz="0" w:space="0" w:color="auto"/>
        <w:left w:val="none" w:sz="0" w:space="0" w:color="auto"/>
        <w:bottom w:val="none" w:sz="0" w:space="0" w:color="auto"/>
        <w:right w:val="none" w:sz="0" w:space="0" w:color="auto"/>
      </w:divBdr>
      <w:divsChild>
        <w:div w:id="1646081149">
          <w:marLeft w:val="0"/>
          <w:marRight w:val="0"/>
          <w:marTop w:val="0"/>
          <w:marBottom w:val="0"/>
          <w:divBdr>
            <w:top w:val="none" w:sz="0" w:space="0" w:color="auto"/>
            <w:left w:val="none" w:sz="0" w:space="0" w:color="auto"/>
            <w:bottom w:val="none" w:sz="0" w:space="0" w:color="auto"/>
            <w:right w:val="none" w:sz="0" w:space="0" w:color="auto"/>
          </w:divBdr>
        </w:div>
      </w:divsChild>
    </w:div>
    <w:div w:id="1125465665">
      <w:marLeft w:val="0"/>
      <w:marRight w:val="0"/>
      <w:marTop w:val="0"/>
      <w:marBottom w:val="0"/>
      <w:divBdr>
        <w:top w:val="none" w:sz="0" w:space="0" w:color="auto"/>
        <w:left w:val="none" w:sz="0" w:space="0" w:color="auto"/>
        <w:bottom w:val="none" w:sz="0" w:space="0" w:color="auto"/>
        <w:right w:val="none" w:sz="0" w:space="0" w:color="auto"/>
      </w:divBdr>
      <w:divsChild>
        <w:div w:id="744575390">
          <w:marLeft w:val="0"/>
          <w:marRight w:val="0"/>
          <w:marTop w:val="0"/>
          <w:marBottom w:val="0"/>
          <w:divBdr>
            <w:top w:val="none" w:sz="0" w:space="0" w:color="auto"/>
            <w:left w:val="none" w:sz="0" w:space="0" w:color="auto"/>
            <w:bottom w:val="none" w:sz="0" w:space="0" w:color="auto"/>
            <w:right w:val="none" w:sz="0" w:space="0" w:color="auto"/>
          </w:divBdr>
        </w:div>
      </w:divsChild>
    </w:div>
    <w:div w:id="1126655086">
      <w:marLeft w:val="0"/>
      <w:marRight w:val="0"/>
      <w:marTop w:val="200"/>
      <w:marBottom w:val="0"/>
      <w:divBdr>
        <w:top w:val="none" w:sz="0" w:space="0" w:color="auto"/>
        <w:left w:val="none" w:sz="0" w:space="0" w:color="auto"/>
        <w:bottom w:val="none" w:sz="0" w:space="0" w:color="auto"/>
        <w:right w:val="none" w:sz="0" w:space="0" w:color="auto"/>
      </w:divBdr>
    </w:div>
    <w:div w:id="1131901076">
      <w:marLeft w:val="0"/>
      <w:marRight w:val="0"/>
      <w:marTop w:val="0"/>
      <w:marBottom w:val="0"/>
      <w:divBdr>
        <w:top w:val="none" w:sz="0" w:space="0" w:color="auto"/>
        <w:left w:val="none" w:sz="0" w:space="0" w:color="auto"/>
        <w:bottom w:val="none" w:sz="0" w:space="0" w:color="auto"/>
        <w:right w:val="none" w:sz="0" w:space="0" w:color="auto"/>
      </w:divBdr>
    </w:div>
    <w:div w:id="1136333979">
      <w:marLeft w:val="0"/>
      <w:marRight w:val="0"/>
      <w:marTop w:val="0"/>
      <w:marBottom w:val="0"/>
      <w:divBdr>
        <w:top w:val="none" w:sz="0" w:space="0" w:color="auto"/>
        <w:left w:val="none" w:sz="0" w:space="0" w:color="auto"/>
        <w:bottom w:val="none" w:sz="0" w:space="0" w:color="auto"/>
        <w:right w:val="none" w:sz="0" w:space="0" w:color="auto"/>
      </w:divBdr>
    </w:div>
    <w:div w:id="1137331931">
      <w:marLeft w:val="0"/>
      <w:marRight w:val="0"/>
      <w:marTop w:val="0"/>
      <w:marBottom w:val="0"/>
      <w:divBdr>
        <w:top w:val="none" w:sz="0" w:space="0" w:color="auto"/>
        <w:left w:val="none" w:sz="0" w:space="0" w:color="auto"/>
        <w:bottom w:val="none" w:sz="0" w:space="0" w:color="auto"/>
        <w:right w:val="none" w:sz="0" w:space="0" w:color="auto"/>
      </w:divBdr>
      <w:divsChild>
        <w:div w:id="1824152291">
          <w:marLeft w:val="0"/>
          <w:marRight w:val="0"/>
          <w:marTop w:val="0"/>
          <w:marBottom w:val="0"/>
          <w:divBdr>
            <w:top w:val="none" w:sz="0" w:space="0" w:color="auto"/>
            <w:left w:val="none" w:sz="0" w:space="0" w:color="auto"/>
            <w:bottom w:val="none" w:sz="0" w:space="0" w:color="auto"/>
            <w:right w:val="none" w:sz="0" w:space="0" w:color="auto"/>
          </w:divBdr>
        </w:div>
        <w:div w:id="1478495170">
          <w:marLeft w:val="0"/>
          <w:marRight w:val="0"/>
          <w:marTop w:val="0"/>
          <w:marBottom w:val="0"/>
          <w:divBdr>
            <w:top w:val="none" w:sz="0" w:space="0" w:color="auto"/>
            <w:left w:val="none" w:sz="0" w:space="0" w:color="auto"/>
            <w:bottom w:val="none" w:sz="0" w:space="0" w:color="auto"/>
            <w:right w:val="none" w:sz="0" w:space="0" w:color="auto"/>
          </w:divBdr>
        </w:div>
        <w:div w:id="554314881">
          <w:marLeft w:val="0"/>
          <w:marRight w:val="0"/>
          <w:marTop w:val="0"/>
          <w:marBottom w:val="0"/>
          <w:divBdr>
            <w:top w:val="none" w:sz="0" w:space="0" w:color="auto"/>
            <w:left w:val="none" w:sz="0" w:space="0" w:color="auto"/>
            <w:bottom w:val="none" w:sz="0" w:space="0" w:color="auto"/>
            <w:right w:val="none" w:sz="0" w:space="0" w:color="auto"/>
          </w:divBdr>
        </w:div>
        <w:div w:id="1860855557">
          <w:marLeft w:val="0"/>
          <w:marRight w:val="0"/>
          <w:marTop w:val="0"/>
          <w:marBottom w:val="0"/>
          <w:divBdr>
            <w:top w:val="none" w:sz="0" w:space="0" w:color="auto"/>
            <w:left w:val="none" w:sz="0" w:space="0" w:color="auto"/>
            <w:bottom w:val="none" w:sz="0" w:space="0" w:color="auto"/>
            <w:right w:val="none" w:sz="0" w:space="0" w:color="auto"/>
          </w:divBdr>
        </w:div>
      </w:divsChild>
    </w:div>
    <w:div w:id="1137652033">
      <w:marLeft w:val="0"/>
      <w:marRight w:val="0"/>
      <w:marTop w:val="0"/>
      <w:marBottom w:val="160"/>
      <w:divBdr>
        <w:top w:val="none" w:sz="0" w:space="0" w:color="auto"/>
        <w:left w:val="none" w:sz="0" w:space="0" w:color="auto"/>
        <w:bottom w:val="none" w:sz="0" w:space="0" w:color="auto"/>
        <w:right w:val="none" w:sz="0" w:space="0" w:color="auto"/>
      </w:divBdr>
    </w:div>
    <w:div w:id="1138567081">
      <w:marLeft w:val="0"/>
      <w:marRight w:val="0"/>
      <w:marTop w:val="0"/>
      <w:marBottom w:val="0"/>
      <w:divBdr>
        <w:top w:val="none" w:sz="0" w:space="0" w:color="auto"/>
        <w:left w:val="none" w:sz="0" w:space="0" w:color="auto"/>
        <w:bottom w:val="none" w:sz="0" w:space="0" w:color="auto"/>
        <w:right w:val="none" w:sz="0" w:space="0" w:color="auto"/>
      </w:divBdr>
    </w:div>
    <w:div w:id="1138911268">
      <w:marLeft w:val="0"/>
      <w:marRight w:val="0"/>
      <w:marTop w:val="0"/>
      <w:marBottom w:val="0"/>
      <w:divBdr>
        <w:top w:val="none" w:sz="0" w:space="0" w:color="auto"/>
        <w:left w:val="none" w:sz="0" w:space="0" w:color="auto"/>
        <w:bottom w:val="none" w:sz="0" w:space="0" w:color="auto"/>
        <w:right w:val="none" w:sz="0" w:space="0" w:color="auto"/>
      </w:divBdr>
    </w:div>
    <w:div w:id="1141730615">
      <w:marLeft w:val="0"/>
      <w:marRight w:val="0"/>
      <w:marTop w:val="180"/>
      <w:marBottom w:val="0"/>
      <w:divBdr>
        <w:top w:val="none" w:sz="0" w:space="0" w:color="auto"/>
        <w:left w:val="none" w:sz="0" w:space="0" w:color="auto"/>
        <w:bottom w:val="none" w:sz="0" w:space="0" w:color="auto"/>
        <w:right w:val="none" w:sz="0" w:space="0" w:color="auto"/>
      </w:divBdr>
    </w:div>
    <w:div w:id="1143813673">
      <w:marLeft w:val="0"/>
      <w:marRight w:val="0"/>
      <w:marTop w:val="0"/>
      <w:marBottom w:val="0"/>
      <w:divBdr>
        <w:top w:val="none" w:sz="0" w:space="0" w:color="auto"/>
        <w:left w:val="none" w:sz="0" w:space="0" w:color="auto"/>
        <w:bottom w:val="none" w:sz="0" w:space="0" w:color="auto"/>
        <w:right w:val="none" w:sz="0" w:space="0" w:color="auto"/>
      </w:divBdr>
    </w:div>
    <w:div w:id="1147816381">
      <w:marLeft w:val="0"/>
      <w:marRight w:val="0"/>
      <w:marTop w:val="200"/>
      <w:marBottom w:val="0"/>
      <w:divBdr>
        <w:top w:val="none" w:sz="0" w:space="0" w:color="auto"/>
        <w:left w:val="none" w:sz="0" w:space="0" w:color="auto"/>
        <w:bottom w:val="none" w:sz="0" w:space="0" w:color="auto"/>
        <w:right w:val="none" w:sz="0" w:space="0" w:color="auto"/>
      </w:divBdr>
    </w:div>
    <w:div w:id="1148325737">
      <w:marLeft w:val="0"/>
      <w:marRight w:val="0"/>
      <w:marTop w:val="0"/>
      <w:marBottom w:val="0"/>
      <w:divBdr>
        <w:top w:val="none" w:sz="0" w:space="0" w:color="auto"/>
        <w:left w:val="none" w:sz="0" w:space="0" w:color="auto"/>
        <w:bottom w:val="none" w:sz="0" w:space="0" w:color="auto"/>
        <w:right w:val="none" w:sz="0" w:space="0" w:color="auto"/>
      </w:divBdr>
      <w:divsChild>
        <w:div w:id="1285041994">
          <w:marLeft w:val="0"/>
          <w:marRight w:val="0"/>
          <w:marTop w:val="0"/>
          <w:marBottom w:val="0"/>
          <w:divBdr>
            <w:top w:val="none" w:sz="0" w:space="0" w:color="auto"/>
            <w:left w:val="none" w:sz="0" w:space="0" w:color="auto"/>
            <w:bottom w:val="none" w:sz="0" w:space="0" w:color="auto"/>
            <w:right w:val="none" w:sz="0" w:space="0" w:color="auto"/>
          </w:divBdr>
        </w:div>
      </w:divsChild>
    </w:div>
    <w:div w:id="1150174800">
      <w:marLeft w:val="0"/>
      <w:marRight w:val="0"/>
      <w:marTop w:val="60"/>
      <w:marBottom w:val="0"/>
      <w:divBdr>
        <w:top w:val="none" w:sz="0" w:space="0" w:color="auto"/>
        <w:left w:val="none" w:sz="0" w:space="0" w:color="auto"/>
        <w:bottom w:val="none" w:sz="0" w:space="0" w:color="auto"/>
        <w:right w:val="none" w:sz="0" w:space="0" w:color="auto"/>
      </w:divBdr>
    </w:div>
    <w:div w:id="1152671973">
      <w:marLeft w:val="0"/>
      <w:marRight w:val="0"/>
      <w:marTop w:val="0"/>
      <w:marBottom w:val="0"/>
      <w:divBdr>
        <w:top w:val="none" w:sz="0" w:space="0" w:color="auto"/>
        <w:left w:val="none" w:sz="0" w:space="0" w:color="auto"/>
        <w:bottom w:val="none" w:sz="0" w:space="0" w:color="auto"/>
        <w:right w:val="none" w:sz="0" w:space="0" w:color="auto"/>
      </w:divBdr>
      <w:divsChild>
        <w:div w:id="1606769168">
          <w:marLeft w:val="0"/>
          <w:marRight w:val="0"/>
          <w:marTop w:val="0"/>
          <w:marBottom w:val="0"/>
          <w:divBdr>
            <w:top w:val="none" w:sz="0" w:space="0" w:color="auto"/>
            <w:left w:val="none" w:sz="0" w:space="0" w:color="auto"/>
            <w:bottom w:val="none" w:sz="0" w:space="0" w:color="auto"/>
            <w:right w:val="none" w:sz="0" w:space="0" w:color="auto"/>
          </w:divBdr>
        </w:div>
      </w:divsChild>
    </w:div>
    <w:div w:id="1157501691">
      <w:marLeft w:val="0"/>
      <w:marRight w:val="0"/>
      <w:marTop w:val="200"/>
      <w:marBottom w:val="0"/>
      <w:divBdr>
        <w:top w:val="none" w:sz="0" w:space="0" w:color="auto"/>
        <w:left w:val="none" w:sz="0" w:space="0" w:color="auto"/>
        <w:bottom w:val="none" w:sz="0" w:space="0" w:color="auto"/>
        <w:right w:val="none" w:sz="0" w:space="0" w:color="auto"/>
      </w:divBdr>
    </w:div>
    <w:div w:id="1157578437">
      <w:marLeft w:val="0"/>
      <w:marRight w:val="0"/>
      <w:marTop w:val="0"/>
      <w:marBottom w:val="0"/>
      <w:divBdr>
        <w:top w:val="none" w:sz="0" w:space="0" w:color="auto"/>
        <w:left w:val="none" w:sz="0" w:space="0" w:color="auto"/>
        <w:bottom w:val="none" w:sz="0" w:space="0" w:color="auto"/>
        <w:right w:val="none" w:sz="0" w:space="0" w:color="auto"/>
      </w:divBdr>
    </w:div>
    <w:div w:id="1159345415">
      <w:marLeft w:val="0"/>
      <w:marRight w:val="0"/>
      <w:marTop w:val="0"/>
      <w:marBottom w:val="0"/>
      <w:divBdr>
        <w:top w:val="none" w:sz="0" w:space="0" w:color="auto"/>
        <w:left w:val="none" w:sz="0" w:space="0" w:color="auto"/>
        <w:bottom w:val="none" w:sz="0" w:space="0" w:color="auto"/>
        <w:right w:val="none" w:sz="0" w:space="0" w:color="auto"/>
      </w:divBdr>
    </w:div>
    <w:div w:id="1160118609">
      <w:marLeft w:val="0"/>
      <w:marRight w:val="0"/>
      <w:marTop w:val="100"/>
      <w:marBottom w:val="0"/>
      <w:divBdr>
        <w:top w:val="none" w:sz="0" w:space="0" w:color="auto"/>
        <w:left w:val="none" w:sz="0" w:space="0" w:color="auto"/>
        <w:bottom w:val="none" w:sz="0" w:space="0" w:color="auto"/>
        <w:right w:val="none" w:sz="0" w:space="0" w:color="auto"/>
      </w:divBdr>
    </w:div>
    <w:div w:id="1161234497">
      <w:marLeft w:val="0"/>
      <w:marRight w:val="0"/>
      <w:marTop w:val="60"/>
      <w:marBottom w:val="0"/>
      <w:divBdr>
        <w:top w:val="none" w:sz="0" w:space="0" w:color="auto"/>
        <w:left w:val="none" w:sz="0" w:space="0" w:color="auto"/>
        <w:bottom w:val="none" w:sz="0" w:space="0" w:color="auto"/>
        <w:right w:val="none" w:sz="0" w:space="0" w:color="auto"/>
      </w:divBdr>
    </w:div>
    <w:div w:id="1162968466">
      <w:marLeft w:val="0"/>
      <w:marRight w:val="0"/>
      <w:marTop w:val="0"/>
      <w:marBottom w:val="160"/>
      <w:divBdr>
        <w:top w:val="none" w:sz="0" w:space="0" w:color="auto"/>
        <w:left w:val="none" w:sz="0" w:space="0" w:color="auto"/>
        <w:bottom w:val="none" w:sz="0" w:space="0" w:color="auto"/>
        <w:right w:val="none" w:sz="0" w:space="0" w:color="auto"/>
      </w:divBdr>
    </w:div>
    <w:div w:id="1163470502">
      <w:marLeft w:val="0"/>
      <w:marRight w:val="0"/>
      <w:marTop w:val="0"/>
      <w:marBottom w:val="0"/>
      <w:divBdr>
        <w:top w:val="none" w:sz="0" w:space="0" w:color="auto"/>
        <w:left w:val="none" w:sz="0" w:space="0" w:color="auto"/>
        <w:bottom w:val="none" w:sz="0" w:space="0" w:color="auto"/>
        <w:right w:val="none" w:sz="0" w:space="0" w:color="auto"/>
      </w:divBdr>
      <w:divsChild>
        <w:div w:id="189488466">
          <w:marLeft w:val="0"/>
          <w:marRight w:val="0"/>
          <w:marTop w:val="0"/>
          <w:marBottom w:val="0"/>
          <w:divBdr>
            <w:top w:val="none" w:sz="0" w:space="0" w:color="auto"/>
            <w:left w:val="none" w:sz="0" w:space="0" w:color="auto"/>
            <w:bottom w:val="none" w:sz="0" w:space="0" w:color="auto"/>
            <w:right w:val="none" w:sz="0" w:space="0" w:color="auto"/>
          </w:divBdr>
        </w:div>
      </w:divsChild>
    </w:div>
    <w:div w:id="1165248524">
      <w:marLeft w:val="0"/>
      <w:marRight w:val="0"/>
      <w:marTop w:val="100"/>
      <w:marBottom w:val="60"/>
      <w:divBdr>
        <w:top w:val="none" w:sz="0" w:space="0" w:color="auto"/>
        <w:left w:val="none" w:sz="0" w:space="0" w:color="auto"/>
        <w:bottom w:val="none" w:sz="0" w:space="0" w:color="auto"/>
        <w:right w:val="none" w:sz="0" w:space="0" w:color="auto"/>
      </w:divBdr>
    </w:div>
    <w:div w:id="1165785837">
      <w:marLeft w:val="0"/>
      <w:marRight w:val="0"/>
      <w:marTop w:val="0"/>
      <w:marBottom w:val="200"/>
      <w:divBdr>
        <w:top w:val="none" w:sz="0" w:space="0" w:color="auto"/>
        <w:left w:val="none" w:sz="0" w:space="0" w:color="auto"/>
        <w:bottom w:val="none" w:sz="0" w:space="0" w:color="auto"/>
        <w:right w:val="none" w:sz="0" w:space="0" w:color="auto"/>
      </w:divBdr>
    </w:div>
    <w:div w:id="1168668619">
      <w:marLeft w:val="0"/>
      <w:marRight w:val="0"/>
      <w:marTop w:val="200"/>
      <w:marBottom w:val="0"/>
      <w:divBdr>
        <w:top w:val="none" w:sz="0" w:space="0" w:color="auto"/>
        <w:left w:val="none" w:sz="0" w:space="0" w:color="auto"/>
        <w:bottom w:val="none" w:sz="0" w:space="0" w:color="auto"/>
        <w:right w:val="none" w:sz="0" w:space="0" w:color="auto"/>
      </w:divBdr>
    </w:div>
    <w:div w:id="1177035828">
      <w:marLeft w:val="0"/>
      <w:marRight w:val="0"/>
      <w:marTop w:val="0"/>
      <w:marBottom w:val="0"/>
      <w:divBdr>
        <w:top w:val="none" w:sz="0" w:space="0" w:color="auto"/>
        <w:left w:val="none" w:sz="0" w:space="0" w:color="auto"/>
        <w:bottom w:val="none" w:sz="0" w:space="0" w:color="auto"/>
        <w:right w:val="none" w:sz="0" w:space="0" w:color="auto"/>
      </w:divBdr>
    </w:div>
    <w:div w:id="1181622739">
      <w:marLeft w:val="0"/>
      <w:marRight w:val="0"/>
      <w:marTop w:val="100"/>
      <w:marBottom w:val="0"/>
      <w:divBdr>
        <w:top w:val="none" w:sz="0" w:space="0" w:color="auto"/>
        <w:left w:val="none" w:sz="0" w:space="0" w:color="auto"/>
        <w:bottom w:val="none" w:sz="0" w:space="0" w:color="auto"/>
        <w:right w:val="none" w:sz="0" w:space="0" w:color="auto"/>
      </w:divBdr>
      <w:divsChild>
        <w:div w:id="1326785442">
          <w:marLeft w:val="0"/>
          <w:marRight w:val="0"/>
          <w:marTop w:val="0"/>
          <w:marBottom w:val="0"/>
          <w:divBdr>
            <w:top w:val="none" w:sz="0" w:space="0" w:color="auto"/>
            <w:left w:val="none" w:sz="0" w:space="0" w:color="auto"/>
            <w:bottom w:val="none" w:sz="0" w:space="0" w:color="auto"/>
            <w:right w:val="none" w:sz="0" w:space="0" w:color="auto"/>
          </w:divBdr>
        </w:div>
        <w:div w:id="466512880">
          <w:marLeft w:val="0"/>
          <w:marRight w:val="0"/>
          <w:marTop w:val="0"/>
          <w:marBottom w:val="0"/>
          <w:divBdr>
            <w:top w:val="none" w:sz="0" w:space="0" w:color="auto"/>
            <w:left w:val="none" w:sz="0" w:space="0" w:color="auto"/>
            <w:bottom w:val="none" w:sz="0" w:space="0" w:color="auto"/>
            <w:right w:val="none" w:sz="0" w:space="0" w:color="auto"/>
          </w:divBdr>
        </w:div>
        <w:div w:id="1897399401">
          <w:marLeft w:val="0"/>
          <w:marRight w:val="0"/>
          <w:marTop w:val="0"/>
          <w:marBottom w:val="0"/>
          <w:divBdr>
            <w:top w:val="none" w:sz="0" w:space="0" w:color="auto"/>
            <w:left w:val="none" w:sz="0" w:space="0" w:color="auto"/>
            <w:bottom w:val="none" w:sz="0" w:space="0" w:color="auto"/>
            <w:right w:val="none" w:sz="0" w:space="0" w:color="auto"/>
          </w:divBdr>
        </w:div>
      </w:divsChild>
    </w:div>
    <w:div w:id="1183931449">
      <w:marLeft w:val="0"/>
      <w:marRight w:val="0"/>
      <w:marTop w:val="0"/>
      <w:marBottom w:val="0"/>
      <w:divBdr>
        <w:top w:val="none" w:sz="0" w:space="0" w:color="auto"/>
        <w:left w:val="none" w:sz="0" w:space="0" w:color="auto"/>
        <w:bottom w:val="none" w:sz="0" w:space="0" w:color="auto"/>
        <w:right w:val="none" w:sz="0" w:space="0" w:color="auto"/>
      </w:divBdr>
      <w:divsChild>
        <w:div w:id="2003894440">
          <w:marLeft w:val="0"/>
          <w:marRight w:val="0"/>
          <w:marTop w:val="0"/>
          <w:marBottom w:val="0"/>
          <w:divBdr>
            <w:top w:val="none" w:sz="0" w:space="0" w:color="auto"/>
            <w:left w:val="none" w:sz="0" w:space="0" w:color="auto"/>
            <w:bottom w:val="none" w:sz="0" w:space="0" w:color="auto"/>
            <w:right w:val="none" w:sz="0" w:space="0" w:color="auto"/>
          </w:divBdr>
        </w:div>
        <w:div w:id="647129741">
          <w:marLeft w:val="0"/>
          <w:marRight w:val="0"/>
          <w:marTop w:val="0"/>
          <w:marBottom w:val="0"/>
          <w:divBdr>
            <w:top w:val="none" w:sz="0" w:space="0" w:color="auto"/>
            <w:left w:val="none" w:sz="0" w:space="0" w:color="auto"/>
            <w:bottom w:val="none" w:sz="0" w:space="0" w:color="auto"/>
            <w:right w:val="none" w:sz="0" w:space="0" w:color="auto"/>
          </w:divBdr>
        </w:div>
      </w:divsChild>
    </w:div>
    <w:div w:id="1185510813">
      <w:marLeft w:val="0"/>
      <w:marRight w:val="0"/>
      <w:marTop w:val="0"/>
      <w:marBottom w:val="0"/>
      <w:divBdr>
        <w:top w:val="none" w:sz="0" w:space="0" w:color="auto"/>
        <w:left w:val="none" w:sz="0" w:space="0" w:color="auto"/>
        <w:bottom w:val="none" w:sz="0" w:space="0" w:color="auto"/>
        <w:right w:val="none" w:sz="0" w:space="0" w:color="auto"/>
      </w:divBdr>
      <w:divsChild>
        <w:div w:id="1207983130">
          <w:marLeft w:val="0"/>
          <w:marRight w:val="0"/>
          <w:marTop w:val="0"/>
          <w:marBottom w:val="0"/>
          <w:divBdr>
            <w:top w:val="none" w:sz="0" w:space="0" w:color="auto"/>
            <w:left w:val="none" w:sz="0" w:space="0" w:color="auto"/>
            <w:bottom w:val="none" w:sz="0" w:space="0" w:color="auto"/>
            <w:right w:val="none" w:sz="0" w:space="0" w:color="auto"/>
          </w:divBdr>
        </w:div>
        <w:div w:id="92627260">
          <w:marLeft w:val="0"/>
          <w:marRight w:val="0"/>
          <w:marTop w:val="0"/>
          <w:marBottom w:val="0"/>
          <w:divBdr>
            <w:top w:val="none" w:sz="0" w:space="0" w:color="auto"/>
            <w:left w:val="none" w:sz="0" w:space="0" w:color="auto"/>
            <w:bottom w:val="none" w:sz="0" w:space="0" w:color="auto"/>
            <w:right w:val="none" w:sz="0" w:space="0" w:color="auto"/>
          </w:divBdr>
        </w:div>
        <w:div w:id="1892572590">
          <w:marLeft w:val="0"/>
          <w:marRight w:val="0"/>
          <w:marTop w:val="0"/>
          <w:marBottom w:val="0"/>
          <w:divBdr>
            <w:top w:val="none" w:sz="0" w:space="0" w:color="auto"/>
            <w:left w:val="none" w:sz="0" w:space="0" w:color="auto"/>
            <w:bottom w:val="none" w:sz="0" w:space="0" w:color="auto"/>
            <w:right w:val="none" w:sz="0" w:space="0" w:color="auto"/>
          </w:divBdr>
        </w:div>
        <w:div w:id="2041975014">
          <w:marLeft w:val="0"/>
          <w:marRight w:val="0"/>
          <w:marTop w:val="0"/>
          <w:marBottom w:val="0"/>
          <w:divBdr>
            <w:top w:val="none" w:sz="0" w:space="0" w:color="auto"/>
            <w:left w:val="none" w:sz="0" w:space="0" w:color="auto"/>
            <w:bottom w:val="none" w:sz="0" w:space="0" w:color="auto"/>
            <w:right w:val="none" w:sz="0" w:space="0" w:color="auto"/>
          </w:divBdr>
        </w:div>
      </w:divsChild>
    </w:div>
    <w:div w:id="1186292393">
      <w:marLeft w:val="0"/>
      <w:marRight w:val="0"/>
      <w:marTop w:val="0"/>
      <w:marBottom w:val="0"/>
      <w:divBdr>
        <w:top w:val="none" w:sz="0" w:space="0" w:color="auto"/>
        <w:left w:val="none" w:sz="0" w:space="0" w:color="auto"/>
        <w:bottom w:val="none" w:sz="0" w:space="0" w:color="auto"/>
        <w:right w:val="none" w:sz="0" w:space="0" w:color="auto"/>
      </w:divBdr>
      <w:divsChild>
        <w:div w:id="176233699">
          <w:marLeft w:val="0"/>
          <w:marRight w:val="0"/>
          <w:marTop w:val="0"/>
          <w:marBottom w:val="0"/>
          <w:divBdr>
            <w:top w:val="none" w:sz="0" w:space="0" w:color="auto"/>
            <w:left w:val="none" w:sz="0" w:space="0" w:color="auto"/>
            <w:bottom w:val="none" w:sz="0" w:space="0" w:color="auto"/>
            <w:right w:val="none" w:sz="0" w:space="0" w:color="auto"/>
          </w:divBdr>
        </w:div>
      </w:divsChild>
    </w:div>
    <w:div w:id="1187212441">
      <w:marLeft w:val="0"/>
      <w:marRight w:val="0"/>
      <w:marTop w:val="0"/>
      <w:marBottom w:val="160"/>
      <w:divBdr>
        <w:top w:val="none" w:sz="0" w:space="0" w:color="auto"/>
        <w:left w:val="none" w:sz="0" w:space="0" w:color="auto"/>
        <w:bottom w:val="none" w:sz="0" w:space="0" w:color="auto"/>
        <w:right w:val="none" w:sz="0" w:space="0" w:color="auto"/>
      </w:divBdr>
    </w:div>
    <w:div w:id="1188717160">
      <w:marLeft w:val="0"/>
      <w:marRight w:val="0"/>
      <w:marTop w:val="0"/>
      <w:marBottom w:val="0"/>
      <w:divBdr>
        <w:top w:val="none" w:sz="0" w:space="0" w:color="auto"/>
        <w:left w:val="none" w:sz="0" w:space="0" w:color="auto"/>
        <w:bottom w:val="none" w:sz="0" w:space="0" w:color="auto"/>
        <w:right w:val="none" w:sz="0" w:space="0" w:color="auto"/>
      </w:divBdr>
      <w:divsChild>
        <w:div w:id="443691208">
          <w:marLeft w:val="0"/>
          <w:marRight w:val="0"/>
          <w:marTop w:val="0"/>
          <w:marBottom w:val="0"/>
          <w:divBdr>
            <w:top w:val="none" w:sz="0" w:space="0" w:color="auto"/>
            <w:left w:val="none" w:sz="0" w:space="0" w:color="auto"/>
            <w:bottom w:val="none" w:sz="0" w:space="0" w:color="auto"/>
            <w:right w:val="none" w:sz="0" w:space="0" w:color="auto"/>
          </w:divBdr>
        </w:div>
        <w:div w:id="1986815034">
          <w:marLeft w:val="0"/>
          <w:marRight w:val="0"/>
          <w:marTop w:val="0"/>
          <w:marBottom w:val="0"/>
          <w:divBdr>
            <w:top w:val="none" w:sz="0" w:space="0" w:color="auto"/>
            <w:left w:val="none" w:sz="0" w:space="0" w:color="auto"/>
            <w:bottom w:val="none" w:sz="0" w:space="0" w:color="auto"/>
            <w:right w:val="none" w:sz="0" w:space="0" w:color="auto"/>
          </w:divBdr>
        </w:div>
        <w:div w:id="716585649">
          <w:marLeft w:val="0"/>
          <w:marRight w:val="0"/>
          <w:marTop w:val="0"/>
          <w:marBottom w:val="0"/>
          <w:divBdr>
            <w:top w:val="none" w:sz="0" w:space="0" w:color="auto"/>
            <w:left w:val="none" w:sz="0" w:space="0" w:color="auto"/>
            <w:bottom w:val="none" w:sz="0" w:space="0" w:color="auto"/>
            <w:right w:val="none" w:sz="0" w:space="0" w:color="auto"/>
          </w:divBdr>
        </w:div>
        <w:div w:id="1106845930">
          <w:marLeft w:val="0"/>
          <w:marRight w:val="0"/>
          <w:marTop w:val="0"/>
          <w:marBottom w:val="0"/>
          <w:divBdr>
            <w:top w:val="none" w:sz="0" w:space="0" w:color="auto"/>
            <w:left w:val="none" w:sz="0" w:space="0" w:color="auto"/>
            <w:bottom w:val="none" w:sz="0" w:space="0" w:color="auto"/>
            <w:right w:val="none" w:sz="0" w:space="0" w:color="auto"/>
          </w:divBdr>
        </w:div>
      </w:divsChild>
    </w:div>
    <w:div w:id="1193956768">
      <w:marLeft w:val="0"/>
      <w:marRight w:val="0"/>
      <w:marTop w:val="0"/>
      <w:marBottom w:val="0"/>
      <w:divBdr>
        <w:top w:val="none" w:sz="0" w:space="0" w:color="auto"/>
        <w:left w:val="none" w:sz="0" w:space="0" w:color="auto"/>
        <w:bottom w:val="none" w:sz="0" w:space="0" w:color="auto"/>
        <w:right w:val="none" w:sz="0" w:space="0" w:color="auto"/>
      </w:divBdr>
    </w:div>
    <w:div w:id="1194347739">
      <w:marLeft w:val="0"/>
      <w:marRight w:val="0"/>
      <w:marTop w:val="0"/>
      <w:marBottom w:val="0"/>
      <w:divBdr>
        <w:top w:val="none" w:sz="0" w:space="0" w:color="auto"/>
        <w:left w:val="none" w:sz="0" w:space="0" w:color="auto"/>
        <w:bottom w:val="none" w:sz="0" w:space="0" w:color="auto"/>
        <w:right w:val="none" w:sz="0" w:space="0" w:color="auto"/>
      </w:divBdr>
      <w:divsChild>
        <w:div w:id="1698384933">
          <w:marLeft w:val="0"/>
          <w:marRight w:val="0"/>
          <w:marTop w:val="0"/>
          <w:marBottom w:val="0"/>
          <w:divBdr>
            <w:top w:val="none" w:sz="0" w:space="0" w:color="auto"/>
            <w:left w:val="none" w:sz="0" w:space="0" w:color="auto"/>
            <w:bottom w:val="none" w:sz="0" w:space="0" w:color="auto"/>
            <w:right w:val="none" w:sz="0" w:space="0" w:color="auto"/>
          </w:divBdr>
        </w:div>
      </w:divsChild>
    </w:div>
    <w:div w:id="1195121843">
      <w:marLeft w:val="0"/>
      <w:marRight w:val="0"/>
      <w:marTop w:val="200"/>
      <w:marBottom w:val="0"/>
      <w:divBdr>
        <w:top w:val="none" w:sz="0" w:space="0" w:color="auto"/>
        <w:left w:val="none" w:sz="0" w:space="0" w:color="auto"/>
        <w:bottom w:val="none" w:sz="0" w:space="0" w:color="auto"/>
        <w:right w:val="none" w:sz="0" w:space="0" w:color="auto"/>
      </w:divBdr>
    </w:div>
    <w:div w:id="1199247126">
      <w:marLeft w:val="0"/>
      <w:marRight w:val="0"/>
      <w:marTop w:val="0"/>
      <w:marBottom w:val="0"/>
      <w:divBdr>
        <w:top w:val="none" w:sz="0" w:space="0" w:color="auto"/>
        <w:left w:val="none" w:sz="0" w:space="0" w:color="auto"/>
        <w:bottom w:val="none" w:sz="0" w:space="0" w:color="auto"/>
        <w:right w:val="none" w:sz="0" w:space="0" w:color="auto"/>
      </w:divBdr>
    </w:div>
    <w:div w:id="1200361375">
      <w:marLeft w:val="0"/>
      <w:marRight w:val="0"/>
      <w:marTop w:val="0"/>
      <w:marBottom w:val="0"/>
      <w:divBdr>
        <w:top w:val="none" w:sz="0" w:space="0" w:color="auto"/>
        <w:left w:val="none" w:sz="0" w:space="0" w:color="auto"/>
        <w:bottom w:val="none" w:sz="0" w:space="0" w:color="auto"/>
        <w:right w:val="none" w:sz="0" w:space="0" w:color="auto"/>
      </w:divBdr>
    </w:div>
    <w:div w:id="1201354841">
      <w:marLeft w:val="0"/>
      <w:marRight w:val="0"/>
      <w:marTop w:val="0"/>
      <w:marBottom w:val="0"/>
      <w:divBdr>
        <w:top w:val="none" w:sz="0" w:space="0" w:color="auto"/>
        <w:left w:val="none" w:sz="0" w:space="0" w:color="auto"/>
        <w:bottom w:val="none" w:sz="0" w:space="0" w:color="auto"/>
        <w:right w:val="none" w:sz="0" w:space="0" w:color="auto"/>
      </w:divBdr>
    </w:div>
    <w:div w:id="1202547174">
      <w:marLeft w:val="0"/>
      <w:marRight w:val="0"/>
      <w:marTop w:val="200"/>
      <w:marBottom w:val="0"/>
      <w:divBdr>
        <w:top w:val="none" w:sz="0" w:space="0" w:color="auto"/>
        <w:left w:val="none" w:sz="0" w:space="0" w:color="auto"/>
        <w:bottom w:val="none" w:sz="0" w:space="0" w:color="auto"/>
        <w:right w:val="none" w:sz="0" w:space="0" w:color="auto"/>
      </w:divBdr>
    </w:div>
    <w:div w:id="1202982101">
      <w:marLeft w:val="0"/>
      <w:marRight w:val="0"/>
      <w:marTop w:val="200"/>
      <w:marBottom w:val="0"/>
      <w:divBdr>
        <w:top w:val="none" w:sz="0" w:space="0" w:color="auto"/>
        <w:left w:val="none" w:sz="0" w:space="0" w:color="auto"/>
        <w:bottom w:val="none" w:sz="0" w:space="0" w:color="auto"/>
        <w:right w:val="none" w:sz="0" w:space="0" w:color="auto"/>
      </w:divBdr>
    </w:div>
    <w:div w:id="1204291191">
      <w:marLeft w:val="0"/>
      <w:marRight w:val="0"/>
      <w:marTop w:val="0"/>
      <w:marBottom w:val="0"/>
      <w:divBdr>
        <w:top w:val="none" w:sz="0" w:space="0" w:color="auto"/>
        <w:left w:val="none" w:sz="0" w:space="0" w:color="auto"/>
        <w:bottom w:val="none" w:sz="0" w:space="0" w:color="auto"/>
        <w:right w:val="none" w:sz="0" w:space="0" w:color="auto"/>
      </w:divBdr>
    </w:div>
    <w:div w:id="1205021605">
      <w:marLeft w:val="0"/>
      <w:marRight w:val="0"/>
      <w:marTop w:val="0"/>
      <w:marBottom w:val="0"/>
      <w:divBdr>
        <w:top w:val="none" w:sz="0" w:space="0" w:color="auto"/>
        <w:left w:val="none" w:sz="0" w:space="0" w:color="auto"/>
        <w:bottom w:val="none" w:sz="0" w:space="0" w:color="auto"/>
        <w:right w:val="none" w:sz="0" w:space="0" w:color="auto"/>
      </w:divBdr>
    </w:div>
    <w:div w:id="1207135612">
      <w:marLeft w:val="0"/>
      <w:marRight w:val="0"/>
      <w:marTop w:val="0"/>
      <w:marBottom w:val="0"/>
      <w:divBdr>
        <w:top w:val="none" w:sz="0" w:space="0" w:color="auto"/>
        <w:left w:val="none" w:sz="0" w:space="0" w:color="auto"/>
        <w:bottom w:val="none" w:sz="0" w:space="0" w:color="auto"/>
        <w:right w:val="none" w:sz="0" w:space="0" w:color="auto"/>
      </w:divBdr>
      <w:divsChild>
        <w:div w:id="1144472516">
          <w:marLeft w:val="0"/>
          <w:marRight w:val="0"/>
          <w:marTop w:val="0"/>
          <w:marBottom w:val="0"/>
          <w:divBdr>
            <w:top w:val="none" w:sz="0" w:space="0" w:color="auto"/>
            <w:left w:val="none" w:sz="0" w:space="0" w:color="auto"/>
            <w:bottom w:val="none" w:sz="0" w:space="0" w:color="auto"/>
            <w:right w:val="none" w:sz="0" w:space="0" w:color="auto"/>
          </w:divBdr>
        </w:div>
      </w:divsChild>
    </w:div>
    <w:div w:id="1207721266">
      <w:marLeft w:val="0"/>
      <w:marRight w:val="0"/>
      <w:marTop w:val="40"/>
      <w:marBottom w:val="0"/>
      <w:divBdr>
        <w:top w:val="none" w:sz="0" w:space="0" w:color="auto"/>
        <w:left w:val="none" w:sz="0" w:space="0" w:color="auto"/>
        <w:bottom w:val="none" w:sz="0" w:space="0" w:color="auto"/>
        <w:right w:val="none" w:sz="0" w:space="0" w:color="auto"/>
      </w:divBdr>
    </w:div>
    <w:div w:id="1207909635">
      <w:marLeft w:val="0"/>
      <w:marRight w:val="0"/>
      <w:marTop w:val="200"/>
      <w:marBottom w:val="0"/>
      <w:divBdr>
        <w:top w:val="none" w:sz="0" w:space="0" w:color="auto"/>
        <w:left w:val="none" w:sz="0" w:space="0" w:color="auto"/>
        <w:bottom w:val="none" w:sz="0" w:space="0" w:color="auto"/>
        <w:right w:val="none" w:sz="0" w:space="0" w:color="auto"/>
      </w:divBdr>
    </w:div>
    <w:div w:id="1210604653">
      <w:marLeft w:val="0"/>
      <w:marRight w:val="0"/>
      <w:marTop w:val="0"/>
      <w:marBottom w:val="0"/>
      <w:divBdr>
        <w:top w:val="none" w:sz="0" w:space="0" w:color="auto"/>
        <w:left w:val="none" w:sz="0" w:space="0" w:color="auto"/>
        <w:bottom w:val="none" w:sz="0" w:space="0" w:color="auto"/>
        <w:right w:val="none" w:sz="0" w:space="0" w:color="auto"/>
      </w:divBdr>
      <w:divsChild>
        <w:div w:id="1029112474">
          <w:marLeft w:val="0"/>
          <w:marRight w:val="0"/>
          <w:marTop w:val="0"/>
          <w:marBottom w:val="0"/>
          <w:divBdr>
            <w:top w:val="none" w:sz="0" w:space="0" w:color="auto"/>
            <w:left w:val="none" w:sz="0" w:space="0" w:color="auto"/>
            <w:bottom w:val="none" w:sz="0" w:space="0" w:color="auto"/>
            <w:right w:val="none" w:sz="0" w:space="0" w:color="auto"/>
          </w:divBdr>
        </w:div>
      </w:divsChild>
    </w:div>
    <w:div w:id="1212032616">
      <w:marLeft w:val="0"/>
      <w:marRight w:val="0"/>
      <w:marTop w:val="200"/>
      <w:marBottom w:val="0"/>
      <w:divBdr>
        <w:top w:val="none" w:sz="0" w:space="0" w:color="auto"/>
        <w:left w:val="none" w:sz="0" w:space="0" w:color="auto"/>
        <w:bottom w:val="none" w:sz="0" w:space="0" w:color="auto"/>
        <w:right w:val="none" w:sz="0" w:space="0" w:color="auto"/>
      </w:divBdr>
    </w:div>
    <w:div w:id="1214390045">
      <w:marLeft w:val="0"/>
      <w:marRight w:val="0"/>
      <w:marTop w:val="0"/>
      <w:marBottom w:val="200"/>
      <w:divBdr>
        <w:top w:val="none" w:sz="0" w:space="0" w:color="auto"/>
        <w:left w:val="none" w:sz="0" w:space="0" w:color="auto"/>
        <w:bottom w:val="none" w:sz="0" w:space="0" w:color="auto"/>
        <w:right w:val="none" w:sz="0" w:space="0" w:color="auto"/>
      </w:divBdr>
    </w:div>
    <w:div w:id="1214461246">
      <w:marLeft w:val="0"/>
      <w:marRight w:val="0"/>
      <w:marTop w:val="200"/>
      <w:marBottom w:val="0"/>
      <w:divBdr>
        <w:top w:val="none" w:sz="0" w:space="0" w:color="auto"/>
        <w:left w:val="none" w:sz="0" w:space="0" w:color="auto"/>
        <w:bottom w:val="none" w:sz="0" w:space="0" w:color="auto"/>
        <w:right w:val="none" w:sz="0" w:space="0" w:color="auto"/>
      </w:divBdr>
    </w:div>
    <w:div w:id="1217280347">
      <w:marLeft w:val="0"/>
      <w:marRight w:val="0"/>
      <w:marTop w:val="60"/>
      <w:marBottom w:val="0"/>
      <w:divBdr>
        <w:top w:val="none" w:sz="0" w:space="0" w:color="auto"/>
        <w:left w:val="none" w:sz="0" w:space="0" w:color="auto"/>
        <w:bottom w:val="none" w:sz="0" w:space="0" w:color="auto"/>
        <w:right w:val="none" w:sz="0" w:space="0" w:color="auto"/>
      </w:divBdr>
    </w:div>
    <w:div w:id="1219897224">
      <w:marLeft w:val="0"/>
      <w:marRight w:val="0"/>
      <w:marTop w:val="0"/>
      <w:marBottom w:val="0"/>
      <w:divBdr>
        <w:top w:val="none" w:sz="0" w:space="0" w:color="auto"/>
        <w:left w:val="none" w:sz="0" w:space="0" w:color="auto"/>
        <w:bottom w:val="none" w:sz="0" w:space="0" w:color="auto"/>
        <w:right w:val="none" w:sz="0" w:space="0" w:color="auto"/>
      </w:divBdr>
    </w:div>
    <w:div w:id="1223826895">
      <w:marLeft w:val="0"/>
      <w:marRight w:val="0"/>
      <w:marTop w:val="0"/>
      <w:marBottom w:val="0"/>
      <w:divBdr>
        <w:top w:val="none" w:sz="0" w:space="0" w:color="auto"/>
        <w:left w:val="none" w:sz="0" w:space="0" w:color="auto"/>
        <w:bottom w:val="none" w:sz="0" w:space="0" w:color="auto"/>
        <w:right w:val="none" w:sz="0" w:space="0" w:color="auto"/>
      </w:divBdr>
    </w:div>
    <w:div w:id="1227035128">
      <w:marLeft w:val="0"/>
      <w:marRight w:val="0"/>
      <w:marTop w:val="200"/>
      <w:marBottom w:val="0"/>
      <w:divBdr>
        <w:top w:val="none" w:sz="0" w:space="0" w:color="auto"/>
        <w:left w:val="none" w:sz="0" w:space="0" w:color="auto"/>
        <w:bottom w:val="none" w:sz="0" w:space="0" w:color="auto"/>
        <w:right w:val="none" w:sz="0" w:space="0" w:color="auto"/>
      </w:divBdr>
    </w:div>
    <w:div w:id="1229264757">
      <w:marLeft w:val="0"/>
      <w:marRight w:val="0"/>
      <w:marTop w:val="200"/>
      <w:marBottom w:val="0"/>
      <w:divBdr>
        <w:top w:val="none" w:sz="0" w:space="0" w:color="auto"/>
        <w:left w:val="none" w:sz="0" w:space="0" w:color="auto"/>
        <w:bottom w:val="none" w:sz="0" w:space="0" w:color="auto"/>
        <w:right w:val="none" w:sz="0" w:space="0" w:color="auto"/>
      </w:divBdr>
    </w:div>
    <w:div w:id="1230461596">
      <w:marLeft w:val="0"/>
      <w:marRight w:val="0"/>
      <w:marTop w:val="0"/>
      <w:marBottom w:val="200"/>
      <w:divBdr>
        <w:top w:val="none" w:sz="0" w:space="0" w:color="auto"/>
        <w:left w:val="none" w:sz="0" w:space="0" w:color="auto"/>
        <w:bottom w:val="none" w:sz="0" w:space="0" w:color="auto"/>
        <w:right w:val="none" w:sz="0" w:space="0" w:color="auto"/>
      </w:divBdr>
    </w:div>
    <w:div w:id="1230768794">
      <w:marLeft w:val="0"/>
      <w:marRight w:val="0"/>
      <w:marTop w:val="0"/>
      <w:marBottom w:val="0"/>
      <w:divBdr>
        <w:top w:val="none" w:sz="0" w:space="0" w:color="auto"/>
        <w:left w:val="none" w:sz="0" w:space="0" w:color="auto"/>
        <w:bottom w:val="none" w:sz="0" w:space="0" w:color="auto"/>
        <w:right w:val="none" w:sz="0" w:space="0" w:color="auto"/>
      </w:divBdr>
      <w:divsChild>
        <w:div w:id="255138479">
          <w:marLeft w:val="0"/>
          <w:marRight w:val="0"/>
          <w:marTop w:val="0"/>
          <w:marBottom w:val="0"/>
          <w:divBdr>
            <w:top w:val="none" w:sz="0" w:space="0" w:color="auto"/>
            <w:left w:val="none" w:sz="0" w:space="0" w:color="auto"/>
            <w:bottom w:val="none" w:sz="0" w:space="0" w:color="auto"/>
            <w:right w:val="none" w:sz="0" w:space="0" w:color="auto"/>
          </w:divBdr>
        </w:div>
      </w:divsChild>
    </w:div>
    <w:div w:id="1236818014">
      <w:marLeft w:val="0"/>
      <w:marRight w:val="0"/>
      <w:marTop w:val="100"/>
      <w:marBottom w:val="0"/>
      <w:divBdr>
        <w:top w:val="none" w:sz="0" w:space="0" w:color="auto"/>
        <w:left w:val="none" w:sz="0" w:space="0" w:color="auto"/>
        <w:bottom w:val="none" w:sz="0" w:space="0" w:color="auto"/>
        <w:right w:val="none" w:sz="0" w:space="0" w:color="auto"/>
      </w:divBdr>
    </w:div>
    <w:div w:id="1238050942">
      <w:marLeft w:val="0"/>
      <w:marRight w:val="0"/>
      <w:marTop w:val="0"/>
      <w:marBottom w:val="0"/>
      <w:divBdr>
        <w:top w:val="none" w:sz="0" w:space="0" w:color="auto"/>
        <w:left w:val="none" w:sz="0" w:space="0" w:color="auto"/>
        <w:bottom w:val="none" w:sz="0" w:space="0" w:color="auto"/>
        <w:right w:val="none" w:sz="0" w:space="0" w:color="auto"/>
      </w:divBdr>
      <w:divsChild>
        <w:div w:id="1352336202">
          <w:marLeft w:val="0"/>
          <w:marRight w:val="0"/>
          <w:marTop w:val="0"/>
          <w:marBottom w:val="0"/>
          <w:divBdr>
            <w:top w:val="none" w:sz="0" w:space="0" w:color="auto"/>
            <w:left w:val="none" w:sz="0" w:space="0" w:color="auto"/>
            <w:bottom w:val="none" w:sz="0" w:space="0" w:color="auto"/>
            <w:right w:val="none" w:sz="0" w:space="0" w:color="auto"/>
          </w:divBdr>
        </w:div>
      </w:divsChild>
    </w:div>
    <w:div w:id="1239291824">
      <w:marLeft w:val="0"/>
      <w:marRight w:val="0"/>
      <w:marTop w:val="0"/>
      <w:marBottom w:val="0"/>
      <w:divBdr>
        <w:top w:val="none" w:sz="0" w:space="0" w:color="auto"/>
        <w:left w:val="none" w:sz="0" w:space="0" w:color="auto"/>
        <w:bottom w:val="none" w:sz="0" w:space="0" w:color="auto"/>
        <w:right w:val="none" w:sz="0" w:space="0" w:color="auto"/>
      </w:divBdr>
      <w:divsChild>
        <w:div w:id="868756251">
          <w:marLeft w:val="0"/>
          <w:marRight w:val="0"/>
          <w:marTop w:val="0"/>
          <w:marBottom w:val="0"/>
          <w:divBdr>
            <w:top w:val="none" w:sz="0" w:space="0" w:color="auto"/>
            <w:left w:val="none" w:sz="0" w:space="0" w:color="auto"/>
            <w:bottom w:val="none" w:sz="0" w:space="0" w:color="auto"/>
            <w:right w:val="none" w:sz="0" w:space="0" w:color="auto"/>
          </w:divBdr>
        </w:div>
      </w:divsChild>
    </w:div>
    <w:div w:id="1239902198">
      <w:marLeft w:val="0"/>
      <w:marRight w:val="0"/>
      <w:marTop w:val="0"/>
      <w:marBottom w:val="0"/>
      <w:divBdr>
        <w:top w:val="none" w:sz="0" w:space="0" w:color="auto"/>
        <w:left w:val="none" w:sz="0" w:space="0" w:color="auto"/>
        <w:bottom w:val="none" w:sz="0" w:space="0" w:color="auto"/>
        <w:right w:val="none" w:sz="0" w:space="0" w:color="auto"/>
      </w:divBdr>
      <w:divsChild>
        <w:div w:id="549264164">
          <w:marLeft w:val="0"/>
          <w:marRight w:val="0"/>
          <w:marTop w:val="0"/>
          <w:marBottom w:val="0"/>
          <w:divBdr>
            <w:top w:val="none" w:sz="0" w:space="0" w:color="auto"/>
            <w:left w:val="none" w:sz="0" w:space="0" w:color="auto"/>
            <w:bottom w:val="none" w:sz="0" w:space="0" w:color="auto"/>
            <w:right w:val="none" w:sz="0" w:space="0" w:color="auto"/>
          </w:divBdr>
        </w:div>
      </w:divsChild>
    </w:div>
    <w:div w:id="1241522493">
      <w:marLeft w:val="0"/>
      <w:marRight w:val="0"/>
      <w:marTop w:val="0"/>
      <w:marBottom w:val="0"/>
      <w:divBdr>
        <w:top w:val="none" w:sz="0" w:space="0" w:color="auto"/>
        <w:left w:val="none" w:sz="0" w:space="0" w:color="auto"/>
        <w:bottom w:val="none" w:sz="0" w:space="0" w:color="auto"/>
        <w:right w:val="none" w:sz="0" w:space="0" w:color="auto"/>
      </w:divBdr>
      <w:divsChild>
        <w:div w:id="1038628606">
          <w:marLeft w:val="0"/>
          <w:marRight w:val="0"/>
          <w:marTop w:val="0"/>
          <w:marBottom w:val="0"/>
          <w:divBdr>
            <w:top w:val="none" w:sz="0" w:space="0" w:color="auto"/>
            <w:left w:val="none" w:sz="0" w:space="0" w:color="auto"/>
            <w:bottom w:val="none" w:sz="0" w:space="0" w:color="auto"/>
            <w:right w:val="none" w:sz="0" w:space="0" w:color="auto"/>
          </w:divBdr>
        </w:div>
      </w:divsChild>
    </w:div>
    <w:div w:id="1241719845">
      <w:marLeft w:val="0"/>
      <w:marRight w:val="0"/>
      <w:marTop w:val="0"/>
      <w:marBottom w:val="0"/>
      <w:divBdr>
        <w:top w:val="none" w:sz="0" w:space="0" w:color="auto"/>
        <w:left w:val="none" w:sz="0" w:space="0" w:color="auto"/>
        <w:bottom w:val="none" w:sz="0" w:space="0" w:color="auto"/>
        <w:right w:val="none" w:sz="0" w:space="0" w:color="auto"/>
      </w:divBdr>
    </w:div>
    <w:div w:id="1243029240">
      <w:marLeft w:val="0"/>
      <w:marRight w:val="0"/>
      <w:marTop w:val="0"/>
      <w:marBottom w:val="0"/>
      <w:divBdr>
        <w:top w:val="none" w:sz="0" w:space="0" w:color="auto"/>
        <w:left w:val="none" w:sz="0" w:space="0" w:color="auto"/>
        <w:bottom w:val="none" w:sz="0" w:space="0" w:color="auto"/>
        <w:right w:val="none" w:sz="0" w:space="0" w:color="auto"/>
      </w:divBdr>
      <w:divsChild>
        <w:div w:id="631404661">
          <w:marLeft w:val="0"/>
          <w:marRight w:val="0"/>
          <w:marTop w:val="0"/>
          <w:marBottom w:val="0"/>
          <w:divBdr>
            <w:top w:val="none" w:sz="0" w:space="0" w:color="auto"/>
            <w:left w:val="none" w:sz="0" w:space="0" w:color="auto"/>
            <w:bottom w:val="none" w:sz="0" w:space="0" w:color="auto"/>
            <w:right w:val="none" w:sz="0" w:space="0" w:color="auto"/>
          </w:divBdr>
        </w:div>
      </w:divsChild>
    </w:div>
    <w:div w:id="1243487850">
      <w:marLeft w:val="0"/>
      <w:marRight w:val="0"/>
      <w:marTop w:val="0"/>
      <w:marBottom w:val="200"/>
      <w:divBdr>
        <w:top w:val="none" w:sz="0" w:space="0" w:color="auto"/>
        <w:left w:val="none" w:sz="0" w:space="0" w:color="auto"/>
        <w:bottom w:val="none" w:sz="0" w:space="0" w:color="auto"/>
        <w:right w:val="none" w:sz="0" w:space="0" w:color="auto"/>
      </w:divBdr>
    </w:div>
    <w:div w:id="1243762172">
      <w:marLeft w:val="0"/>
      <w:marRight w:val="0"/>
      <w:marTop w:val="0"/>
      <w:marBottom w:val="160"/>
      <w:divBdr>
        <w:top w:val="none" w:sz="0" w:space="0" w:color="auto"/>
        <w:left w:val="none" w:sz="0" w:space="0" w:color="auto"/>
        <w:bottom w:val="none" w:sz="0" w:space="0" w:color="auto"/>
        <w:right w:val="none" w:sz="0" w:space="0" w:color="auto"/>
      </w:divBdr>
    </w:div>
    <w:div w:id="1245140138">
      <w:marLeft w:val="0"/>
      <w:marRight w:val="0"/>
      <w:marTop w:val="0"/>
      <w:marBottom w:val="0"/>
      <w:divBdr>
        <w:top w:val="none" w:sz="0" w:space="0" w:color="auto"/>
        <w:left w:val="none" w:sz="0" w:space="0" w:color="auto"/>
        <w:bottom w:val="none" w:sz="0" w:space="0" w:color="auto"/>
        <w:right w:val="none" w:sz="0" w:space="0" w:color="auto"/>
      </w:divBdr>
    </w:div>
    <w:div w:id="1245459718">
      <w:marLeft w:val="0"/>
      <w:marRight w:val="0"/>
      <w:marTop w:val="0"/>
      <w:marBottom w:val="0"/>
      <w:divBdr>
        <w:top w:val="none" w:sz="0" w:space="0" w:color="auto"/>
        <w:left w:val="none" w:sz="0" w:space="0" w:color="auto"/>
        <w:bottom w:val="none" w:sz="0" w:space="0" w:color="auto"/>
        <w:right w:val="none" w:sz="0" w:space="0" w:color="auto"/>
      </w:divBdr>
      <w:divsChild>
        <w:div w:id="900605339">
          <w:marLeft w:val="0"/>
          <w:marRight w:val="0"/>
          <w:marTop w:val="0"/>
          <w:marBottom w:val="0"/>
          <w:divBdr>
            <w:top w:val="none" w:sz="0" w:space="0" w:color="auto"/>
            <w:left w:val="none" w:sz="0" w:space="0" w:color="auto"/>
            <w:bottom w:val="none" w:sz="0" w:space="0" w:color="auto"/>
            <w:right w:val="none" w:sz="0" w:space="0" w:color="auto"/>
          </w:divBdr>
        </w:div>
      </w:divsChild>
    </w:div>
    <w:div w:id="1245526050">
      <w:marLeft w:val="0"/>
      <w:marRight w:val="0"/>
      <w:marTop w:val="0"/>
      <w:marBottom w:val="0"/>
      <w:divBdr>
        <w:top w:val="none" w:sz="0" w:space="0" w:color="auto"/>
        <w:left w:val="none" w:sz="0" w:space="0" w:color="auto"/>
        <w:bottom w:val="none" w:sz="0" w:space="0" w:color="auto"/>
        <w:right w:val="none" w:sz="0" w:space="0" w:color="auto"/>
      </w:divBdr>
      <w:divsChild>
        <w:div w:id="615479610">
          <w:marLeft w:val="0"/>
          <w:marRight w:val="0"/>
          <w:marTop w:val="0"/>
          <w:marBottom w:val="0"/>
          <w:divBdr>
            <w:top w:val="none" w:sz="0" w:space="0" w:color="auto"/>
            <w:left w:val="none" w:sz="0" w:space="0" w:color="auto"/>
            <w:bottom w:val="none" w:sz="0" w:space="0" w:color="auto"/>
            <w:right w:val="none" w:sz="0" w:space="0" w:color="auto"/>
          </w:divBdr>
        </w:div>
      </w:divsChild>
    </w:div>
    <w:div w:id="1246919700">
      <w:marLeft w:val="0"/>
      <w:marRight w:val="0"/>
      <w:marTop w:val="100"/>
      <w:marBottom w:val="0"/>
      <w:divBdr>
        <w:top w:val="none" w:sz="0" w:space="0" w:color="auto"/>
        <w:left w:val="none" w:sz="0" w:space="0" w:color="auto"/>
        <w:bottom w:val="none" w:sz="0" w:space="0" w:color="auto"/>
        <w:right w:val="none" w:sz="0" w:space="0" w:color="auto"/>
      </w:divBdr>
    </w:div>
    <w:div w:id="1251548616">
      <w:marLeft w:val="0"/>
      <w:marRight w:val="0"/>
      <w:marTop w:val="0"/>
      <w:marBottom w:val="0"/>
      <w:divBdr>
        <w:top w:val="none" w:sz="0" w:space="0" w:color="auto"/>
        <w:left w:val="none" w:sz="0" w:space="0" w:color="auto"/>
        <w:bottom w:val="none" w:sz="0" w:space="0" w:color="auto"/>
        <w:right w:val="none" w:sz="0" w:space="0" w:color="auto"/>
      </w:divBdr>
      <w:divsChild>
        <w:div w:id="519782453">
          <w:marLeft w:val="0"/>
          <w:marRight w:val="0"/>
          <w:marTop w:val="0"/>
          <w:marBottom w:val="0"/>
          <w:divBdr>
            <w:top w:val="none" w:sz="0" w:space="0" w:color="auto"/>
            <w:left w:val="none" w:sz="0" w:space="0" w:color="auto"/>
            <w:bottom w:val="none" w:sz="0" w:space="0" w:color="auto"/>
            <w:right w:val="none" w:sz="0" w:space="0" w:color="auto"/>
          </w:divBdr>
        </w:div>
      </w:divsChild>
    </w:div>
    <w:div w:id="1251815928">
      <w:marLeft w:val="0"/>
      <w:marRight w:val="0"/>
      <w:marTop w:val="0"/>
      <w:marBottom w:val="0"/>
      <w:divBdr>
        <w:top w:val="none" w:sz="0" w:space="0" w:color="auto"/>
        <w:left w:val="none" w:sz="0" w:space="0" w:color="auto"/>
        <w:bottom w:val="none" w:sz="0" w:space="0" w:color="auto"/>
        <w:right w:val="none" w:sz="0" w:space="0" w:color="auto"/>
      </w:divBdr>
      <w:divsChild>
        <w:div w:id="1671177641">
          <w:marLeft w:val="0"/>
          <w:marRight w:val="0"/>
          <w:marTop w:val="0"/>
          <w:marBottom w:val="0"/>
          <w:divBdr>
            <w:top w:val="none" w:sz="0" w:space="0" w:color="auto"/>
            <w:left w:val="none" w:sz="0" w:space="0" w:color="auto"/>
            <w:bottom w:val="none" w:sz="0" w:space="0" w:color="auto"/>
            <w:right w:val="none" w:sz="0" w:space="0" w:color="auto"/>
          </w:divBdr>
        </w:div>
      </w:divsChild>
    </w:div>
    <w:div w:id="1251960653">
      <w:marLeft w:val="0"/>
      <w:marRight w:val="0"/>
      <w:marTop w:val="0"/>
      <w:marBottom w:val="0"/>
      <w:divBdr>
        <w:top w:val="none" w:sz="0" w:space="0" w:color="auto"/>
        <w:left w:val="none" w:sz="0" w:space="0" w:color="auto"/>
        <w:bottom w:val="none" w:sz="0" w:space="0" w:color="auto"/>
        <w:right w:val="none" w:sz="0" w:space="0" w:color="auto"/>
      </w:divBdr>
      <w:divsChild>
        <w:div w:id="430246392">
          <w:marLeft w:val="0"/>
          <w:marRight w:val="0"/>
          <w:marTop w:val="0"/>
          <w:marBottom w:val="0"/>
          <w:divBdr>
            <w:top w:val="none" w:sz="0" w:space="0" w:color="auto"/>
            <w:left w:val="none" w:sz="0" w:space="0" w:color="auto"/>
            <w:bottom w:val="none" w:sz="0" w:space="0" w:color="auto"/>
            <w:right w:val="none" w:sz="0" w:space="0" w:color="auto"/>
          </w:divBdr>
        </w:div>
        <w:div w:id="16122649">
          <w:marLeft w:val="0"/>
          <w:marRight w:val="0"/>
          <w:marTop w:val="0"/>
          <w:marBottom w:val="0"/>
          <w:divBdr>
            <w:top w:val="none" w:sz="0" w:space="0" w:color="auto"/>
            <w:left w:val="none" w:sz="0" w:space="0" w:color="auto"/>
            <w:bottom w:val="none" w:sz="0" w:space="0" w:color="auto"/>
            <w:right w:val="none" w:sz="0" w:space="0" w:color="auto"/>
          </w:divBdr>
        </w:div>
        <w:div w:id="1783720112">
          <w:marLeft w:val="0"/>
          <w:marRight w:val="0"/>
          <w:marTop w:val="0"/>
          <w:marBottom w:val="0"/>
          <w:divBdr>
            <w:top w:val="none" w:sz="0" w:space="0" w:color="auto"/>
            <w:left w:val="none" w:sz="0" w:space="0" w:color="auto"/>
            <w:bottom w:val="none" w:sz="0" w:space="0" w:color="auto"/>
            <w:right w:val="none" w:sz="0" w:space="0" w:color="auto"/>
          </w:divBdr>
        </w:div>
        <w:div w:id="1339701003">
          <w:marLeft w:val="0"/>
          <w:marRight w:val="0"/>
          <w:marTop w:val="0"/>
          <w:marBottom w:val="0"/>
          <w:divBdr>
            <w:top w:val="none" w:sz="0" w:space="0" w:color="auto"/>
            <w:left w:val="none" w:sz="0" w:space="0" w:color="auto"/>
            <w:bottom w:val="none" w:sz="0" w:space="0" w:color="auto"/>
            <w:right w:val="none" w:sz="0" w:space="0" w:color="auto"/>
          </w:divBdr>
        </w:div>
      </w:divsChild>
    </w:div>
    <w:div w:id="1252663367">
      <w:marLeft w:val="0"/>
      <w:marRight w:val="0"/>
      <w:marTop w:val="120"/>
      <w:marBottom w:val="0"/>
      <w:divBdr>
        <w:top w:val="none" w:sz="0" w:space="0" w:color="auto"/>
        <w:left w:val="none" w:sz="0" w:space="0" w:color="auto"/>
        <w:bottom w:val="none" w:sz="0" w:space="0" w:color="auto"/>
        <w:right w:val="none" w:sz="0" w:space="0" w:color="auto"/>
      </w:divBdr>
    </w:div>
    <w:div w:id="1253734498">
      <w:marLeft w:val="0"/>
      <w:marRight w:val="0"/>
      <w:marTop w:val="100"/>
      <w:marBottom w:val="0"/>
      <w:divBdr>
        <w:top w:val="none" w:sz="0" w:space="0" w:color="auto"/>
        <w:left w:val="none" w:sz="0" w:space="0" w:color="auto"/>
        <w:bottom w:val="none" w:sz="0" w:space="0" w:color="auto"/>
        <w:right w:val="none" w:sz="0" w:space="0" w:color="auto"/>
      </w:divBdr>
    </w:div>
    <w:div w:id="1257061864">
      <w:marLeft w:val="0"/>
      <w:marRight w:val="0"/>
      <w:marTop w:val="0"/>
      <w:marBottom w:val="0"/>
      <w:divBdr>
        <w:top w:val="none" w:sz="0" w:space="0" w:color="auto"/>
        <w:left w:val="none" w:sz="0" w:space="0" w:color="auto"/>
        <w:bottom w:val="none" w:sz="0" w:space="0" w:color="auto"/>
        <w:right w:val="none" w:sz="0" w:space="0" w:color="auto"/>
      </w:divBdr>
    </w:div>
    <w:div w:id="1258367515">
      <w:marLeft w:val="0"/>
      <w:marRight w:val="0"/>
      <w:marTop w:val="0"/>
      <w:marBottom w:val="0"/>
      <w:divBdr>
        <w:top w:val="none" w:sz="0" w:space="0" w:color="auto"/>
        <w:left w:val="none" w:sz="0" w:space="0" w:color="auto"/>
        <w:bottom w:val="none" w:sz="0" w:space="0" w:color="auto"/>
        <w:right w:val="none" w:sz="0" w:space="0" w:color="auto"/>
      </w:divBdr>
    </w:div>
    <w:div w:id="1263224269">
      <w:marLeft w:val="0"/>
      <w:marRight w:val="0"/>
      <w:marTop w:val="100"/>
      <w:marBottom w:val="60"/>
      <w:divBdr>
        <w:top w:val="none" w:sz="0" w:space="0" w:color="auto"/>
        <w:left w:val="none" w:sz="0" w:space="0" w:color="auto"/>
        <w:bottom w:val="none" w:sz="0" w:space="0" w:color="auto"/>
        <w:right w:val="none" w:sz="0" w:space="0" w:color="auto"/>
      </w:divBdr>
      <w:divsChild>
        <w:div w:id="1682320051">
          <w:marLeft w:val="0"/>
          <w:marRight w:val="0"/>
          <w:marTop w:val="0"/>
          <w:marBottom w:val="0"/>
          <w:divBdr>
            <w:top w:val="none" w:sz="0" w:space="0" w:color="auto"/>
            <w:left w:val="none" w:sz="0" w:space="0" w:color="auto"/>
            <w:bottom w:val="none" w:sz="0" w:space="0" w:color="auto"/>
            <w:right w:val="none" w:sz="0" w:space="0" w:color="auto"/>
          </w:divBdr>
        </w:div>
        <w:div w:id="526141329">
          <w:marLeft w:val="0"/>
          <w:marRight w:val="0"/>
          <w:marTop w:val="0"/>
          <w:marBottom w:val="0"/>
          <w:divBdr>
            <w:top w:val="none" w:sz="0" w:space="0" w:color="auto"/>
            <w:left w:val="none" w:sz="0" w:space="0" w:color="auto"/>
            <w:bottom w:val="none" w:sz="0" w:space="0" w:color="auto"/>
            <w:right w:val="none" w:sz="0" w:space="0" w:color="auto"/>
          </w:divBdr>
        </w:div>
        <w:div w:id="342435159">
          <w:marLeft w:val="0"/>
          <w:marRight w:val="0"/>
          <w:marTop w:val="0"/>
          <w:marBottom w:val="0"/>
          <w:divBdr>
            <w:top w:val="none" w:sz="0" w:space="0" w:color="auto"/>
            <w:left w:val="none" w:sz="0" w:space="0" w:color="auto"/>
            <w:bottom w:val="none" w:sz="0" w:space="0" w:color="auto"/>
            <w:right w:val="none" w:sz="0" w:space="0" w:color="auto"/>
          </w:divBdr>
        </w:div>
        <w:div w:id="504707047">
          <w:marLeft w:val="0"/>
          <w:marRight w:val="0"/>
          <w:marTop w:val="0"/>
          <w:marBottom w:val="0"/>
          <w:divBdr>
            <w:top w:val="none" w:sz="0" w:space="0" w:color="auto"/>
            <w:left w:val="none" w:sz="0" w:space="0" w:color="auto"/>
            <w:bottom w:val="none" w:sz="0" w:space="0" w:color="auto"/>
            <w:right w:val="none" w:sz="0" w:space="0" w:color="auto"/>
          </w:divBdr>
        </w:div>
        <w:div w:id="624849624">
          <w:marLeft w:val="0"/>
          <w:marRight w:val="0"/>
          <w:marTop w:val="0"/>
          <w:marBottom w:val="0"/>
          <w:divBdr>
            <w:top w:val="none" w:sz="0" w:space="0" w:color="auto"/>
            <w:left w:val="none" w:sz="0" w:space="0" w:color="auto"/>
            <w:bottom w:val="none" w:sz="0" w:space="0" w:color="auto"/>
            <w:right w:val="none" w:sz="0" w:space="0" w:color="auto"/>
          </w:divBdr>
        </w:div>
        <w:div w:id="64880758">
          <w:marLeft w:val="0"/>
          <w:marRight w:val="0"/>
          <w:marTop w:val="0"/>
          <w:marBottom w:val="0"/>
          <w:divBdr>
            <w:top w:val="none" w:sz="0" w:space="0" w:color="auto"/>
            <w:left w:val="none" w:sz="0" w:space="0" w:color="auto"/>
            <w:bottom w:val="none" w:sz="0" w:space="0" w:color="auto"/>
            <w:right w:val="none" w:sz="0" w:space="0" w:color="auto"/>
          </w:divBdr>
        </w:div>
        <w:div w:id="890503972">
          <w:marLeft w:val="0"/>
          <w:marRight w:val="0"/>
          <w:marTop w:val="0"/>
          <w:marBottom w:val="0"/>
          <w:divBdr>
            <w:top w:val="none" w:sz="0" w:space="0" w:color="auto"/>
            <w:left w:val="none" w:sz="0" w:space="0" w:color="auto"/>
            <w:bottom w:val="none" w:sz="0" w:space="0" w:color="auto"/>
            <w:right w:val="none" w:sz="0" w:space="0" w:color="auto"/>
          </w:divBdr>
        </w:div>
        <w:div w:id="2137216350">
          <w:marLeft w:val="0"/>
          <w:marRight w:val="0"/>
          <w:marTop w:val="0"/>
          <w:marBottom w:val="0"/>
          <w:divBdr>
            <w:top w:val="none" w:sz="0" w:space="0" w:color="auto"/>
            <w:left w:val="none" w:sz="0" w:space="0" w:color="auto"/>
            <w:bottom w:val="none" w:sz="0" w:space="0" w:color="auto"/>
            <w:right w:val="none" w:sz="0" w:space="0" w:color="auto"/>
          </w:divBdr>
        </w:div>
        <w:div w:id="118498162">
          <w:marLeft w:val="0"/>
          <w:marRight w:val="0"/>
          <w:marTop w:val="0"/>
          <w:marBottom w:val="0"/>
          <w:divBdr>
            <w:top w:val="none" w:sz="0" w:space="0" w:color="auto"/>
            <w:left w:val="none" w:sz="0" w:space="0" w:color="auto"/>
            <w:bottom w:val="none" w:sz="0" w:space="0" w:color="auto"/>
            <w:right w:val="none" w:sz="0" w:space="0" w:color="auto"/>
          </w:divBdr>
        </w:div>
        <w:div w:id="1809543245">
          <w:marLeft w:val="0"/>
          <w:marRight w:val="0"/>
          <w:marTop w:val="0"/>
          <w:marBottom w:val="0"/>
          <w:divBdr>
            <w:top w:val="none" w:sz="0" w:space="0" w:color="auto"/>
            <w:left w:val="none" w:sz="0" w:space="0" w:color="auto"/>
            <w:bottom w:val="none" w:sz="0" w:space="0" w:color="auto"/>
            <w:right w:val="none" w:sz="0" w:space="0" w:color="auto"/>
          </w:divBdr>
        </w:div>
        <w:div w:id="1711689836">
          <w:marLeft w:val="0"/>
          <w:marRight w:val="0"/>
          <w:marTop w:val="0"/>
          <w:marBottom w:val="0"/>
          <w:divBdr>
            <w:top w:val="none" w:sz="0" w:space="0" w:color="auto"/>
            <w:left w:val="none" w:sz="0" w:space="0" w:color="auto"/>
            <w:bottom w:val="none" w:sz="0" w:space="0" w:color="auto"/>
            <w:right w:val="none" w:sz="0" w:space="0" w:color="auto"/>
          </w:divBdr>
        </w:div>
        <w:div w:id="1610241762">
          <w:marLeft w:val="0"/>
          <w:marRight w:val="0"/>
          <w:marTop w:val="0"/>
          <w:marBottom w:val="0"/>
          <w:divBdr>
            <w:top w:val="none" w:sz="0" w:space="0" w:color="auto"/>
            <w:left w:val="none" w:sz="0" w:space="0" w:color="auto"/>
            <w:bottom w:val="none" w:sz="0" w:space="0" w:color="auto"/>
            <w:right w:val="none" w:sz="0" w:space="0" w:color="auto"/>
          </w:divBdr>
        </w:div>
        <w:div w:id="920605999">
          <w:marLeft w:val="0"/>
          <w:marRight w:val="0"/>
          <w:marTop w:val="0"/>
          <w:marBottom w:val="0"/>
          <w:divBdr>
            <w:top w:val="none" w:sz="0" w:space="0" w:color="auto"/>
            <w:left w:val="none" w:sz="0" w:space="0" w:color="auto"/>
            <w:bottom w:val="none" w:sz="0" w:space="0" w:color="auto"/>
            <w:right w:val="none" w:sz="0" w:space="0" w:color="auto"/>
          </w:divBdr>
        </w:div>
        <w:div w:id="473177199">
          <w:marLeft w:val="0"/>
          <w:marRight w:val="0"/>
          <w:marTop w:val="0"/>
          <w:marBottom w:val="0"/>
          <w:divBdr>
            <w:top w:val="none" w:sz="0" w:space="0" w:color="auto"/>
            <w:left w:val="none" w:sz="0" w:space="0" w:color="auto"/>
            <w:bottom w:val="none" w:sz="0" w:space="0" w:color="auto"/>
            <w:right w:val="none" w:sz="0" w:space="0" w:color="auto"/>
          </w:divBdr>
        </w:div>
        <w:div w:id="1314220446">
          <w:marLeft w:val="0"/>
          <w:marRight w:val="0"/>
          <w:marTop w:val="0"/>
          <w:marBottom w:val="0"/>
          <w:divBdr>
            <w:top w:val="none" w:sz="0" w:space="0" w:color="auto"/>
            <w:left w:val="none" w:sz="0" w:space="0" w:color="auto"/>
            <w:bottom w:val="none" w:sz="0" w:space="0" w:color="auto"/>
            <w:right w:val="none" w:sz="0" w:space="0" w:color="auto"/>
          </w:divBdr>
        </w:div>
        <w:div w:id="2073038607">
          <w:marLeft w:val="0"/>
          <w:marRight w:val="0"/>
          <w:marTop w:val="0"/>
          <w:marBottom w:val="0"/>
          <w:divBdr>
            <w:top w:val="none" w:sz="0" w:space="0" w:color="auto"/>
            <w:left w:val="none" w:sz="0" w:space="0" w:color="auto"/>
            <w:bottom w:val="none" w:sz="0" w:space="0" w:color="auto"/>
            <w:right w:val="none" w:sz="0" w:space="0" w:color="auto"/>
          </w:divBdr>
        </w:div>
      </w:divsChild>
    </w:div>
    <w:div w:id="1267277176">
      <w:marLeft w:val="0"/>
      <w:marRight w:val="0"/>
      <w:marTop w:val="0"/>
      <w:marBottom w:val="0"/>
      <w:divBdr>
        <w:top w:val="none" w:sz="0" w:space="0" w:color="auto"/>
        <w:left w:val="none" w:sz="0" w:space="0" w:color="auto"/>
        <w:bottom w:val="none" w:sz="0" w:space="0" w:color="auto"/>
        <w:right w:val="none" w:sz="0" w:space="0" w:color="auto"/>
      </w:divBdr>
    </w:div>
    <w:div w:id="1267614948">
      <w:marLeft w:val="0"/>
      <w:marRight w:val="0"/>
      <w:marTop w:val="0"/>
      <w:marBottom w:val="0"/>
      <w:divBdr>
        <w:top w:val="none" w:sz="0" w:space="0" w:color="auto"/>
        <w:left w:val="none" w:sz="0" w:space="0" w:color="auto"/>
        <w:bottom w:val="none" w:sz="0" w:space="0" w:color="auto"/>
        <w:right w:val="none" w:sz="0" w:space="0" w:color="auto"/>
      </w:divBdr>
      <w:divsChild>
        <w:div w:id="1737363239">
          <w:marLeft w:val="0"/>
          <w:marRight w:val="0"/>
          <w:marTop w:val="0"/>
          <w:marBottom w:val="0"/>
          <w:divBdr>
            <w:top w:val="none" w:sz="0" w:space="0" w:color="auto"/>
            <w:left w:val="none" w:sz="0" w:space="0" w:color="auto"/>
            <w:bottom w:val="none" w:sz="0" w:space="0" w:color="auto"/>
            <w:right w:val="none" w:sz="0" w:space="0" w:color="auto"/>
          </w:divBdr>
        </w:div>
      </w:divsChild>
    </w:div>
    <w:div w:id="1271627335">
      <w:marLeft w:val="0"/>
      <w:marRight w:val="0"/>
      <w:marTop w:val="100"/>
      <w:marBottom w:val="0"/>
      <w:divBdr>
        <w:top w:val="none" w:sz="0" w:space="0" w:color="auto"/>
        <w:left w:val="none" w:sz="0" w:space="0" w:color="auto"/>
        <w:bottom w:val="none" w:sz="0" w:space="0" w:color="auto"/>
        <w:right w:val="none" w:sz="0" w:space="0" w:color="auto"/>
      </w:divBdr>
    </w:div>
    <w:div w:id="1271820965">
      <w:marLeft w:val="0"/>
      <w:marRight w:val="0"/>
      <w:marTop w:val="0"/>
      <w:marBottom w:val="0"/>
      <w:divBdr>
        <w:top w:val="none" w:sz="0" w:space="0" w:color="auto"/>
        <w:left w:val="none" w:sz="0" w:space="0" w:color="auto"/>
        <w:bottom w:val="none" w:sz="0" w:space="0" w:color="auto"/>
        <w:right w:val="none" w:sz="0" w:space="0" w:color="auto"/>
      </w:divBdr>
      <w:divsChild>
        <w:div w:id="480735322">
          <w:marLeft w:val="0"/>
          <w:marRight w:val="0"/>
          <w:marTop w:val="0"/>
          <w:marBottom w:val="0"/>
          <w:divBdr>
            <w:top w:val="none" w:sz="0" w:space="0" w:color="auto"/>
            <w:left w:val="none" w:sz="0" w:space="0" w:color="auto"/>
            <w:bottom w:val="none" w:sz="0" w:space="0" w:color="auto"/>
            <w:right w:val="none" w:sz="0" w:space="0" w:color="auto"/>
          </w:divBdr>
        </w:div>
      </w:divsChild>
    </w:div>
    <w:div w:id="1272200276">
      <w:marLeft w:val="0"/>
      <w:marRight w:val="0"/>
      <w:marTop w:val="0"/>
      <w:marBottom w:val="0"/>
      <w:divBdr>
        <w:top w:val="none" w:sz="0" w:space="0" w:color="auto"/>
        <w:left w:val="none" w:sz="0" w:space="0" w:color="auto"/>
        <w:bottom w:val="none" w:sz="0" w:space="0" w:color="auto"/>
        <w:right w:val="none" w:sz="0" w:space="0" w:color="auto"/>
      </w:divBdr>
    </w:div>
    <w:div w:id="1284268921">
      <w:marLeft w:val="0"/>
      <w:marRight w:val="0"/>
      <w:marTop w:val="0"/>
      <w:marBottom w:val="0"/>
      <w:divBdr>
        <w:top w:val="none" w:sz="0" w:space="0" w:color="auto"/>
        <w:left w:val="none" w:sz="0" w:space="0" w:color="auto"/>
        <w:bottom w:val="none" w:sz="0" w:space="0" w:color="auto"/>
        <w:right w:val="none" w:sz="0" w:space="0" w:color="auto"/>
      </w:divBdr>
      <w:divsChild>
        <w:div w:id="2075472531">
          <w:marLeft w:val="0"/>
          <w:marRight w:val="0"/>
          <w:marTop w:val="0"/>
          <w:marBottom w:val="0"/>
          <w:divBdr>
            <w:top w:val="none" w:sz="0" w:space="0" w:color="auto"/>
            <w:left w:val="none" w:sz="0" w:space="0" w:color="auto"/>
            <w:bottom w:val="none" w:sz="0" w:space="0" w:color="auto"/>
            <w:right w:val="none" w:sz="0" w:space="0" w:color="auto"/>
          </w:divBdr>
        </w:div>
      </w:divsChild>
    </w:div>
    <w:div w:id="1286278802">
      <w:marLeft w:val="0"/>
      <w:marRight w:val="0"/>
      <w:marTop w:val="0"/>
      <w:marBottom w:val="0"/>
      <w:divBdr>
        <w:top w:val="none" w:sz="0" w:space="0" w:color="auto"/>
        <w:left w:val="none" w:sz="0" w:space="0" w:color="auto"/>
        <w:bottom w:val="none" w:sz="0" w:space="0" w:color="auto"/>
        <w:right w:val="none" w:sz="0" w:space="0" w:color="auto"/>
      </w:divBdr>
    </w:div>
    <w:div w:id="1290165326">
      <w:marLeft w:val="0"/>
      <w:marRight w:val="0"/>
      <w:marTop w:val="0"/>
      <w:marBottom w:val="0"/>
      <w:divBdr>
        <w:top w:val="none" w:sz="0" w:space="0" w:color="auto"/>
        <w:left w:val="none" w:sz="0" w:space="0" w:color="auto"/>
        <w:bottom w:val="none" w:sz="0" w:space="0" w:color="auto"/>
        <w:right w:val="none" w:sz="0" w:space="0" w:color="auto"/>
      </w:divBdr>
    </w:div>
    <w:div w:id="1290744375">
      <w:marLeft w:val="0"/>
      <w:marRight w:val="0"/>
      <w:marTop w:val="200"/>
      <w:marBottom w:val="0"/>
      <w:divBdr>
        <w:top w:val="none" w:sz="0" w:space="0" w:color="auto"/>
        <w:left w:val="none" w:sz="0" w:space="0" w:color="auto"/>
        <w:bottom w:val="none" w:sz="0" w:space="0" w:color="auto"/>
        <w:right w:val="none" w:sz="0" w:space="0" w:color="auto"/>
      </w:divBdr>
    </w:div>
    <w:div w:id="1293752322">
      <w:marLeft w:val="0"/>
      <w:marRight w:val="0"/>
      <w:marTop w:val="0"/>
      <w:marBottom w:val="0"/>
      <w:divBdr>
        <w:top w:val="none" w:sz="0" w:space="0" w:color="auto"/>
        <w:left w:val="none" w:sz="0" w:space="0" w:color="auto"/>
        <w:bottom w:val="none" w:sz="0" w:space="0" w:color="auto"/>
        <w:right w:val="none" w:sz="0" w:space="0" w:color="auto"/>
      </w:divBdr>
    </w:div>
    <w:div w:id="1295866004">
      <w:marLeft w:val="0"/>
      <w:marRight w:val="0"/>
      <w:marTop w:val="0"/>
      <w:marBottom w:val="0"/>
      <w:divBdr>
        <w:top w:val="none" w:sz="0" w:space="0" w:color="auto"/>
        <w:left w:val="none" w:sz="0" w:space="0" w:color="auto"/>
        <w:bottom w:val="none" w:sz="0" w:space="0" w:color="auto"/>
        <w:right w:val="none" w:sz="0" w:space="0" w:color="auto"/>
      </w:divBdr>
      <w:divsChild>
        <w:div w:id="1133788502">
          <w:marLeft w:val="0"/>
          <w:marRight w:val="0"/>
          <w:marTop w:val="0"/>
          <w:marBottom w:val="0"/>
          <w:divBdr>
            <w:top w:val="none" w:sz="0" w:space="0" w:color="auto"/>
            <w:left w:val="none" w:sz="0" w:space="0" w:color="auto"/>
            <w:bottom w:val="none" w:sz="0" w:space="0" w:color="auto"/>
            <w:right w:val="none" w:sz="0" w:space="0" w:color="auto"/>
          </w:divBdr>
        </w:div>
        <w:div w:id="400907685">
          <w:marLeft w:val="0"/>
          <w:marRight w:val="0"/>
          <w:marTop w:val="0"/>
          <w:marBottom w:val="0"/>
          <w:divBdr>
            <w:top w:val="none" w:sz="0" w:space="0" w:color="auto"/>
            <w:left w:val="none" w:sz="0" w:space="0" w:color="auto"/>
            <w:bottom w:val="none" w:sz="0" w:space="0" w:color="auto"/>
            <w:right w:val="none" w:sz="0" w:space="0" w:color="auto"/>
          </w:divBdr>
        </w:div>
        <w:div w:id="650214380">
          <w:marLeft w:val="0"/>
          <w:marRight w:val="0"/>
          <w:marTop w:val="0"/>
          <w:marBottom w:val="0"/>
          <w:divBdr>
            <w:top w:val="none" w:sz="0" w:space="0" w:color="auto"/>
            <w:left w:val="none" w:sz="0" w:space="0" w:color="auto"/>
            <w:bottom w:val="none" w:sz="0" w:space="0" w:color="auto"/>
            <w:right w:val="none" w:sz="0" w:space="0" w:color="auto"/>
          </w:divBdr>
        </w:div>
        <w:div w:id="1286304781">
          <w:marLeft w:val="0"/>
          <w:marRight w:val="0"/>
          <w:marTop w:val="0"/>
          <w:marBottom w:val="0"/>
          <w:divBdr>
            <w:top w:val="none" w:sz="0" w:space="0" w:color="auto"/>
            <w:left w:val="none" w:sz="0" w:space="0" w:color="auto"/>
            <w:bottom w:val="none" w:sz="0" w:space="0" w:color="auto"/>
            <w:right w:val="none" w:sz="0" w:space="0" w:color="auto"/>
          </w:divBdr>
        </w:div>
      </w:divsChild>
    </w:div>
    <w:div w:id="1295868425">
      <w:marLeft w:val="0"/>
      <w:marRight w:val="0"/>
      <w:marTop w:val="200"/>
      <w:marBottom w:val="0"/>
      <w:divBdr>
        <w:top w:val="none" w:sz="0" w:space="0" w:color="auto"/>
        <w:left w:val="none" w:sz="0" w:space="0" w:color="auto"/>
        <w:bottom w:val="none" w:sz="0" w:space="0" w:color="auto"/>
        <w:right w:val="none" w:sz="0" w:space="0" w:color="auto"/>
      </w:divBdr>
    </w:div>
    <w:div w:id="1295871443">
      <w:marLeft w:val="0"/>
      <w:marRight w:val="0"/>
      <w:marTop w:val="0"/>
      <w:marBottom w:val="0"/>
      <w:divBdr>
        <w:top w:val="none" w:sz="0" w:space="0" w:color="auto"/>
        <w:left w:val="none" w:sz="0" w:space="0" w:color="auto"/>
        <w:bottom w:val="none" w:sz="0" w:space="0" w:color="auto"/>
        <w:right w:val="none" w:sz="0" w:space="0" w:color="auto"/>
      </w:divBdr>
      <w:divsChild>
        <w:div w:id="1574192528">
          <w:marLeft w:val="0"/>
          <w:marRight w:val="0"/>
          <w:marTop w:val="0"/>
          <w:marBottom w:val="0"/>
          <w:divBdr>
            <w:top w:val="none" w:sz="0" w:space="0" w:color="auto"/>
            <w:left w:val="none" w:sz="0" w:space="0" w:color="auto"/>
            <w:bottom w:val="none" w:sz="0" w:space="0" w:color="auto"/>
            <w:right w:val="none" w:sz="0" w:space="0" w:color="auto"/>
          </w:divBdr>
        </w:div>
      </w:divsChild>
    </w:div>
    <w:div w:id="1297685868">
      <w:marLeft w:val="0"/>
      <w:marRight w:val="0"/>
      <w:marTop w:val="0"/>
      <w:marBottom w:val="0"/>
      <w:divBdr>
        <w:top w:val="none" w:sz="0" w:space="0" w:color="auto"/>
        <w:left w:val="none" w:sz="0" w:space="0" w:color="auto"/>
        <w:bottom w:val="none" w:sz="0" w:space="0" w:color="auto"/>
        <w:right w:val="none" w:sz="0" w:space="0" w:color="auto"/>
      </w:divBdr>
      <w:divsChild>
        <w:div w:id="1368066227">
          <w:marLeft w:val="0"/>
          <w:marRight w:val="0"/>
          <w:marTop w:val="0"/>
          <w:marBottom w:val="0"/>
          <w:divBdr>
            <w:top w:val="none" w:sz="0" w:space="0" w:color="auto"/>
            <w:left w:val="none" w:sz="0" w:space="0" w:color="auto"/>
            <w:bottom w:val="none" w:sz="0" w:space="0" w:color="auto"/>
            <w:right w:val="none" w:sz="0" w:space="0" w:color="auto"/>
          </w:divBdr>
        </w:div>
      </w:divsChild>
    </w:div>
    <w:div w:id="1298074878">
      <w:marLeft w:val="0"/>
      <w:marRight w:val="0"/>
      <w:marTop w:val="0"/>
      <w:marBottom w:val="0"/>
      <w:divBdr>
        <w:top w:val="none" w:sz="0" w:space="0" w:color="auto"/>
        <w:left w:val="none" w:sz="0" w:space="0" w:color="auto"/>
        <w:bottom w:val="none" w:sz="0" w:space="0" w:color="auto"/>
        <w:right w:val="none" w:sz="0" w:space="0" w:color="auto"/>
      </w:divBdr>
    </w:div>
    <w:div w:id="1299412031">
      <w:marLeft w:val="0"/>
      <w:marRight w:val="0"/>
      <w:marTop w:val="60"/>
      <w:marBottom w:val="0"/>
      <w:divBdr>
        <w:top w:val="none" w:sz="0" w:space="0" w:color="auto"/>
        <w:left w:val="none" w:sz="0" w:space="0" w:color="auto"/>
        <w:bottom w:val="none" w:sz="0" w:space="0" w:color="auto"/>
        <w:right w:val="none" w:sz="0" w:space="0" w:color="auto"/>
      </w:divBdr>
    </w:div>
    <w:div w:id="1301419990">
      <w:marLeft w:val="0"/>
      <w:marRight w:val="0"/>
      <w:marTop w:val="200"/>
      <w:marBottom w:val="0"/>
      <w:divBdr>
        <w:top w:val="none" w:sz="0" w:space="0" w:color="auto"/>
        <w:left w:val="none" w:sz="0" w:space="0" w:color="auto"/>
        <w:bottom w:val="none" w:sz="0" w:space="0" w:color="auto"/>
        <w:right w:val="none" w:sz="0" w:space="0" w:color="auto"/>
      </w:divBdr>
    </w:div>
    <w:div w:id="1303195099">
      <w:marLeft w:val="0"/>
      <w:marRight w:val="0"/>
      <w:marTop w:val="200"/>
      <w:marBottom w:val="0"/>
      <w:divBdr>
        <w:top w:val="none" w:sz="0" w:space="0" w:color="auto"/>
        <w:left w:val="none" w:sz="0" w:space="0" w:color="auto"/>
        <w:bottom w:val="none" w:sz="0" w:space="0" w:color="auto"/>
        <w:right w:val="none" w:sz="0" w:space="0" w:color="auto"/>
      </w:divBdr>
    </w:div>
    <w:div w:id="1305348803">
      <w:marLeft w:val="0"/>
      <w:marRight w:val="0"/>
      <w:marTop w:val="0"/>
      <w:marBottom w:val="0"/>
      <w:divBdr>
        <w:top w:val="none" w:sz="0" w:space="0" w:color="auto"/>
        <w:left w:val="none" w:sz="0" w:space="0" w:color="auto"/>
        <w:bottom w:val="none" w:sz="0" w:space="0" w:color="auto"/>
        <w:right w:val="none" w:sz="0" w:space="0" w:color="auto"/>
      </w:divBdr>
      <w:divsChild>
        <w:div w:id="1510440313">
          <w:marLeft w:val="0"/>
          <w:marRight w:val="0"/>
          <w:marTop w:val="0"/>
          <w:marBottom w:val="0"/>
          <w:divBdr>
            <w:top w:val="none" w:sz="0" w:space="0" w:color="auto"/>
            <w:left w:val="none" w:sz="0" w:space="0" w:color="auto"/>
            <w:bottom w:val="none" w:sz="0" w:space="0" w:color="auto"/>
            <w:right w:val="none" w:sz="0" w:space="0" w:color="auto"/>
          </w:divBdr>
        </w:div>
        <w:div w:id="1263687015">
          <w:marLeft w:val="0"/>
          <w:marRight w:val="0"/>
          <w:marTop w:val="0"/>
          <w:marBottom w:val="0"/>
          <w:divBdr>
            <w:top w:val="none" w:sz="0" w:space="0" w:color="auto"/>
            <w:left w:val="none" w:sz="0" w:space="0" w:color="auto"/>
            <w:bottom w:val="none" w:sz="0" w:space="0" w:color="auto"/>
            <w:right w:val="none" w:sz="0" w:space="0" w:color="auto"/>
          </w:divBdr>
        </w:div>
        <w:div w:id="2077125137">
          <w:marLeft w:val="0"/>
          <w:marRight w:val="0"/>
          <w:marTop w:val="0"/>
          <w:marBottom w:val="0"/>
          <w:divBdr>
            <w:top w:val="none" w:sz="0" w:space="0" w:color="auto"/>
            <w:left w:val="none" w:sz="0" w:space="0" w:color="auto"/>
            <w:bottom w:val="none" w:sz="0" w:space="0" w:color="auto"/>
            <w:right w:val="none" w:sz="0" w:space="0" w:color="auto"/>
          </w:divBdr>
        </w:div>
        <w:div w:id="976686390">
          <w:marLeft w:val="0"/>
          <w:marRight w:val="0"/>
          <w:marTop w:val="0"/>
          <w:marBottom w:val="0"/>
          <w:divBdr>
            <w:top w:val="none" w:sz="0" w:space="0" w:color="auto"/>
            <w:left w:val="none" w:sz="0" w:space="0" w:color="auto"/>
            <w:bottom w:val="none" w:sz="0" w:space="0" w:color="auto"/>
            <w:right w:val="none" w:sz="0" w:space="0" w:color="auto"/>
          </w:divBdr>
        </w:div>
      </w:divsChild>
    </w:div>
    <w:div w:id="1312556920">
      <w:marLeft w:val="0"/>
      <w:marRight w:val="0"/>
      <w:marTop w:val="0"/>
      <w:marBottom w:val="0"/>
      <w:divBdr>
        <w:top w:val="none" w:sz="0" w:space="0" w:color="auto"/>
        <w:left w:val="none" w:sz="0" w:space="0" w:color="auto"/>
        <w:bottom w:val="none" w:sz="0" w:space="0" w:color="auto"/>
        <w:right w:val="none" w:sz="0" w:space="0" w:color="auto"/>
      </w:divBdr>
      <w:divsChild>
        <w:div w:id="1819608243">
          <w:marLeft w:val="0"/>
          <w:marRight w:val="0"/>
          <w:marTop w:val="0"/>
          <w:marBottom w:val="0"/>
          <w:divBdr>
            <w:top w:val="none" w:sz="0" w:space="0" w:color="auto"/>
            <w:left w:val="none" w:sz="0" w:space="0" w:color="auto"/>
            <w:bottom w:val="none" w:sz="0" w:space="0" w:color="auto"/>
            <w:right w:val="none" w:sz="0" w:space="0" w:color="auto"/>
          </w:divBdr>
        </w:div>
      </w:divsChild>
    </w:div>
    <w:div w:id="1316031342">
      <w:marLeft w:val="0"/>
      <w:marRight w:val="0"/>
      <w:marTop w:val="0"/>
      <w:marBottom w:val="0"/>
      <w:divBdr>
        <w:top w:val="none" w:sz="0" w:space="0" w:color="auto"/>
        <w:left w:val="none" w:sz="0" w:space="0" w:color="auto"/>
        <w:bottom w:val="none" w:sz="0" w:space="0" w:color="auto"/>
        <w:right w:val="none" w:sz="0" w:space="0" w:color="auto"/>
      </w:divBdr>
      <w:divsChild>
        <w:div w:id="786312821">
          <w:marLeft w:val="0"/>
          <w:marRight w:val="0"/>
          <w:marTop w:val="0"/>
          <w:marBottom w:val="0"/>
          <w:divBdr>
            <w:top w:val="none" w:sz="0" w:space="0" w:color="auto"/>
            <w:left w:val="none" w:sz="0" w:space="0" w:color="auto"/>
            <w:bottom w:val="none" w:sz="0" w:space="0" w:color="auto"/>
            <w:right w:val="none" w:sz="0" w:space="0" w:color="auto"/>
          </w:divBdr>
        </w:div>
      </w:divsChild>
    </w:div>
    <w:div w:id="1317107094">
      <w:marLeft w:val="0"/>
      <w:marRight w:val="0"/>
      <w:marTop w:val="0"/>
      <w:marBottom w:val="0"/>
      <w:divBdr>
        <w:top w:val="none" w:sz="0" w:space="0" w:color="auto"/>
        <w:left w:val="none" w:sz="0" w:space="0" w:color="auto"/>
        <w:bottom w:val="none" w:sz="0" w:space="0" w:color="auto"/>
        <w:right w:val="none" w:sz="0" w:space="0" w:color="auto"/>
      </w:divBdr>
    </w:div>
    <w:div w:id="1320498793">
      <w:marLeft w:val="0"/>
      <w:marRight w:val="0"/>
      <w:marTop w:val="200"/>
      <w:marBottom w:val="0"/>
      <w:divBdr>
        <w:top w:val="none" w:sz="0" w:space="0" w:color="auto"/>
        <w:left w:val="none" w:sz="0" w:space="0" w:color="auto"/>
        <w:bottom w:val="none" w:sz="0" w:space="0" w:color="auto"/>
        <w:right w:val="none" w:sz="0" w:space="0" w:color="auto"/>
      </w:divBdr>
    </w:div>
    <w:div w:id="1323318749">
      <w:marLeft w:val="0"/>
      <w:marRight w:val="0"/>
      <w:marTop w:val="0"/>
      <w:marBottom w:val="0"/>
      <w:divBdr>
        <w:top w:val="none" w:sz="0" w:space="0" w:color="auto"/>
        <w:left w:val="none" w:sz="0" w:space="0" w:color="auto"/>
        <w:bottom w:val="none" w:sz="0" w:space="0" w:color="auto"/>
        <w:right w:val="none" w:sz="0" w:space="0" w:color="auto"/>
      </w:divBdr>
    </w:div>
    <w:div w:id="1323777789">
      <w:marLeft w:val="0"/>
      <w:marRight w:val="0"/>
      <w:marTop w:val="0"/>
      <w:marBottom w:val="0"/>
      <w:divBdr>
        <w:top w:val="none" w:sz="0" w:space="0" w:color="auto"/>
        <w:left w:val="none" w:sz="0" w:space="0" w:color="auto"/>
        <w:bottom w:val="none" w:sz="0" w:space="0" w:color="auto"/>
        <w:right w:val="none" w:sz="0" w:space="0" w:color="auto"/>
      </w:divBdr>
      <w:divsChild>
        <w:div w:id="1200123840">
          <w:marLeft w:val="0"/>
          <w:marRight w:val="0"/>
          <w:marTop w:val="0"/>
          <w:marBottom w:val="0"/>
          <w:divBdr>
            <w:top w:val="none" w:sz="0" w:space="0" w:color="auto"/>
            <w:left w:val="none" w:sz="0" w:space="0" w:color="auto"/>
            <w:bottom w:val="none" w:sz="0" w:space="0" w:color="auto"/>
            <w:right w:val="none" w:sz="0" w:space="0" w:color="auto"/>
          </w:divBdr>
        </w:div>
      </w:divsChild>
    </w:div>
    <w:div w:id="1325085221">
      <w:marLeft w:val="0"/>
      <w:marRight w:val="0"/>
      <w:marTop w:val="0"/>
      <w:marBottom w:val="0"/>
      <w:divBdr>
        <w:top w:val="none" w:sz="0" w:space="0" w:color="auto"/>
        <w:left w:val="none" w:sz="0" w:space="0" w:color="auto"/>
        <w:bottom w:val="none" w:sz="0" w:space="0" w:color="auto"/>
        <w:right w:val="none" w:sz="0" w:space="0" w:color="auto"/>
      </w:divBdr>
      <w:divsChild>
        <w:div w:id="1280255911">
          <w:marLeft w:val="0"/>
          <w:marRight w:val="0"/>
          <w:marTop w:val="0"/>
          <w:marBottom w:val="0"/>
          <w:divBdr>
            <w:top w:val="none" w:sz="0" w:space="0" w:color="auto"/>
            <w:left w:val="none" w:sz="0" w:space="0" w:color="auto"/>
            <w:bottom w:val="none" w:sz="0" w:space="0" w:color="auto"/>
            <w:right w:val="none" w:sz="0" w:space="0" w:color="auto"/>
          </w:divBdr>
        </w:div>
      </w:divsChild>
    </w:div>
    <w:div w:id="1326932019">
      <w:marLeft w:val="0"/>
      <w:marRight w:val="0"/>
      <w:marTop w:val="0"/>
      <w:marBottom w:val="160"/>
      <w:divBdr>
        <w:top w:val="none" w:sz="0" w:space="0" w:color="auto"/>
        <w:left w:val="none" w:sz="0" w:space="0" w:color="auto"/>
        <w:bottom w:val="none" w:sz="0" w:space="0" w:color="auto"/>
        <w:right w:val="none" w:sz="0" w:space="0" w:color="auto"/>
      </w:divBdr>
    </w:div>
    <w:div w:id="1327243106">
      <w:marLeft w:val="0"/>
      <w:marRight w:val="0"/>
      <w:marTop w:val="200"/>
      <w:marBottom w:val="0"/>
      <w:divBdr>
        <w:top w:val="none" w:sz="0" w:space="0" w:color="auto"/>
        <w:left w:val="none" w:sz="0" w:space="0" w:color="auto"/>
        <w:bottom w:val="none" w:sz="0" w:space="0" w:color="auto"/>
        <w:right w:val="none" w:sz="0" w:space="0" w:color="auto"/>
      </w:divBdr>
    </w:div>
    <w:div w:id="1330018572">
      <w:marLeft w:val="0"/>
      <w:marRight w:val="0"/>
      <w:marTop w:val="60"/>
      <w:marBottom w:val="0"/>
      <w:divBdr>
        <w:top w:val="none" w:sz="0" w:space="0" w:color="auto"/>
        <w:left w:val="none" w:sz="0" w:space="0" w:color="auto"/>
        <w:bottom w:val="none" w:sz="0" w:space="0" w:color="auto"/>
        <w:right w:val="none" w:sz="0" w:space="0" w:color="auto"/>
      </w:divBdr>
    </w:div>
    <w:div w:id="1330984325">
      <w:marLeft w:val="0"/>
      <w:marRight w:val="0"/>
      <w:marTop w:val="60"/>
      <w:marBottom w:val="0"/>
      <w:divBdr>
        <w:top w:val="none" w:sz="0" w:space="0" w:color="auto"/>
        <w:left w:val="none" w:sz="0" w:space="0" w:color="auto"/>
        <w:bottom w:val="none" w:sz="0" w:space="0" w:color="auto"/>
        <w:right w:val="none" w:sz="0" w:space="0" w:color="auto"/>
      </w:divBdr>
    </w:div>
    <w:div w:id="1331175509">
      <w:marLeft w:val="0"/>
      <w:marRight w:val="0"/>
      <w:marTop w:val="0"/>
      <w:marBottom w:val="0"/>
      <w:divBdr>
        <w:top w:val="none" w:sz="0" w:space="0" w:color="auto"/>
        <w:left w:val="none" w:sz="0" w:space="0" w:color="auto"/>
        <w:bottom w:val="none" w:sz="0" w:space="0" w:color="auto"/>
        <w:right w:val="none" w:sz="0" w:space="0" w:color="auto"/>
      </w:divBdr>
      <w:divsChild>
        <w:div w:id="891312023">
          <w:marLeft w:val="0"/>
          <w:marRight w:val="0"/>
          <w:marTop w:val="0"/>
          <w:marBottom w:val="0"/>
          <w:divBdr>
            <w:top w:val="none" w:sz="0" w:space="0" w:color="auto"/>
            <w:left w:val="none" w:sz="0" w:space="0" w:color="auto"/>
            <w:bottom w:val="none" w:sz="0" w:space="0" w:color="auto"/>
            <w:right w:val="none" w:sz="0" w:space="0" w:color="auto"/>
          </w:divBdr>
        </w:div>
      </w:divsChild>
    </w:div>
    <w:div w:id="1332568033">
      <w:marLeft w:val="0"/>
      <w:marRight w:val="0"/>
      <w:marTop w:val="0"/>
      <w:marBottom w:val="0"/>
      <w:divBdr>
        <w:top w:val="none" w:sz="0" w:space="0" w:color="auto"/>
        <w:left w:val="none" w:sz="0" w:space="0" w:color="auto"/>
        <w:bottom w:val="none" w:sz="0" w:space="0" w:color="auto"/>
        <w:right w:val="none" w:sz="0" w:space="0" w:color="auto"/>
      </w:divBdr>
    </w:div>
    <w:div w:id="1332877145">
      <w:marLeft w:val="0"/>
      <w:marRight w:val="0"/>
      <w:marTop w:val="60"/>
      <w:marBottom w:val="0"/>
      <w:divBdr>
        <w:top w:val="none" w:sz="0" w:space="0" w:color="auto"/>
        <w:left w:val="none" w:sz="0" w:space="0" w:color="auto"/>
        <w:bottom w:val="none" w:sz="0" w:space="0" w:color="auto"/>
        <w:right w:val="none" w:sz="0" w:space="0" w:color="auto"/>
      </w:divBdr>
    </w:div>
    <w:div w:id="1334067429">
      <w:marLeft w:val="0"/>
      <w:marRight w:val="0"/>
      <w:marTop w:val="200"/>
      <w:marBottom w:val="0"/>
      <w:divBdr>
        <w:top w:val="none" w:sz="0" w:space="0" w:color="auto"/>
        <w:left w:val="none" w:sz="0" w:space="0" w:color="auto"/>
        <w:bottom w:val="none" w:sz="0" w:space="0" w:color="auto"/>
        <w:right w:val="none" w:sz="0" w:space="0" w:color="auto"/>
      </w:divBdr>
    </w:div>
    <w:div w:id="1334575117">
      <w:marLeft w:val="0"/>
      <w:marRight w:val="0"/>
      <w:marTop w:val="200"/>
      <w:marBottom w:val="0"/>
      <w:divBdr>
        <w:top w:val="none" w:sz="0" w:space="0" w:color="auto"/>
        <w:left w:val="none" w:sz="0" w:space="0" w:color="auto"/>
        <w:bottom w:val="none" w:sz="0" w:space="0" w:color="auto"/>
        <w:right w:val="none" w:sz="0" w:space="0" w:color="auto"/>
      </w:divBdr>
    </w:div>
    <w:div w:id="1339307405">
      <w:marLeft w:val="0"/>
      <w:marRight w:val="0"/>
      <w:marTop w:val="100"/>
      <w:marBottom w:val="0"/>
      <w:divBdr>
        <w:top w:val="none" w:sz="0" w:space="0" w:color="auto"/>
        <w:left w:val="none" w:sz="0" w:space="0" w:color="auto"/>
        <w:bottom w:val="none" w:sz="0" w:space="0" w:color="auto"/>
        <w:right w:val="none" w:sz="0" w:space="0" w:color="auto"/>
      </w:divBdr>
    </w:div>
    <w:div w:id="1340738809">
      <w:marLeft w:val="0"/>
      <w:marRight w:val="0"/>
      <w:marTop w:val="0"/>
      <w:marBottom w:val="0"/>
      <w:divBdr>
        <w:top w:val="none" w:sz="0" w:space="0" w:color="auto"/>
        <w:left w:val="none" w:sz="0" w:space="0" w:color="auto"/>
        <w:bottom w:val="none" w:sz="0" w:space="0" w:color="auto"/>
        <w:right w:val="none" w:sz="0" w:space="0" w:color="auto"/>
      </w:divBdr>
    </w:div>
    <w:div w:id="1341467785">
      <w:marLeft w:val="0"/>
      <w:marRight w:val="0"/>
      <w:marTop w:val="0"/>
      <w:marBottom w:val="0"/>
      <w:divBdr>
        <w:top w:val="none" w:sz="0" w:space="0" w:color="auto"/>
        <w:left w:val="none" w:sz="0" w:space="0" w:color="auto"/>
        <w:bottom w:val="none" w:sz="0" w:space="0" w:color="auto"/>
        <w:right w:val="none" w:sz="0" w:space="0" w:color="auto"/>
      </w:divBdr>
    </w:div>
    <w:div w:id="1342273254">
      <w:marLeft w:val="0"/>
      <w:marRight w:val="0"/>
      <w:marTop w:val="0"/>
      <w:marBottom w:val="0"/>
      <w:divBdr>
        <w:top w:val="none" w:sz="0" w:space="0" w:color="auto"/>
        <w:left w:val="none" w:sz="0" w:space="0" w:color="auto"/>
        <w:bottom w:val="none" w:sz="0" w:space="0" w:color="auto"/>
        <w:right w:val="none" w:sz="0" w:space="0" w:color="auto"/>
      </w:divBdr>
    </w:div>
    <w:div w:id="1344284048">
      <w:marLeft w:val="0"/>
      <w:marRight w:val="0"/>
      <w:marTop w:val="0"/>
      <w:marBottom w:val="0"/>
      <w:divBdr>
        <w:top w:val="none" w:sz="0" w:space="0" w:color="auto"/>
        <w:left w:val="none" w:sz="0" w:space="0" w:color="auto"/>
        <w:bottom w:val="none" w:sz="0" w:space="0" w:color="auto"/>
        <w:right w:val="none" w:sz="0" w:space="0" w:color="auto"/>
      </w:divBdr>
      <w:divsChild>
        <w:div w:id="1243874583">
          <w:marLeft w:val="0"/>
          <w:marRight w:val="0"/>
          <w:marTop w:val="0"/>
          <w:marBottom w:val="0"/>
          <w:divBdr>
            <w:top w:val="none" w:sz="0" w:space="0" w:color="auto"/>
            <w:left w:val="none" w:sz="0" w:space="0" w:color="auto"/>
            <w:bottom w:val="none" w:sz="0" w:space="0" w:color="auto"/>
            <w:right w:val="none" w:sz="0" w:space="0" w:color="auto"/>
          </w:divBdr>
        </w:div>
      </w:divsChild>
    </w:div>
    <w:div w:id="1345013570">
      <w:marLeft w:val="0"/>
      <w:marRight w:val="0"/>
      <w:marTop w:val="0"/>
      <w:marBottom w:val="0"/>
      <w:divBdr>
        <w:top w:val="none" w:sz="0" w:space="0" w:color="auto"/>
        <w:left w:val="none" w:sz="0" w:space="0" w:color="auto"/>
        <w:bottom w:val="none" w:sz="0" w:space="0" w:color="auto"/>
        <w:right w:val="none" w:sz="0" w:space="0" w:color="auto"/>
      </w:divBdr>
      <w:divsChild>
        <w:div w:id="417947360">
          <w:marLeft w:val="0"/>
          <w:marRight w:val="0"/>
          <w:marTop w:val="0"/>
          <w:marBottom w:val="0"/>
          <w:divBdr>
            <w:top w:val="none" w:sz="0" w:space="0" w:color="auto"/>
            <w:left w:val="none" w:sz="0" w:space="0" w:color="auto"/>
            <w:bottom w:val="none" w:sz="0" w:space="0" w:color="auto"/>
            <w:right w:val="none" w:sz="0" w:space="0" w:color="auto"/>
          </w:divBdr>
        </w:div>
      </w:divsChild>
    </w:div>
    <w:div w:id="1345549994">
      <w:marLeft w:val="0"/>
      <w:marRight w:val="0"/>
      <w:marTop w:val="0"/>
      <w:marBottom w:val="0"/>
      <w:divBdr>
        <w:top w:val="none" w:sz="0" w:space="0" w:color="auto"/>
        <w:left w:val="none" w:sz="0" w:space="0" w:color="auto"/>
        <w:bottom w:val="none" w:sz="0" w:space="0" w:color="auto"/>
        <w:right w:val="none" w:sz="0" w:space="0" w:color="auto"/>
      </w:divBdr>
      <w:divsChild>
        <w:div w:id="569464092">
          <w:marLeft w:val="0"/>
          <w:marRight w:val="0"/>
          <w:marTop w:val="0"/>
          <w:marBottom w:val="0"/>
          <w:divBdr>
            <w:top w:val="none" w:sz="0" w:space="0" w:color="auto"/>
            <w:left w:val="none" w:sz="0" w:space="0" w:color="auto"/>
            <w:bottom w:val="none" w:sz="0" w:space="0" w:color="auto"/>
            <w:right w:val="none" w:sz="0" w:space="0" w:color="auto"/>
          </w:divBdr>
        </w:div>
        <w:div w:id="610667844">
          <w:marLeft w:val="0"/>
          <w:marRight w:val="0"/>
          <w:marTop w:val="0"/>
          <w:marBottom w:val="0"/>
          <w:divBdr>
            <w:top w:val="none" w:sz="0" w:space="0" w:color="auto"/>
            <w:left w:val="none" w:sz="0" w:space="0" w:color="auto"/>
            <w:bottom w:val="none" w:sz="0" w:space="0" w:color="auto"/>
            <w:right w:val="none" w:sz="0" w:space="0" w:color="auto"/>
          </w:divBdr>
        </w:div>
        <w:div w:id="104858853">
          <w:marLeft w:val="0"/>
          <w:marRight w:val="0"/>
          <w:marTop w:val="0"/>
          <w:marBottom w:val="0"/>
          <w:divBdr>
            <w:top w:val="none" w:sz="0" w:space="0" w:color="auto"/>
            <w:left w:val="none" w:sz="0" w:space="0" w:color="auto"/>
            <w:bottom w:val="none" w:sz="0" w:space="0" w:color="auto"/>
            <w:right w:val="none" w:sz="0" w:space="0" w:color="auto"/>
          </w:divBdr>
        </w:div>
        <w:div w:id="1074277668">
          <w:marLeft w:val="0"/>
          <w:marRight w:val="0"/>
          <w:marTop w:val="0"/>
          <w:marBottom w:val="0"/>
          <w:divBdr>
            <w:top w:val="none" w:sz="0" w:space="0" w:color="auto"/>
            <w:left w:val="none" w:sz="0" w:space="0" w:color="auto"/>
            <w:bottom w:val="none" w:sz="0" w:space="0" w:color="auto"/>
            <w:right w:val="none" w:sz="0" w:space="0" w:color="auto"/>
          </w:divBdr>
        </w:div>
      </w:divsChild>
    </w:div>
    <w:div w:id="1351180345">
      <w:marLeft w:val="0"/>
      <w:marRight w:val="0"/>
      <w:marTop w:val="0"/>
      <w:marBottom w:val="0"/>
      <w:divBdr>
        <w:top w:val="none" w:sz="0" w:space="0" w:color="auto"/>
        <w:left w:val="none" w:sz="0" w:space="0" w:color="auto"/>
        <w:bottom w:val="none" w:sz="0" w:space="0" w:color="auto"/>
        <w:right w:val="none" w:sz="0" w:space="0" w:color="auto"/>
      </w:divBdr>
      <w:divsChild>
        <w:div w:id="505484008">
          <w:marLeft w:val="0"/>
          <w:marRight w:val="0"/>
          <w:marTop w:val="0"/>
          <w:marBottom w:val="0"/>
          <w:divBdr>
            <w:top w:val="none" w:sz="0" w:space="0" w:color="auto"/>
            <w:left w:val="none" w:sz="0" w:space="0" w:color="auto"/>
            <w:bottom w:val="none" w:sz="0" w:space="0" w:color="auto"/>
            <w:right w:val="none" w:sz="0" w:space="0" w:color="auto"/>
          </w:divBdr>
        </w:div>
      </w:divsChild>
    </w:div>
    <w:div w:id="1352145582">
      <w:marLeft w:val="0"/>
      <w:marRight w:val="0"/>
      <w:marTop w:val="0"/>
      <w:marBottom w:val="0"/>
      <w:divBdr>
        <w:top w:val="none" w:sz="0" w:space="0" w:color="auto"/>
        <w:left w:val="none" w:sz="0" w:space="0" w:color="auto"/>
        <w:bottom w:val="none" w:sz="0" w:space="0" w:color="auto"/>
        <w:right w:val="none" w:sz="0" w:space="0" w:color="auto"/>
      </w:divBdr>
      <w:divsChild>
        <w:div w:id="719204377">
          <w:marLeft w:val="0"/>
          <w:marRight w:val="0"/>
          <w:marTop w:val="0"/>
          <w:marBottom w:val="0"/>
          <w:divBdr>
            <w:top w:val="none" w:sz="0" w:space="0" w:color="auto"/>
            <w:left w:val="none" w:sz="0" w:space="0" w:color="auto"/>
            <w:bottom w:val="none" w:sz="0" w:space="0" w:color="auto"/>
            <w:right w:val="none" w:sz="0" w:space="0" w:color="auto"/>
          </w:divBdr>
        </w:div>
      </w:divsChild>
    </w:div>
    <w:div w:id="1361322914">
      <w:marLeft w:val="0"/>
      <w:marRight w:val="0"/>
      <w:marTop w:val="0"/>
      <w:marBottom w:val="200"/>
      <w:divBdr>
        <w:top w:val="none" w:sz="0" w:space="0" w:color="auto"/>
        <w:left w:val="none" w:sz="0" w:space="0" w:color="auto"/>
        <w:bottom w:val="none" w:sz="0" w:space="0" w:color="auto"/>
        <w:right w:val="none" w:sz="0" w:space="0" w:color="auto"/>
      </w:divBdr>
    </w:div>
    <w:div w:id="1362243491">
      <w:marLeft w:val="0"/>
      <w:marRight w:val="0"/>
      <w:marTop w:val="200"/>
      <w:marBottom w:val="0"/>
      <w:divBdr>
        <w:top w:val="none" w:sz="0" w:space="0" w:color="auto"/>
        <w:left w:val="none" w:sz="0" w:space="0" w:color="auto"/>
        <w:bottom w:val="none" w:sz="0" w:space="0" w:color="auto"/>
        <w:right w:val="none" w:sz="0" w:space="0" w:color="auto"/>
      </w:divBdr>
    </w:div>
    <w:div w:id="1363631042">
      <w:marLeft w:val="0"/>
      <w:marRight w:val="0"/>
      <w:marTop w:val="200"/>
      <w:marBottom w:val="0"/>
      <w:divBdr>
        <w:top w:val="none" w:sz="0" w:space="0" w:color="auto"/>
        <w:left w:val="none" w:sz="0" w:space="0" w:color="auto"/>
        <w:bottom w:val="none" w:sz="0" w:space="0" w:color="auto"/>
        <w:right w:val="none" w:sz="0" w:space="0" w:color="auto"/>
      </w:divBdr>
    </w:div>
    <w:div w:id="1363702941">
      <w:marLeft w:val="0"/>
      <w:marRight w:val="0"/>
      <w:marTop w:val="0"/>
      <w:marBottom w:val="0"/>
      <w:divBdr>
        <w:top w:val="none" w:sz="0" w:space="0" w:color="auto"/>
        <w:left w:val="none" w:sz="0" w:space="0" w:color="auto"/>
        <w:bottom w:val="none" w:sz="0" w:space="0" w:color="auto"/>
        <w:right w:val="none" w:sz="0" w:space="0" w:color="auto"/>
      </w:divBdr>
      <w:divsChild>
        <w:div w:id="138115101">
          <w:marLeft w:val="0"/>
          <w:marRight w:val="0"/>
          <w:marTop w:val="0"/>
          <w:marBottom w:val="0"/>
          <w:divBdr>
            <w:top w:val="none" w:sz="0" w:space="0" w:color="auto"/>
            <w:left w:val="none" w:sz="0" w:space="0" w:color="auto"/>
            <w:bottom w:val="none" w:sz="0" w:space="0" w:color="auto"/>
            <w:right w:val="none" w:sz="0" w:space="0" w:color="auto"/>
          </w:divBdr>
        </w:div>
        <w:div w:id="662856968">
          <w:marLeft w:val="0"/>
          <w:marRight w:val="0"/>
          <w:marTop w:val="0"/>
          <w:marBottom w:val="0"/>
          <w:divBdr>
            <w:top w:val="none" w:sz="0" w:space="0" w:color="auto"/>
            <w:left w:val="none" w:sz="0" w:space="0" w:color="auto"/>
            <w:bottom w:val="none" w:sz="0" w:space="0" w:color="auto"/>
            <w:right w:val="none" w:sz="0" w:space="0" w:color="auto"/>
          </w:divBdr>
        </w:div>
        <w:div w:id="281543032">
          <w:marLeft w:val="0"/>
          <w:marRight w:val="0"/>
          <w:marTop w:val="0"/>
          <w:marBottom w:val="0"/>
          <w:divBdr>
            <w:top w:val="none" w:sz="0" w:space="0" w:color="auto"/>
            <w:left w:val="none" w:sz="0" w:space="0" w:color="auto"/>
            <w:bottom w:val="none" w:sz="0" w:space="0" w:color="auto"/>
            <w:right w:val="none" w:sz="0" w:space="0" w:color="auto"/>
          </w:divBdr>
        </w:div>
        <w:div w:id="1413894859">
          <w:marLeft w:val="0"/>
          <w:marRight w:val="0"/>
          <w:marTop w:val="0"/>
          <w:marBottom w:val="0"/>
          <w:divBdr>
            <w:top w:val="none" w:sz="0" w:space="0" w:color="auto"/>
            <w:left w:val="none" w:sz="0" w:space="0" w:color="auto"/>
            <w:bottom w:val="none" w:sz="0" w:space="0" w:color="auto"/>
            <w:right w:val="none" w:sz="0" w:space="0" w:color="auto"/>
          </w:divBdr>
        </w:div>
      </w:divsChild>
    </w:div>
    <w:div w:id="1364358890">
      <w:marLeft w:val="0"/>
      <w:marRight w:val="0"/>
      <w:marTop w:val="0"/>
      <w:marBottom w:val="0"/>
      <w:divBdr>
        <w:top w:val="none" w:sz="0" w:space="0" w:color="auto"/>
        <w:left w:val="none" w:sz="0" w:space="0" w:color="auto"/>
        <w:bottom w:val="none" w:sz="0" w:space="0" w:color="auto"/>
        <w:right w:val="none" w:sz="0" w:space="0" w:color="auto"/>
      </w:divBdr>
      <w:divsChild>
        <w:div w:id="680162835">
          <w:marLeft w:val="0"/>
          <w:marRight w:val="0"/>
          <w:marTop w:val="0"/>
          <w:marBottom w:val="0"/>
          <w:divBdr>
            <w:top w:val="none" w:sz="0" w:space="0" w:color="auto"/>
            <w:left w:val="none" w:sz="0" w:space="0" w:color="auto"/>
            <w:bottom w:val="none" w:sz="0" w:space="0" w:color="auto"/>
            <w:right w:val="none" w:sz="0" w:space="0" w:color="auto"/>
          </w:divBdr>
        </w:div>
      </w:divsChild>
    </w:div>
    <w:div w:id="1365670055">
      <w:marLeft w:val="0"/>
      <w:marRight w:val="0"/>
      <w:marTop w:val="0"/>
      <w:marBottom w:val="0"/>
      <w:divBdr>
        <w:top w:val="none" w:sz="0" w:space="0" w:color="auto"/>
        <w:left w:val="none" w:sz="0" w:space="0" w:color="auto"/>
        <w:bottom w:val="none" w:sz="0" w:space="0" w:color="auto"/>
        <w:right w:val="none" w:sz="0" w:space="0" w:color="auto"/>
      </w:divBdr>
    </w:div>
    <w:div w:id="1366715075">
      <w:marLeft w:val="0"/>
      <w:marRight w:val="0"/>
      <w:marTop w:val="0"/>
      <w:marBottom w:val="0"/>
      <w:divBdr>
        <w:top w:val="none" w:sz="0" w:space="0" w:color="auto"/>
        <w:left w:val="none" w:sz="0" w:space="0" w:color="auto"/>
        <w:bottom w:val="none" w:sz="0" w:space="0" w:color="auto"/>
        <w:right w:val="none" w:sz="0" w:space="0" w:color="auto"/>
      </w:divBdr>
      <w:divsChild>
        <w:div w:id="1840927789">
          <w:marLeft w:val="0"/>
          <w:marRight w:val="0"/>
          <w:marTop w:val="0"/>
          <w:marBottom w:val="0"/>
          <w:divBdr>
            <w:top w:val="none" w:sz="0" w:space="0" w:color="auto"/>
            <w:left w:val="none" w:sz="0" w:space="0" w:color="auto"/>
            <w:bottom w:val="none" w:sz="0" w:space="0" w:color="auto"/>
            <w:right w:val="none" w:sz="0" w:space="0" w:color="auto"/>
          </w:divBdr>
        </w:div>
      </w:divsChild>
    </w:div>
    <w:div w:id="1368024241">
      <w:marLeft w:val="0"/>
      <w:marRight w:val="0"/>
      <w:marTop w:val="0"/>
      <w:marBottom w:val="0"/>
      <w:divBdr>
        <w:top w:val="none" w:sz="0" w:space="0" w:color="auto"/>
        <w:left w:val="none" w:sz="0" w:space="0" w:color="auto"/>
        <w:bottom w:val="none" w:sz="0" w:space="0" w:color="auto"/>
        <w:right w:val="none" w:sz="0" w:space="0" w:color="auto"/>
      </w:divBdr>
    </w:div>
    <w:div w:id="1375038233">
      <w:marLeft w:val="0"/>
      <w:marRight w:val="0"/>
      <w:marTop w:val="0"/>
      <w:marBottom w:val="0"/>
      <w:divBdr>
        <w:top w:val="none" w:sz="0" w:space="0" w:color="auto"/>
        <w:left w:val="none" w:sz="0" w:space="0" w:color="auto"/>
        <w:bottom w:val="none" w:sz="0" w:space="0" w:color="auto"/>
        <w:right w:val="none" w:sz="0" w:space="0" w:color="auto"/>
      </w:divBdr>
    </w:div>
    <w:div w:id="1377586894">
      <w:marLeft w:val="0"/>
      <w:marRight w:val="0"/>
      <w:marTop w:val="0"/>
      <w:marBottom w:val="0"/>
      <w:divBdr>
        <w:top w:val="none" w:sz="0" w:space="0" w:color="auto"/>
        <w:left w:val="none" w:sz="0" w:space="0" w:color="auto"/>
        <w:bottom w:val="none" w:sz="0" w:space="0" w:color="auto"/>
        <w:right w:val="none" w:sz="0" w:space="0" w:color="auto"/>
      </w:divBdr>
    </w:div>
    <w:div w:id="1378508002">
      <w:marLeft w:val="0"/>
      <w:marRight w:val="0"/>
      <w:marTop w:val="200"/>
      <w:marBottom w:val="0"/>
      <w:divBdr>
        <w:top w:val="none" w:sz="0" w:space="0" w:color="auto"/>
        <w:left w:val="none" w:sz="0" w:space="0" w:color="auto"/>
        <w:bottom w:val="none" w:sz="0" w:space="0" w:color="auto"/>
        <w:right w:val="none" w:sz="0" w:space="0" w:color="auto"/>
      </w:divBdr>
    </w:div>
    <w:div w:id="1378626932">
      <w:marLeft w:val="0"/>
      <w:marRight w:val="0"/>
      <w:marTop w:val="0"/>
      <w:marBottom w:val="0"/>
      <w:divBdr>
        <w:top w:val="none" w:sz="0" w:space="0" w:color="auto"/>
        <w:left w:val="none" w:sz="0" w:space="0" w:color="auto"/>
        <w:bottom w:val="none" w:sz="0" w:space="0" w:color="auto"/>
        <w:right w:val="none" w:sz="0" w:space="0" w:color="auto"/>
      </w:divBdr>
      <w:divsChild>
        <w:div w:id="1792743044">
          <w:marLeft w:val="0"/>
          <w:marRight w:val="0"/>
          <w:marTop w:val="0"/>
          <w:marBottom w:val="0"/>
          <w:divBdr>
            <w:top w:val="none" w:sz="0" w:space="0" w:color="auto"/>
            <w:left w:val="none" w:sz="0" w:space="0" w:color="auto"/>
            <w:bottom w:val="none" w:sz="0" w:space="0" w:color="auto"/>
            <w:right w:val="none" w:sz="0" w:space="0" w:color="auto"/>
          </w:divBdr>
        </w:div>
      </w:divsChild>
    </w:div>
    <w:div w:id="1379861585">
      <w:marLeft w:val="0"/>
      <w:marRight w:val="0"/>
      <w:marTop w:val="0"/>
      <w:marBottom w:val="0"/>
      <w:divBdr>
        <w:top w:val="none" w:sz="0" w:space="0" w:color="auto"/>
        <w:left w:val="none" w:sz="0" w:space="0" w:color="auto"/>
        <w:bottom w:val="none" w:sz="0" w:space="0" w:color="auto"/>
        <w:right w:val="none" w:sz="0" w:space="0" w:color="auto"/>
      </w:divBdr>
      <w:divsChild>
        <w:div w:id="1015887171">
          <w:marLeft w:val="0"/>
          <w:marRight w:val="0"/>
          <w:marTop w:val="0"/>
          <w:marBottom w:val="0"/>
          <w:divBdr>
            <w:top w:val="none" w:sz="0" w:space="0" w:color="auto"/>
            <w:left w:val="none" w:sz="0" w:space="0" w:color="auto"/>
            <w:bottom w:val="none" w:sz="0" w:space="0" w:color="auto"/>
            <w:right w:val="none" w:sz="0" w:space="0" w:color="auto"/>
          </w:divBdr>
        </w:div>
        <w:div w:id="1869294935">
          <w:marLeft w:val="0"/>
          <w:marRight w:val="0"/>
          <w:marTop w:val="0"/>
          <w:marBottom w:val="0"/>
          <w:divBdr>
            <w:top w:val="none" w:sz="0" w:space="0" w:color="auto"/>
            <w:left w:val="none" w:sz="0" w:space="0" w:color="auto"/>
            <w:bottom w:val="none" w:sz="0" w:space="0" w:color="auto"/>
            <w:right w:val="none" w:sz="0" w:space="0" w:color="auto"/>
          </w:divBdr>
        </w:div>
        <w:div w:id="1795631002">
          <w:marLeft w:val="0"/>
          <w:marRight w:val="0"/>
          <w:marTop w:val="0"/>
          <w:marBottom w:val="0"/>
          <w:divBdr>
            <w:top w:val="none" w:sz="0" w:space="0" w:color="auto"/>
            <w:left w:val="none" w:sz="0" w:space="0" w:color="auto"/>
            <w:bottom w:val="none" w:sz="0" w:space="0" w:color="auto"/>
            <w:right w:val="none" w:sz="0" w:space="0" w:color="auto"/>
          </w:divBdr>
        </w:div>
        <w:div w:id="1606035110">
          <w:marLeft w:val="0"/>
          <w:marRight w:val="0"/>
          <w:marTop w:val="0"/>
          <w:marBottom w:val="0"/>
          <w:divBdr>
            <w:top w:val="none" w:sz="0" w:space="0" w:color="auto"/>
            <w:left w:val="none" w:sz="0" w:space="0" w:color="auto"/>
            <w:bottom w:val="none" w:sz="0" w:space="0" w:color="auto"/>
            <w:right w:val="none" w:sz="0" w:space="0" w:color="auto"/>
          </w:divBdr>
        </w:div>
      </w:divsChild>
    </w:div>
    <w:div w:id="1380010116">
      <w:marLeft w:val="0"/>
      <w:marRight w:val="0"/>
      <w:marTop w:val="225"/>
      <w:marBottom w:val="0"/>
      <w:divBdr>
        <w:top w:val="none" w:sz="0" w:space="0" w:color="auto"/>
        <w:left w:val="none" w:sz="0" w:space="0" w:color="auto"/>
        <w:bottom w:val="none" w:sz="0" w:space="0" w:color="auto"/>
        <w:right w:val="none" w:sz="0" w:space="0" w:color="auto"/>
      </w:divBdr>
    </w:div>
    <w:div w:id="1381592082">
      <w:marLeft w:val="0"/>
      <w:marRight w:val="0"/>
      <w:marTop w:val="0"/>
      <w:marBottom w:val="0"/>
      <w:divBdr>
        <w:top w:val="none" w:sz="0" w:space="0" w:color="auto"/>
        <w:left w:val="none" w:sz="0" w:space="0" w:color="auto"/>
        <w:bottom w:val="none" w:sz="0" w:space="0" w:color="auto"/>
        <w:right w:val="none" w:sz="0" w:space="0" w:color="auto"/>
      </w:divBdr>
    </w:div>
    <w:div w:id="1392998722">
      <w:marLeft w:val="0"/>
      <w:marRight w:val="0"/>
      <w:marTop w:val="0"/>
      <w:marBottom w:val="0"/>
      <w:divBdr>
        <w:top w:val="none" w:sz="0" w:space="0" w:color="auto"/>
        <w:left w:val="none" w:sz="0" w:space="0" w:color="auto"/>
        <w:bottom w:val="none" w:sz="0" w:space="0" w:color="auto"/>
        <w:right w:val="none" w:sz="0" w:space="0" w:color="auto"/>
      </w:divBdr>
    </w:div>
    <w:div w:id="1394160246">
      <w:marLeft w:val="0"/>
      <w:marRight w:val="0"/>
      <w:marTop w:val="200"/>
      <w:marBottom w:val="0"/>
      <w:divBdr>
        <w:top w:val="none" w:sz="0" w:space="0" w:color="auto"/>
        <w:left w:val="none" w:sz="0" w:space="0" w:color="auto"/>
        <w:bottom w:val="none" w:sz="0" w:space="0" w:color="auto"/>
        <w:right w:val="none" w:sz="0" w:space="0" w:color="auto"/>
      </w:divBdr>
    </w:div>
    <w:div w:id="1397125407">
      <w:marLeft w:val="0"/>
      <w:marRight w:val="0"/>
      <w:marTop w:val="200"/>
      <w:marBottom w:val="0"/>
      <w:divBdr>
        <w:top w:val="none" w:sz="0" w:space="0" w:color="auto"/>
        <w:left w:val="none" w:sz="0" w:space="0" w:color="auto"/>
        <w:bottom w:val="none" w:sz="0" w:space="0" w:color="auto"/>
        <w:right w:val="none" w:sz="0" w:space="0" w:color="auto"/>
      </w:divBdr>
    </w:div>
    <w:div w:id="1400404526">
      <w:marLeft w:val="0"/>
      <w:marRight w:val="0"/>
      <w:marTop w:val="0"/>
      <w:marBottom w:val="0"/>
      <w:divBdr>
        <w:top w:val="none" w:sz="0" w:space="0" w:color="auto"/>
        <w:left w:val="none" w:sz="0" w:space="0" w:color="auto"/>
        <w:bottom w:val="none" w:sz="0" w:space="0" w:color="auto"/>
        <w:right w:val="none" w:sz="0" w:space="0" w:color="auto"/>
      </w:divBdr>
      <w:divsChild>
        <w:div w:id="1712537426">
          <w:marLeft w:val="0"/>
          <w:marRight w:val="0"/>
          <w:marTop w:val="0"/>
          <w:marBottom w:val="0"/>
          <w:divBdr>
            <w:top w:val="none" w:sz="0" w:space="0" w:color="auto"/>
            <w:left w:val="none" w:sz="0" w:space="0" w:color="auto"/>
            <w:bottom w:val="none" w:sz="0" w:space="0" w:color="auto"/>
            <w:right w:val="none" w:sz="0" w:space="0" w:color="auto"/>
          </w:divBdr>
        </w:div>
      </w:divsChild>
    </w:div>
    <w:div w:id="1400597036">
      <w:marLeft w:val="0"/>
      <w:marRight w:val="0"/>
      <w:marTop w:val="0"/>
      <w:marBottom w:val="0"/>
      <w:divBdr>
        <w:top w:val="none" w:sz="0" w:space="0" w:color="auto"/>
        <w:left w:val="none" w:sz="0" w:space="0" w:color="auto"/>
        <w:bottom w:val="none" w:sz="0" w:space="0" w:color="auto"/>
        <w:right w:val="none" w:sz="0" w:space="0" w:color="auto"/>
      </w:divBdr>
      <w:divsChild>
        <w:div w:id="1294553126">
          <w:marLeft w:val="0"/>
          <w:marRight w:val="0"/>
          <w:marTop w:val="0"/>
          <w:marBottom w:val="0"/>
          <w:divBdr>
            <w:top w:val="none" w:sz="0" w:space="0" w:color="auto"/>
            <w:left w:val="none" w:sz="0" w:space="0" w:color="auto"/>
            <w:bottom w:val="none" w:sz="0" w:space="0" w:color="auto"/>
            <w:right w:val="none" w:sz="0" w:space="0" w:color="auto"/>
          </w:divBdr>
        </w:div>
      </w:divsChild>
    </w:div>
    <w:div w:id="1401832350">
      <w:marLeft w:val="0"/>
      <w:marRight w:val="0"/>
      <w:marTop w:val="0"/>
      <w:marBottom w:val="0"/>
      <w:divBdr>
        <w:top w:val="none" w:sz="0" w:space="0" w:color="auto"/>
        <w:left w:val="none" w:sz="0" w:space="0" w:color="auto"/>
        <w:bottom w:val="none" w:sz="0" w:space="0" w:color="auto"/>
        <w:right w:val="none" w:sz="0" w:space="0" w:color="auto"/>
      </w:divBdr>
      <w:divsChild>
        <w:div w:id="1039742408">
          <w:marLeft w:val="0"/>
          <w:marRight w:val="0"/>
          <w:marTop w:val="0"/>
          <w:marBottom w:val="0"/>
          <w:divBdr>
            <w:top w:val="none" w:sz="0" w:space="0" w:color="auto"/>
            <w:left w:val="none" w:sz="0" w:space="0" w:color="auto"/>
            <w:bottom w:val="none" w:sz="0" w:space="0" w:color="auto"/>
            <w:right w:val="none" w:sz="0" w:space="0" w:color="auto"/>
          </w:divBdr>
        </w:div>
      </w:divsChild>
    </w:div>
    <w:div w:id="1403603649">
      <w:marLeft w:val="0"/>
      <w:marRight w:val="0"/>
      <w:marTop w:val="0"/>
      <w:marBottom w:val="0"/>
      <w:divBdr>
        <w:top w:val="none" w:sz="0" w:space="0" w:color="auto"/>
        <w:left w:val="none" w:sz="0" w:space="0" w:color="auto"/>
        <w:bottom w:val="none" w:sz="0" w:space="0" w:color="auto"/>
        <w:right w:val="none" w:sz="0" w:space="0" w:color="auto"/>
      </w:divBdr>
      <w:divsChild>
        <w:div w:id="1782873763">
          <w:marLeft w:val="0"/>
          <w:marRight w:val="0"/>
          <w:marTop w:val="0"/>
          <w:marBottom w:val="0"/>
          <w:divBdr>
            <w:top w:val="none" w:sz="0" w:space="0" w:color="auto"/>
            <w:left w:val="none" w:sz="0" w:space="0" w:color="auto"/>
            <w:bottom w:val="none" w:sz="0" w:space="0" w:color="auto"/>
            <w:right w:val="none" w:sz="0" w:space="0" w:color="auto"/>
          </w:divBdr>
        </w:div>
      </w:divsChild>
    </w:div>
    <w:div w:id="1406679739">
      <w:marLeft w:val="0"/>
      <w:marRight w:val="0"/>
      <w:marTop w:val="0"/>
      <w:marBottom w:val="0"/>
      <w:divBdr>
        <w:top w:val="none" w:sz="0" w:space="0" w:color="auto"/>
        <w:left w:val="none" w:sz="0" w:space="0" w:color="auto"/>
        <w:bottom w:val="none" w:sz="0" w:space="0" w:color="auto"/>
        <w:right w:val="none" w:sz="0" w:space="0" w:color="auto"/>
      </w:divBdr>
      <w:divsChild>
        <w:div w:id="1979337805">
          <w:marLeft w:val="0"/>
          <w:marRight w:val="0"/>
          <w:marTop w:val="0"/>
          <w:marBottom w:val="0"/>
          <w:divBdr>
            <w:top w:val="none" w:sz="0" w:space="0" w:color="auto"/>
            <w:left w:val="none" w:sz="0" w:space="0" w:color="auto"/>
            <w:bottom w:val="none" w:sz="0" w:space="0" w:color="auto"/>
            <w:right w:val="none" w:sz="0" w:space="0" w:color="auto"/>
          </w:divBdr>
        </w:div>
      </w:divsChild>
    </w:div>
    <w:div w:id="1408376855">
      <w:marLeft w:val="0"/>
      <w:marRight w:val="0"/>
      <w:marTop w:val="100"/>
      <w:marBottom w:val="0"/>
      <w:divBdr>
        <w:top w:val="none" w:sz="0" w:space="0" w:color="auto"/>
        <w:left w:val="none" w:sz="0" w:space="0" w:color="auto"/>
        <w:bottom w:val="none" w:sz="0" w:space="0" w:color="auto"/>
        <w:right w:val="none" w:sz="0" w:space="0" w:color="auto"/>
      </w:divBdr>
    </w:div>
    <w:div w:id="1412314391">
      <w:marLeft w:val="0"/>
      <w:marRight w:val="0"/>
      <w:marTop w:val="0"/>
      <w:marBottom w:val="0"/>
      <w:divBdr>
        <w:top w:val="none" w:sz="0" w:space="0" w:color="auto"/>
        <w:left w:val="none" w:sz="0" w:space="0" w:color="auto"/>
        <w:bottom w:val="none" w:sz="0" w:space="0" w:color="auto"/>
        <w:right w:val="none" w:sz="0" w:space="0" w:color="auto"/>
      </w:divBdr>
    </w:div>
    <w:div w:id="1415394120">
      <w:marLeft w:val="0"/>
      <w:marRight w:val="0"/>
      <w:marTop w:val="0"/>
      <w:marBottom w:val="0"/>
      <w:divBdr>
        <w:top w:val="none" w:sz="0" w:space="0" w:color="auto"/>
        <w:left w:val="none" w:sz="0" w:space="0" w:color="auto"/>
        <w:bottom w:val="none" w:sz="0" w:space="0" w:color="auto"/>
        <w:right w:val="none" w:sz="0" w:space="0" w:color="auto"/>
      </w:divBdr>
      <w:divsChild>
        <w:div w:id="2118794536">
          <w:marLeft w:val="0"/>
          <w:marRight w:val="0"/>
          <w:marTop w:val="0"/>
          <w:marBottom w:val="0"/>
          <w:divBdr>
            <w:top w:val="none" w:sz="0" w:space="0" w:color="auto"/>
            <w:left w:val="none" w:sz="0" w:space="0" w:color="auto"/>
            <w:bottom w:val="none" w:sz="0" w:space="0" w:color="auto"/>
            <w:right w:val="none" w:sz="0" w:space="0" w:color="auto"/>
          </w:divBdr>
        </w:div>
      </w:divsChild>
    </w:div>
    <w:div w:id="1417357249">
      <w:marLeft w:val="0"/>
      <w:marRight w:val="0"/>
      <w:marTop w:val="200"/>
      <w:marBottom w:val="0"/>
      <w:divBdr>
        <w:top w:val="none" w:sz="0" w:space="0" w:color="auto"/>
        <w:left w:val="none" w:sz="0" w:space="0" w:color="auto"/>
        <w:bottom w:val="none" w:sz="0" w:space="0" w:color="auto"/>
        <w:right w:val="none" w:sz="0" w:space="0" w:color="auto"/>
      </w:divBdr>
    </w:div>
    <w:div w:id="1417552188">
      <w:marLeft w:val="0"/>
      <w:marRight w:val="0"/>
      <w:marTop w:val="200"/>
      <w:marBottom w:val="0"/>
      <w:divBdr>
        <w:top w:val="none" w:sz="0" w:space="0" w:color="auto"/>
        <w:left w:val="none" w:sz="0" w:space="0" w:color="auto"/>
        <w:bottom w:val="none" w:sz="0" w:space="0" w:color="auto"/>
        <w:right w:val="none" w:sz="0" w:space="0" w:color="auto"/>
      </w:divBdr>
    </w:div>
    <w:div w:id="1421028167">
      <w:marLeft w:val="0"/>
      <w:marRight w:val="0"/>
      <w:marTop w:val="0"/>
      <w:marBottom w:val="0"/>
      <w:divBdr>
        <w:top w:val="none" w:sz="0" w:space="0" w:color="auto"/>
        <w:left w:val="none" w:sz="0" w:space="0" w:color="auto"/>
        <w:bottom w:val="none" w:sz="0" w:space="0" w:color="auto"/>
        <w:right w:val="none" w:sz="0" w:space="0" w:color="auto"/>
      </w:divBdr>
    </w:div>
    <w:div w:id="1422222310">
      <w:marLeft w:val="0"/>
      <w:marRight w:val="0"/>
      <w:marTop w:val="120"/>
      <w:marBottom w:val="0"/>
      <w:divBdr>
        <w:top w:val="none" w:sz="0" w:space="0" w:color="auto"/>
        <w:left w:val="none" w:sz="0" w:space="0" w:color="auto"/>
        <w:bottom w:val="none" w:sz="0" w:space="0" w:color="auto"/>
        <w:right w:val="none" w:sz="0" w:space="0" w:color="auto"/>
      </w:divBdr>
    </w:div>
    <w:div w:id="1422675072">
      <w:marLeft w:val="0"/>
      <w:marRight w:val="0"/>
      <w:marTop w:val="200"/>
      <w:marBottom w:val="0"/>
      <w:divBdr>
        <w:top w:val="none" w:sz="0" w:space="0" w:color="auto"/>
        <w:left w:val="none" w:sz="0" w:space="0" w:color="auto"/>
        <w:bottom w:val="none" w:sz="0" w:space="0" w:color="auto"/>
        <w:right w:val="none" w:sz="0" w:space="0" w:color="auto"/>
      </w:divBdr>
    </w:div>
    <w:div w:id="1423454595">
      <w:marLeft w:val="0"/>
      <w:marRight w:val="0"/>
      <w:marTop w:val="200"/>
      <w:marBottom w:val="0"/>
      <w:divBdr>
        <w:top w:val="none" w:sz="0" w:space="0" w:color="auto"/>
        <w:left w:val="none" w:sz="0" w:space="0" w:color="auto"/>
        <w:bottom w:val="none" w:sz="0" w:space="0" w:color="auto"/>
        <w:right w:val="none" w:sz="0" w:space="0" w:color="auto"/>
      </w:divBdr>
    </w:div>
    <w:div w:id="1424376897">
      <w:marLeft w:val="0"/>
      <w:marRight w:val="0"/>
      <w:marTop w:val="100"/>
      <w:marBottom w:val="0"/>
      <w:divBdr>
        <w:top w:val="none" w:sz="0" w:space="0" w:color="auto"/>
        <w:left w:val="none" w:sz="0" w:space="0" w:color="auto"/>
        <w:bottom w:val="none" w:sz="0" w:space="0" w:color="auto"/>
        <w:right w:val="none" w:sz="0" w:space="0" w:color="auto"/>
      </w:divBdr>
      <w:divsChild>
        <w:div w:id="1147673601">
          <w:marLeft w:val="0"/>
          <w:marRight w:val="0"/>
          <w:marTop w:val="0"/>
          <w:marBottom w:val="0"/>
          <w:divBdr>
            <w:top w:val="none" w:sz="0" w:space="0" w:color="auto"/>
            <w:left w:val="none" w:sz="0" w:space="0" w:color="auto"/>
            <w:bottom w:val="none" w:sz="0" w:space="0" w:color="auto"/>
            <w:right w:val="none" w:sz="0" w:space="0" w:color="auto"/>
          </w:divBdr>
        </w:div>
        <w:div w:id="1426464935">
          <w:marLeft w:val="0"/>
          <w:marRight w:val="0"/>
          <w:marTop w:val="0"/>
          <w:marBottom w:val="0"/>
          <w:divBdr>
            <w:top w:val="none" w:sz="0" w:space="0" w:color="auto"/>
            <w:left w:val="none" w:sz="0" w:space="0" w:color="auto"/>
            <w:bottom w:val="none" w:sz="0" w:space="0" w:color="auto"/>
            <w:right w:val="none" w:sz="0" w:space="0" w:color="auto"/>
          </w:divBdr>
        </w:div>
        <w:div w:id="1050571710">
          <w:marLeft w:val="0"/>
          <w:marRight w:val="0"/>
          <w:marTop w:val="0"/>
          <w:marBottom w:val="0"/>
          <w:divBdr>
            <w:top w:val="none" w:sz="0" w:space="0" w:color="auto"/>
            <w:left w:val="none" w:sz="0" w:space="0" w:color="auto"/>
            <w:bottom w:val="none" w:sz="0" w:space="0" w:color="auto"/>
            <w:right w:val="none" w:sz="0" w:space="0" w:color="auto"/>
          </w:divBdr>
        </w:div>
      </w:divsChild>
    </w:div>
    <w:div w:id="1424649124">
      <w:marLeft w:val="0"/>
      <w:marRight w:val="0"/>
      <w:marTop w:val="100"/>
      <w:marBottom w:val="0"/>
      <w:divBdr>
        <w:top w:val="none" w:sz="0" w:space="0" w:color="auto"/>
        <w:left w:val="none" w:sz="0" w:space="0" w:color="auto"/>
        <w:bottom w:val="none" w:sz="0" w:space="0" w:color="auto"/>
        <w:right w:val="none" w:sz="0" w:space="0" w:color="auto"/>
      </w:divBdr>
    </w:div>
    <w:div w:id="1425422106">
      <w:marLeft w:val="0"/>
      <w:marRight w:val="0"/>
      <w:marTop w:val="0"/>
      <w:marBottom w:val="0"/>
      <w:divBdr>
        <w:top w:val="none" w:sz="0" w:space="0" w:color="auto"/>
        <w:left w:val="none" w:sz="0" w:space="0" w:color="auto"/>
        <w:bottom w:val="none" w:sz="0" w:space="0" w:color="auto"/>
        <w:right w:val="none" w:sz="0" w:space="0" w:color="auto"/>
      </w:divBdr>
      <w:divsChild>
        <w:div w:id="357320865">
          <w:marLeft w:val="0"/>
          <w:marRight w:val="0"/>
          <w:marTop w:val="0"/>
          <w:marBottom w:val="0"/>
          <w:divBdr>
            <w:top w:val="none" w:sz="0" w:space="0" w:color="auto"/>
            <w:left w:val="none" w:sz="0" w:space="0" w:color="auto"/>
            <w:bottom w:val="none" w:sz="0" w:space="0" w:color="auto"/>
            <w:right w:val="none" w:sz="0" w:space="0" w:color="auto"/>
          </w:divBdr>
        </w:div>
      </w:divsChild>
    </w:div>
    <w:div w:id="1425498121">
      <w:marLeft w:val="0"/>
      <w:marRight w:val="0"/>
      <w:marTop w:val="0"/>
      <w:marBottom w:val="160"/>
      <w:divBdr>
        <w:top w:val="none" w:sz="0" w:space="0" w:color="auto"/>
        <w:left w:val="none" w:sz="0" w:space="0" w:color="auto"/>
        <w:bottom w:val="none" w:sz="0" w:space="0" w:color="auto"/>
        <w:right w:val="none" w:sz="0" w:space="0" w:color="auto"/>
      </w:divBdr>
    </w:div>
    <w:div w:id="1425614391">
      <w:marLeft w:val="0"/>
      <w:marRight w:val="0"/>
      <w:marTop w:val="200"/>
      <w:marBottom w:val="0"/>
      <w:divBdr>
        <w:top w:val="none" w:sz="0" w:space="0" w:color="auto"/>
        <w:left w:val="none" w:sz="0" w:space="0" w:color="auto"/>
        <w:bottom w:val="none" w:sz="0" w:space="0" w:color="auto"/>
        <w:right w:val="none" w:sz="0" w:space="0" w:color="auto"/>
      </w:divBdr>
    </w:div>
    <w:div w:id="1426538956">
      <w:marLeft w:val="0"/>
      <w:marRight w:val="0"/>
      <w:marTop w:val="0"/>
      <w:marBottom w:val="0"/>
      <w:divBdr>
        <w:top w:val="none" w:sz="0" w:space="0" w:color="auto"/>
        <w:left w:val="none" w:sz="0" w:space="0" w:color="auto"/>
        <w:bottom w:val="none" w:sz="0" w:space="0" w:color="auto"/>
        <w:right w:val="none" w:sz="0" w:space="0" w:color="auto"/>
      </w:divBdr>
    </w:div>
    <w:div w:id="1427265436">
      <w:marLeft w:val="0"/>
      <w:marRight w:val="0"/>
      <w:marTop w:val="200"/>
      <w:marBottom w:val="0"/>
      <w:divBdr>
        <w:top w:val="none" w:sz="0" w:space="0" w:color="auto"/>
        <w:left w:val="none" w:sz="0" w:space="0" w:color="auto"/>
        <w:bottom w:val="none" w:sz="0" w:space="0" w:color="auto"/>
        <w:right w:val="none" w:sz="0" w:space="0" w:color="auto"/>
      </w:divBdr>
    </w:div>
    <w:div w:id="1427535577">
      <w:marLeft w:val="0"/>
      <w:marRight w:val="0"/>
      <w:marTop w:val="120"/>
      <w:marBottom w:val="0"/>
      <w:divBdr>
        <w:top w:val="none" w:sz="0" w:space="0" w:color="auto"/>
        <w:left w:val="none" w:sz="0" w:space="0" w:color="auto"/>
        <w:bottom w:val="none" w:sz="0" w:space="0" w:color="auto"/>
        <w:right w:val="none" w:sz="0" w:space="0" w:color="auto"/>
      </w:divBdr>
    </w:div>
    <w:div w:id="1429424824">
      <w:marLeft w:val="0"/>
      <w:marRight w:val="0"/>
      <w:marTop w:val="60"/>
      <w:marBottom w:val="0"/>
      <w:divBdr>
        <w:top w:val="none" w:sz="0" w:space="0" w:color="auto"/>
        <w:left w:val="none" w:sz="0" w:space="0" w:color="auto"/>
        <w:bottom w:val="none" w:sz="0" w:space="0" w:color="auto"/>
        <w:right w:val="none" w:sz="0" w:space="0" w:color="auto"/>
      </w:divBdr>
    </w:div>
    <w:div w:id="1429696271">
      <w:marLeft w:val="0"/>
      <w:marRight w:val="0"/>
      <w:marTop w:val="0"/>
      <w:marBottom w:val="0"/>
      <w:divBdr>
        <w:top w:val="none" w:sz="0" w:space="0" w:color="auto"/>
        <w:left w:val="none" w:sz="0" w:space="0" w:color="auto"/>
        <w:bottom w:val="none" w:sz="0" w:space="0" w:color="auto"/>
        <w:right w:val="none" w:sz="0" w:space="0" w:color="auto"/>
      </w:divBdr>
    </w:div>
    <w:div w:id="1432623897">
      <w:marLeft w:val="0"/>
      <w:marRight w:val="0"/>
      <w:marTop w:val="0"/>
      <w:marBottom w:val="0"/>
      <w:divBdr>
        <w:top w:val="none" w:sz="0" w:space="0" w:color="auto"/>
        <w:left w:val="none" w:sz="0" w:space="0" w:color="auto"/>
        <w:bottom w:val="none" w:sz="0" w:space="0" w:color="auto"/>
        <w:right w:val="none" w:sz="0" w:space="0" w:color="auto"/>
      </w:divBdr>
      <w:divsChild>
        <w:div w:id="480583094">
          <w:marLeft w:val="0"/>
          <w:marRight w:val="0"/>
          <w:marTop w:val="0"/>
          <w:marBottom w:val="0"/>
          <w:divBdr>
            <w:top w:val="none" w:sz="0" w:space="0" w:color="auto"/>
            <w:left w:val="none" w:sz="0" w:space="0" w:color="auto"/>
            <w:bottom w:val="none" w:sz="0" w:space="0" w:color="auto"/>
            <w:right w:val="none" w:sz="0" w:space="0" w:color="auto"/>
          </w:divBdr>
        </w:div>
      </w:divsChild>
    </w:div>
    <w:div w:id="1438594968">
      <w:marLeft w:val="0"/>
      <w:marRight w:val="0"/>
      <w:marTop w:val="200"/>
      <w:marBottom w:val="0"/>
      <w:divBdr>
        <w:top w:val="none" w:sz="0" w:space="0" w:color="auto"/>
        <w:left w:val="none" w:sz="0" w:space="0" w:color="auto"/>
        <w:bottom w:val="none" w:sz="0" w:space="0" w:color="auto"/>
        <w:right w:val="none" w:sz="0" w:space="0" w:color="auto"/>
      </w:divBdr>
    </w:div>
    <w:div w:id="1439448330">
      <w:marLeft w:val="0"/>
      <w:marRight w:val="0"/>
      <w:marTop w:val="0"/>
      <w:marBottom w:val="0"/>
      <w:divBdr>
        <w:top w:val="none" w:sz="0" w:space="0" w:color="auto"/>
        <w:left w:val="none" w:sz="0" w:space="0" w:color="auto"/>
        <w:bottom w:val="none" w:sz="0" w:space="0" w:color="auto"/>
        <w:right w:val="none" w:sz="0" w:space="0" w:color="auto"/>
      </w:divBdr>
      <w:divsChild>
        <w:div w:id="699010681">
          <w:marLeft w:val="0"/>
          <w:marRight w:val="0"/>
          <w:marTop w:val="0"/>
          <w:marBottom w:val="0"/>
          <w:divBdr>
            <w:top w:val="none" w:sz="0" w:space="0" w:color="auto"/>
            <w:left w:val="none" w:sz="0" w:space="0" w:color="auto"/>
            <w:bottom w:val="none" w:sz="0" w:space="0" w:color="auto"/>
            <w:right w:val="none" w:sz="0" w:space="0" w:color="auto"/>
          </w:divBdr>
        </w:div>
      </w:divsChild>
    </w:div>
    <w:div w:id="1439716646">
      <w:marLeft w:val="0"/>
      <w:marRight w:val="0"/>
      <w:marTop w:val="225"/>
      <w:marBottom w:val="0"/>
      <w:divBdr>
        <w:top w:val="none" w:sz="0" w:space="0" w:color="auto"/>
        <w:left w:val="none" w:sz="0" w:space="0" w:color="auto"/>
        <w:bottom w:val="none" w:sz="0" w:space="0" w:color="auto"/>
        <w:right w:val="none" w:sz="0" w:space="0" w:color="auto"/>
      </w:divBdr>
    </w:div>
    <w:div w:id="1449279693">
      <w:marLeft w:val="0"/>
      <w:marRight w:val="0"/>
      <w:marTop w:val="0"/>
      <w:marBottom w:val="0"/>
      <w:divBdr>
        <w:top w:val="none" w:sz="0" w:space="0" w:color="auto"/>
        <w:left w:val="none" w:sz="0" w:space="0" w:color="auto"/>
        <w:bottom w:val="none" w:sz="0" w:space="0" w:color="auto"/>
        <w:right w:val="none" w:sz="0" w:space="0" w:color="auto"/>
      </w:divBdr>
    </w:div>
    <w:div w:id="1450079450">
      <w:marLeft w:val="0"/>
      <w:marRight w:val="0"/>
      <w:marTop w:val="0"/>
      <w:marBottom w:val="0"/>
      <w:divBdr>
        <w:top w:val="none" w:sz="0" w:space="0" w:color="auto"/>
        <w:left w:val="none" w:sz="0" w:space="0" w:color="auto"/>
        <w:bottom w:val="none" w:sz="0" w:space="0" w:color="auto"/>
        <w:right w:val="none" w:sz="0" w:space="0" w:color="auto"/>
      </w:divBdr>
      <w:divsChild>
        <w:div w:id="1397171475">
          <w:marLeft w:val="0"/>
          <w:marRight w:val="0"/>
          <w:marTop w:val="0"/>
          <w:marBottom w:val="0"/>
          <w:divBdr>
            <w:top w:val="none" w:sz="0" w:space="0" w:color="auto"/>
            <w:left w:val="none" w:sz="0" w:space="0" w:color="auto"/>
            <w:bottom w:val="none" w:sz="0" w:space="0" w:color="auto"/>
            <w:right w:val="none" w:sz="0" w:space="0" w:color="auto"/>
          </w:divBdr>
        </w:div>
      </w:divsChild>
    </w:div>
    <w:div w:id="1450971505">
      <w:marLeft w:val="0"/>
      <w:marRight w:val="0"/>
      <w:marTop w:val="100"/>
      <w:marBottom w:val="0"/>
      <w:divBdr>
        <w:top w:val="none" w:sz="0" w:space="0" w:color="auto"/>
        <w:left w:val="none" w:sz="0" w:space="0" w:color="auto"/>
        <w:bottom w:val="none" w:sz="0" w:space="0" w:color="auto"/>
        <w:right w:val="none" w:sz="0" w:space="0" w:color="auto"/>
      </w:divBdr>
    </w:div>
    <w:div w:id="1452477262">
      <w:marLeft w:val="0"/>
      <w:marRight w:val="0"/>
      <w:marTop w:val="200"/>
      <w:marBottom w:val="0"/>
      <w:divBdr>
        <w:top w:val="none" w:sz="0" w:space="0" w:color="auto"/>
        <w:left w:val="none" w:sz="0" w:space="0" w:color="auto"/>
        <w:bottom w:val="none" w:sz="0" w:space="0" w:color="auto"/>
        <w:right w:val="none" w:sz="0" w:space="0" w:color="auto"/>
      </w:divBdr>
    </w:div>
    <w:div w:id="1454131171">
      <w:marLeft w:val="0"/>
      <w:marRight w:val="0"/>
      <w:marTop w:val="200"/>
      <w:marBottom w:val="0"/>
      <w:divBdr>
        <w:top w:val="none" w:sz="0" w:space="0" w:color="auto"/>
        <w:left w:val="none" w:sz="0" w:space="0" w:color="auto"/>
        <w:bottom w:val="none" w:sz="0" w:space="0" w:color="auto"/>
        <w:right w:val="none" w:sz="0" w:space="0" w:color="auto"/>
      </w:divBdr>
    </w:div>
    <w:div w:id="1454786172">
      <w:marLeft w:val="0"/>
      <w:marRight w:val="0"/>
      <w:marTop w:val="200"/>
      <w:marBottom w:val="0"/>
      <w:divBdr>
        <w:top w:val="none" w:sz="0" w:space="0" w:color="auto"/>
        <w:left w:val="none" w:sz="0" w:space="0" w:color="auto"/>
        <w:bottom w:val="none" w:sz="0" w:space="0" w:color="auto"/>
        <w:right w:val="none" w:sz="0" w:space="0" w:color="auto"/>
      </w:divBdr>
    </w:div>
    <w:div w:id="1455826569">
      <w:marLeft w:val="0"/>
      <w:marRight w:val="0"/>
      <w:marTop w:val="0"/>
      <w:marBottom w:val="0"/>
      <w:divBdr>
        <w:top w:val="none" w:sz="0" w:space="0" w:color="auto"/>
        <w:left w:val="none" w:sz="0" w:space="0" w:color="auto"/>
        <w:bottom w:val="none" w:sz="0" w:space="0" w:color="auto"/>
        <w:right w:val="none" w:sz="0" w:space="0" w:color="auto"/>
      </w:divBdr>
    </w:div>
    <w:div w:id="1458451844">
      <w:marLeft w:val="0"/>
      <w:marRight w:val="0"/>
      <w:marTop w:val="200"/>
      <w:marBottom w:val="0"/>
      <w:divBdr>
        <w:top w:val="none" w:sz="0" w:space="0" w:color="auto"/>
        <w:left w:val="none" w:sz="0" w:space="0" w:color="auto"/>
        <w:bottom w:val="none" w:sz="0" w:space="0" w:color="auto"/>
        <w:right w:val="none" w:sz="0" w:space="0" w:color="auto"/>
      </w:divBdr>
    </w:div>
    <w:div w:id="1462502141">
      <w:marLeft w:val="0"/>
      <w:marRight w:val="0"/>
      <w:marTop w:val="200"/>
      <w:marBottom w:val="0"/>
      <w:divBdr>
        <w:top w:val="none" w:sz="0" w:space="0" w:color="auto"/>
        <w:left w:val="none" w:sz="0" w:space="0" w:color="auto"/>
        <w:bottom w:val="none" w:sz="0" w:space="0" w:color="auto"/>
        <w:right w:val="none" w:sz="0" w:space="0" w:color="auto"/>
      </w:divBdr>
    </w:div>
    <w:div w:id="1467240242">
      <w:marLeft w:val="0"/>
      <w:marRight w:val="0"/>
      <w:marTop w:val="0"/>
      <w:marBottom w:val="200"/>
      <w:divBdr>
        <w:top w:val="none" w:sz="0" w:space="0" w:color="auto"/>
        <w:left w:val="none" w:sz="0" w:space="0" w:color="auto"/>
        <w:bottom w:val="none" w:sz="0" w:space="0" w:color="auto"/>
        <w:right w:val="none" w:sz="0" w:space="0" w:color="auto"/>
      </w:divBdr>
    </w:div>
    <w:div w:id="1468429917">
      <w:marLeft w:val="0"/>
      <w:marRight w:val="0"/>
      <w:marTop w:val="100"/>
      <w:marBottom w:val="0"/>
      <w:divBdr>
        <w:top w:val="none" w:sz="0" w:space="0" w:color="auto"/>
        <w:left w:val="none" w:sz="0" w:space="0" w:color="auto"/>
        <w:bottom w:val="none" w:sz="0" w:space="0" w:color="auto"/>
        <w:right w:val="none" w:sz="0" w:space="0" w:color="auto"/>
      </w:divBdr>
    </w:div>
    <w:div w:id="1473478147">
      <w:marLeft w:val="0"/>
      <w:marRight w:val="0"/>
      <w:marTop w:val="0"/>
      <w:marBottom w:val="200"/>
      <w:divBdr>
        <w:top w:val="none" w:sz="0" w:space="0" w:color="auto"/>
        <w:left w:val="none" w:sz="0" w:space="0" w:color="auto"/>
        <w:bottom w:val="none" w:sz="0" w:space="0" w:color="auto"/>
        <w:right w:val="none" w:sz="0" w:space="0" w:color="auto"/>
      </w:divBdr>
    </w:div>
    <w:div w:id="1473670923">
      <w:marLeft w:val="0"/>
      <w:marRight w:val="0"/>
      <w:marTop w:val="200"/>
      <w:marBottom w:val="0"/>
      <w:divBdr>
        <w:top w:val="none" w:sz="0" w:space="0" w:color="auto"/>
        <w:left w:val="none" w:sz="0" w:space="0" w:color="auto"/>
        <w:bottom w:val="none" w:sz="0" w:space="0" w:color="auto"/>
        <w:right w:val="none" w:sz="0" w:space="0" w:color="auto"/>
      </w:divBdr>
    </w:div>
    <w:div w:id="1475678449">
      <w:marLeft w:val="0"/>
      <w:marRight w:val="0"/>
      <w:marTop w:val="100"/>
      <w:marBottom w:val="0"/>
      <w:divBdr>
        <w:top w:val="none" w:sz="0" w:space="0" w:color="auto"/>
        <w:left w:val="none" w:sz="0" w:space="0" w:color="auto"/>
        <w:bottom w:val="none" w:sz="0" w:space="0" w:color="auto"/>
        <w:right w:val="none" w:sz="0" w:space="0" w:color="auto"/>
      </w:divBdr>
    </w:div>
    <w:div w:id="1477525396">
      <w:marLeft w:val="0"/>
      <w:marRight w:val="0"/>
      <w:marTop w:val="0"/>
      <w:marBottom w:val="0"/>
      <w:divBdr>
        <w:top w:val="none" w:sz="0" w:space="0" w:color="auto"/>
        <w:left w:val="none" w:sz="0" w:space="0" w:color="auto"/>
        <w:bottom w:val="none" w:sz="0" w:space="0" w:color="auto"/>
        <w:right w:val="none" w:sz="0" w:space="0" w:color="auto"/>
      </w:divBdr>
      <w:divsChild>
        <w:div w:id="1252545697">
          <w:marLeft w:val="0"/>
          <w:marRight w:val="0"/>
          <w:marTop w:val="0"/>
          <w:marBottom w:val="0"/>
          <w:divBdr>
            <w:top w:val="none" w:sz="0" w:space="0" w:color="auto"/>
            <w:left w:val="none" w:sz="0" w:space="0" w:color="auto"/>
            <w:bottom w:val="none" w:sz="0" w:space="0" w:color="auto"/>
            <w:right w:val="none" w:sz="0" w:space="0" w:color="auto"/>
          </w:divBdr>
        </w:div>
      </w:divsChild>
    </w:div>
    <w:div w:id="1480616301">
      <w:marLeft w:val="0"/>
      <w:marRight w:val="0"/>
      <w:marTop w:val="200"/>
      <w:marBottom w:val="0"/>
      <w:divBdr>
        <w:top w:val="none" w:sz="0" w:space="0" w:color="auto"/>
        <w:left w:val="none" w:sz="0" w:space="0" w:color="auto"/>
        <w:bottom w:val="none" w:sz="0" w:space="0" w:color="auto"/>
        <w:right w:val="none" w:sz="0" w:space="0" w:color="auto"/>
      </w:divBdr>
    </w:div>
    <w:div w:id="1483158165">
      <w:marLeft w:val="0"/>
      <w:marRight w:val="0"/>
      <w:marTop w:val="0"/>
      <w:marBottom w:val="0"/>
      <w:divBdr>
        <w:top w:val="none" w:sz="0" w:space="0" w:color="auto"/>
        <w:left w:val="none" w:sz="0" w:space="0" w:color="auto"/>
        <w:bottom w:val="none" w:sz="0" w:space="0" w:color="auto"/>
        <w:right w:val="none" w:sz="0" w:space="0" w:color="auto"/>
      </w:divBdr>
      <w:divsChild>
        <w:div w:id="358702223">
          <w:marLeft w:val="0"/>
          <w:marRight w:val="0"/>
          <w:marTop w:val="0"/>
          <w:marBottom w:val="0"/>
          <w:divBdr>
            <w:top w:val="none" w:sz="0" w:space="0" w:color="auto"/>
            <w:left w:val="none" w:sz="0" w:space="0" w:color="auto"/>
            <w:bottom w:val="none" w:sz="0" w:space="0" w:color="auto"/>
            <w:right w:val="none" w:sz="0" w:space="0" w:color="auto"/>
          </w:divBdr>
        </w:div>
        <w:div w:id="1825779288">
          <w:marLeft w:val="0"/>
          <w:marRight w:val="0"/>
          <w:marTop w:val="0"/>
          <w:marBottom w:val="0"/>
          <w:divBdr>
            <w:top w:val="none" w:sz="0" w:space="0" w:color="auto"/>
            <w:left w:val="none" w:sz="0" w:space="0" w:color="auto"/>
            <w:bottom w:val="none" w:sz="0" w:space="0" w:color="auto"/>
            <w:right w:val="none" w:sz="0" w:space="0" w:color="auto"/>
          </w:divBdr>
        </w:div>
        <w:div w:id="1809130526">
          <w:marLeft w:val="0"/>
          <w:marRight w:val="0"/>
          <w:marTop w:val="0"/>
          <w:marBottom w:val="0"/>
          <w:divBdr>
            <w:top w:val="none" w:sz="0" w:space="0" w:color="auto"/>
            <w:left w:val="none" w:sz="0" w:space="0" w:color="auto"/>
            <w:bottom w:val="none" w:sz="0" w:space="0" w:color="auto"/>
            <w:right w:val="none" w:sz="0" w:space="0" w:color="auto"/>
          </w:divBdr>
        </w:div>
        <w:div w:id="829519389">
          <w:marLeft w:val="0"/>
          <w:marRight w:val="0"/>
          <w:marTop w:val="0"/>
          <w:marBottom w:val="0"/>
          <w:divBdr>
            <w:top w:val="none" w:sz="0" w:space="0" w:color="auto"/>
            <w:left w:val="none" w:sz="0" w:space="0" w:color="auto"/>
            <w:bottom w:val="none" w:sz="0" w:space="0" w:color="auto"/>
            <w:right w:val="none" w:sz="0" w:space="0" w:color="auto"/>
          </w:divBdr>
        </w:div>
      </w:divsChild>
    </w:div>
    <w:div w:id="1485510491">
      <w:marLeft w:val="0"/>
      <w:marRight w:val="0"/>
      <w:marTop w:val="0"/>
      <w:marBottom w:val="160"/>
      <w:divBdr>
        <w:top w:val="none" w:sz="0" w:space="0" w:color="auto"/>
        <w:left w:val="none" w:sz="0" w:space="0" w:color="auto"/>
        <w:bottom w:val="none" w:sz="0" w:space="0" w:color="auto"/>
        <w:right w:val="none" w:sz="0" w:space="0" w:color="auto"/>
      </w:divBdr>
    </w:div>
    <w:div w:id="1486971397">
      <w:marLeft w:val="0"/>
      <w:marRight w:val="0"/>
      <w:marTop w:val="0"/>
      <w:marBottom w:val="0"/>
      <w:divBdr>
        <w:top w:val="none" w:sz="0" w:space="0" w:color="auto"/>
        <w:left w:val="none" w:sz="0" w:space="0" w:color="auto"/>
        <w:bottom w:val="none" w:sz="0" w:space="0" w:color="auto"/>
        <w:right w:val="none" w:sz="0" w:space="0" w:color="auto"/>
      </w:divBdr>
      <w:divsChild>
        <w:div w:id="1279222596">
          <w:marLeft w:val="0"/>
          <w:marRight w:val="0"/>
          <w:marTop w:val="0"/>
          <w:marBottom w:val="0"/>
          <w:divBdr>
            <w:top w:val="none" w:sz="0" w:space="0" w:color="auto"/>
            <w:left w:val="none" w:sz="0" w:space="0" w:color="auto"/>
            <w:bottom w:val="none" w:sz="0" w:space="0" w:color="auto"/>
            <w:right w:val="none" w:sz="0" w:space="0" w:color="auto"/>
          </w:divBdr>
        </w:div>
      </w:divsChild>
    </w:div>
    <w:div w:id="1493452472">
      <w:marLeft w:val="0"/>
      <w:marRight w:val="0"/>
      <w:marTop w:val="0"/>
      <w:marBottom w:val="200"/>
      <w:divBdr>
        <w:top w:val="none" w:sz="0" w:space="0" w:color="auto"/>
        <w:left w:val="none" w:sz="0" w:space="0" w:color="auto"/>
        <w:bottom w:val="none" w:sz="0" w:space="0" w:color="auto"/>
        <w:right w:val="none" w:sz="0" w:space="0" w:color="auto"/>
      </w:divBdr>
    </w:div>
    <w:div w:id="1494684940">
      <w:marLeft w:val="0"/>
      <w:marRight w:val="0"/>
      <w:marTop w:val="0"/>
      <w:marBottom w:val="0"/>
      <w:divBdr>
        <w:top w:val="none" w:sz="0" w:space="0" w:color="auto"/>
        <w:left w:val="none" w:sz="0" w:space="0" w:color="auto"/>
        <w:bottom w:val="none" w:sz="0" w:space="0" w:color="auto"/>
        <w:right w:val="none" w:sz="0" w:space="0" w:color="auto"/>
      </w:divBdr>
    </w:div>
    <w:div w:id="1495494250">
      <w:marLeft w:val="0"/>
      <w:marRight w:val="0"/>
      <w:marTop w:val="0"/>
      <w:marBottom w:val="160"/>
      <w:divBdr>
        <w:top w:val="none" w:sz="0" w:space="0" w:color="auto"/>
        <w:left w:val="none" w:sz="0" w:space="0" w:color="auto"/>
        <w:bottom w:val="none" w:sz="0" w:space="0" w:color="auto"/>
        <w:right w:val="none" w:sz="0" w:space="0" w:color="auto"/>
      </w:divBdr>
    </w:div>
    <w:div w:id="1499611472">
      <w:marLeft w:val="0"/>
      <w:marRight w:val="0"/>
      <w:marTop w:val="200"/>
      <w:marBottom w:val="0"/>
      <w:divBdr>
        <w:top w:val="none" w:sz="0" w:space="0" w:color="auto"/>
        <w:left w:val="none" w:sz="0" w:space="0" w:color="auto"/>
        <w:bottom w:val="none" w:sz="0" w:space="0" w:color="auto"/>
        <w:right w:val="none" w:sz="0" w:space="0" w:color="auto"/>
      </w:divBdr>
    </w:div>
    <w:div w:id="1503155605">
      <w:marLeft w:val="0"/>
      <w:marRight w:val="0"/>
      <w:marTop w:val="0"/>
      <w:marBottom w:val="0"/>
      <w:divBdr>
        <w:top w:val="none" w:sz="0" w:space="0" w:color="auto"/>
        <w:left w:val="none" w:sz="0" w:space="0" w:color="auto"/>
        <w:bottom w:val="none" w:sz="0" w:space="0" w:color="auto"/>
        <w:right w:val="none" w:sz="0" w:space="0" w:color="auto"/>
      </w:divBdr>
    </w:div>
    <w:div w:id="1506283188">
      <w:marLeft w:val="0"/>
      <w:marRight w:val="0"/>
      <w:marTop w:val="200"/>
      <w:marBottom w:val="0"/>
      <w:divBdr>
        <w:top w:val="none" w:sz="0" w:space="0" w:color="auto"/>
        <w:left w:val="none" w:sz="0" w:space="0" w:color="auto"/>
        <w:bottom w:val="none" w:sz="0" w:space="0" w:color="auto"/>
        <w:right w:val="none" w:sz="0" w:space="0" w:color="auto"/>
      </w:divBdr>
    </w:div>
    <w:div w:id="1506751261">
      <w:marLeft w:val="0"/>
      <w:marRight w:val="0"/>
      <w:marTop w:val="200"/>
      <w:marBottom w:val="0"/>
      <w:divBdr>
        <w:top w:val="none" w:sz="0" w:space="0" w:color="auto"/>
        <w:left w:val="none" w:sz="0" w:space="0" w:color="auto"/>
        <w:bottom w:val="none" w:sz="0" w:space="0" w:color="auto"/>
        <w:right w:val="none" w:sz="0" w:space="0" w:color="auto"/>
      </w:divBdr>
    </w:div>
    <w:div w:id="1509179015">
      <w:marLeft w:val="0"/>
      <w:marRight w:val="0"/>
      <w:marTop w:val="200"/>
      <w:marBottom w:val="0"/>
      <w:divBdr>
        <w:top w:val="none" w:sz="0" w:space="0" w:color="auto"/>
        <w:left w:val="none" w:sz="0" w:space="0" w:color="auto"/>
        <w:bottom w:val="none" w:sz="0" w:space="0" w:color="auto"/>
        <w:right w:val="none" w:sz="0" w:space="0" w:color="auto"/>
      </w:divBdr>
    </w:div>
    <w:div w:id="1517039557">
      <w:marLeft w:val="0"/>
      <w:marRight w:val="0"/>
      <w:marTop w:val="200"/>
      <w:marBottom w:val="0"/>
      <w:divBdr>
        <w:top w:val="none" w:sz="0" w:space="0" w:color="auto"/>
        <w:left w:val="none" w:sz="0" w:space="0" w:color="auto"/>
        <w:bottom w:val="none" w:sz="0" w:space="0" w:color="auto"/>
        <w:right w:val="none" w:sz="0" w:space="0" w:color="auto"/>
      </w:divBdr>
    </w:div>
    <w:div w:id="1521044261">
      <w:marLeft w:val="0"/>
      <w:marRight w:val="0"/>
      <w:marTop w:val="0"/>
      <w:marBottom w:val="0"/>
      <w:divBdr>
        <w:top w:val="none" w:sz="0" w:space="0" w:color="auto"/>
        <w:left w:val="none" w:sz="0" w:space="0" w:color="auto"/>
        <w:bottom w:val="none" w:sz="0" w:space="0" w:color="auto"/>
        <w:right w:val="none" w:sz="0" w:space="0" w:color="auto"/>
      </w:divBdr>
      <w:divsChild>
        <w:div w:id="2015452392">
          <w:marLeft w:val="0"/>
          <w:marRight w:val="0"/>
          <w:marTop w:val="0"/>
          <w:marBottom w:val="0"/>
          <w:divBdr>
            <w:top w:val="none" w:sz="0" w:space="0" w:color="auto"/>
            <w:left w:val="none" w:sz="0" w:space="0" w:color="auto"/>
            <w:bottom w:val="none" w:sz="0" w:space="0" w:color="auto"/>
            <w:right w:val="none" w:sz="0" w:space="0" w:color="auto"/>
          </w:divBdr>
        </w:div>
      </w:divsChild>
    </w:div>
    <w:div w:id="1523593372">
      <w:marLeft w:val="0"/>
      <w:marRight w:val="0"/>
      <w:marTop w:val="0"/>
      <w:marBottom w:val="0"/>
      <w:divBdr>
        <w:top w:val="none" w:sz="0" w:space="0" w:color="auto"/>
        <w:left w:val="none" w:sz="0" w:space="0" w:color="auto"/>
        <w:bottom w:val="none" w:sz="0" w:space="0" w:color="auto"/>
        <w:right w:val="none" w:sz="0" w:space="0" w:color="auto"/>
      </w:divBdr>
    </w:div>
    <w:div w:id="1525555310">
      <w:marLeft w:val="0"/>
      <w:marRight w:val="0"/>
      <w:marTop w:val="0"/>
      <w:marBottom w:val="0"/>
      <w:divBdr>
        <w:top w:val="none" w:sz="0" w:space="0" w:color="auto"/>
        <w:left w:val="none" w:sz="0" w:space="0" w:color="auto"/>
        <w:bottom w:val="none" w:sz="0" w:space="0" w:color="auto"/>
        <w:right w:val="none" w:sz="0" w:space="0" w:color="auto"/>
      </w:divBdr>
      <w:divsChild>
        <w:div w:id="437677903">
          <w:marLeft w:val="0"/>
          <w:marRight w:val="0"/>
          <w:marTop w:val="0"/>
          <w:marBottom w:val="0"/>
          <w:divBdr>
            <w:top w:val="none" w:sz="0" w:space="0" w:color="auto"/>
            <w:left w:val="none" w:sz="0" w:space="0" w:color="auto"/>
            <w:bottom w:val="none" w:sz="0" w:space="0" w:color="auto"/>
            <w:right w:val="none" w:sz="0" w:space="0" w:color="auto"/>
          </w:divBdr>
        </w:div>
      </w:divsChild>
    </w:div>
    <w:div w:id="1525635907">
      <w:marLeft w:val="0"/>
      <w:marRight w:val="0"/>
      <w:marTop w:val="100"/>
      <w:marBottom w:val="0"/>
      <w:divBdr>
        <w:top w:val="none" w:sz="0" w:space="0" w:color="auto"/>
        <w:left w:val="none" w:sz="0" w:space="0" w:color="auto"/>
        <w:bottom w:val="none" w:sz="0" w:space="0" w:color="auto"/>
        <w:right w:val="none" w:sz="0" w:space="0" w:color="auto"/>
      </w:divBdr>
    </w:div>
    <w:div w:id="1527938497">
      <w:marLeft w:val="0"/>
      <w:marRight w:val="0"/>
      <w:marTop w:val="0"/>
      <w:marBottom w:val="0"/>
      <w:divBdr>
        <w:top w:val="none" w:sz="0" w:space="0" w:color="auto"/>
        <w:left w:val="none" w:sz="0" w:space="0" w:color="auto"/>
        <w:bottom w:val="none" w:sz="0" w:space="0" w:color="auto"/>
        <w:right w:val="none" w:sz="0" w:space="0" w:color="auto"/>
      </w:divBdr>
      <w:divsChild>
        <w:div w:id="2146193015">
          <w:marLeft w:val="0"/>
          <w:marRight w:val="0"/>
          <w:marTop w:val="0"/>
          <w:marBottom w:val="0"/>
          <w:divBdr>
            <w:top w:val="none" w:sz="0" w:space="0" w:color="auto"/>
            <w:left w:val="none" w:sz="0" w:space="0" w:color="auto"/>
            <w:bottom w:val="none" w:sz="0" w:space="0" w:color="auto"/>
            <w:right w:val="none" w:sz="0" w:space="0" w:color="auto"/>
          </w:divBdr>
        </w:div>
      </w:divsChild>
    </w:div>
    <w:div w:id="1532261304">
      <w:marLeft w:val="0"/>
      <w:marRight w:val="0"/>
      <w:marTop w:val="200"/>
      <w:marBottom w:val="200"/>
      <w:divBdr>
        <w:top w:val="none" w:sz="0" w:space="0" w:color="auto"/>
        <w:left w:val="none" w:sz="0" w:space="0" w:color="auto"/>
        <w:bottom w:val="none" w:sz="0" w:space="0" w:color="auto"/>
        <w:right w:val="none" w:sz="0" w:space="0" w:color="auto"/>
      </w:divBdr>
    </w:div>
    <w:div w:id="1532955312">
      <w:marLeft w:val="0"/>
      <w:marRight w:val="0"/>
      <w:marTop w:val="0"/>
      <w:marBottom w:val="0"/>
      <w:divBdr>
        <w:top w:val="none" w:sz="0" w:space="0" w:color="auto"/>
        <w:left w:val="none" w:sz="0" w:space="0" w:color="auto"/>
        <w:bottom w:val="none" w:sz="0" w:space="0" w:color="auto"/>
        <w:right w:val="none" w:sz="0" w:space="0" w:color="auto"/>
      </w:divBdr>
      <w:divsChild>
        <w:div w:id="1192959958">
          <w:marLeft w:val="0"/>
          <w:marRight w:val="0"/>
          <w:marTop w:val="0"/>
          <w:marBottom w:val="0"/>
          <w:divBdr>
            <w:top w:val="none" w:sz="0" w:space="0" w:color="auto"/>
            <w:left w:val="none" w:sz="0" w:space="0" w:color="auto"/>
            <w:bottom w:val="none" w:sz="0" w:space="0" w:color="auto"/>
            <w:right w:val="none" w:sz="0" w:space="0" w:color="auto"/>
          </w:divBdr>
        </w:div>
      </w:divsChild>
    </w:div>
    <w:div w:id="1540586539">
      <w:marLeft w:val="0"/>
      <w:marRight w:val="0"/>
      <w:marTop w:val="200"/>
      <w:marBottom w:val="0"/>
      <w:divBdr>
        <w:top w:val="none" w:sz="0" w:space="0" w:color="auto"/>
        <w:left w:val="none" w:sz="0" w:space="0" w:color="auto"/>
        <w:bottom w:val="none" w:sz="0" w:space="0" w:color="auto"/>
        <w:right w:val="none" w:sz="0" w:space="0" w:color="auto"/>
      </w:divBdr>
    </w:div>
    <w:div w:id="1542741329">
      <w:marLeft w:val="0"/>
      <w:marRight w:val="0"/>
      <w:marTop w:val="0"/>
      <w:marBottom w:val="0"/>
      <w:divBdr>
        <w:top w:val="none" w:sz="0" w:space="0" w:color="auto"/>
        <w:left w:val="none" w:sz="0" w:space="0" w:color="auto"/>
        <w:bottom w:val="none" w:sz="0" w:space="0" w:color="auto"/>
        <w:right w:val="none" w:sz="0" w:space="0" w:color="auto"/>
      </w:divBdr>
    </w:div>
    <w:div w:id="1542860021">
      <w:marLeft w:val="0"/>
      <w:marRight w:val="0"/>
      <w:marTop w:val="200"/>
      <w:marBottom w:val="0"/>
      <w:divBdr>
        <w:top w:val="none" w:sz="0" w:space="0" w:color="auto"/>
        <w:left w:val="none" w:sz="0" w:space="0" w:color="auto"/>
        <w:bottom w:val="none" w:sz="0" w:space="0" w:color="auto"/>
        <w:right w:val="none" w:sz="0" w:space="0" w:color="auto"/>
      </w:divBdr>
    </w:div>
    <w:div w:id="1543401401">
      <w:marLeft w:val="0"/>
      <w:marRight w:val="0"/>
      <w:marTop w:val="0"/>
      <w:marBottom w:val="0"/>
      <w:divBdr>
        <w:top w:val="none" w:sz="0" w:space="0" w:color="auto"/>
        <w:left w:val="none" w:sz="0" w:space="0" w:color="auto"/>
        <w:bottom w:val="none" w:sz="0" w:space="0" w:color="auto"/>
        <w:right w:val="none" w:sz="0" w:space="0" w:color="auto"/>
      </w:divBdr>
    </w:div>
    <w:div w:id="1544248384">
      <w:marLeft w:val="0"/>
      <w:marRight w:val="0"/>
      <w:marTop w:val="200"/>
      <w:marBottom w:val="0"/>
      <w:divBdr>
        <w:top w:val="none" w:sz="0" w:space="0" w:color="auto"/>
        <w:left w:val="none" w:sz="0" w:space="0" w:color="auto"/>
        <w:bottom w:val="none" w:sz="0" w:space="0" w:color="auto"/>
        <w:right w:val="none" w:sz="0" w:space="0" w:color="auto"/>
      </w:divBdr>
    </w:div>
    <w:div w:id="1544709866">
      <w:marLeft w:val="0"/>
      <w:marRight w:val="0"/>
      <w:marTop w:val="0"/>
      <w:marBottom w:val="160"/>
      <w:divBdr>
        <w:top w:val="none" w:sz="0" w:space="0" w:color="auto"/>
        <w:left w:val="none" w:sz="0" w:space="0" w:color="auto"/>
        <w:bottom w:val="none" w:sz="0" w:space="0" w:color="auto"/>
        <w:right w:val="none" w:sz="0" w:space="0" w:color="auto"/>
      </w:divBdr>
    </w:div>
    <w:div w:id="1546217830">
      <w:marLeft w:val="0"/>
      <w:marRight w:val="0"/>
      <w:marTop w:val="0"/>
      <w:marBottom w:val="0"/>
      <w:divBdr>
        <w:top w:val="none" w:sz="0" w:space="0" w:color="auto"/>
        <w:left w:val="none" w:sz="0" w:space="0" w:color="auto"/>
        <w:bottom w:val="none" w:sz="0" w:space="0" w:color="auto"/>
        <w:right w:val="none" w:sz="0" w:space="0" w:color="auto"/>
      </w:divBdr>
    </w:div>
    <w:div w:id="1548642255">
      <w:marLeft w:val="0"/>
      <w:marRight w:val="0"/>
      <w:marTop w:val="0"/>
      <w:marBottom w:val="200"/>
      <w:divBdr>
        <w:top w:val="none" w:sz="0" w:space="0" w:color="auto"/>
        <w:left w:val="none" w:sz="0" w:space="0" w:color="auto"/>
        <w:bottom w:val="none" w:sz="0" w:space="0" w:color="auto"/>
        <w:right w:val="none" w:sz="0" w:space="0" w:color="auto"/>
      </w:divBdr>
    </w:div>
    <w:div w:id="1553468031">
      <w:marLeft w:val="0"/>
      <w:marRight w:val="0"/>
      <w:marTop w:val="0"/>
      <w:marBottom w:val="0"/>
      <w:divBdr>
        <w:top w:val="none" w:sz="0" w:space="0" w:color="auto"/>
        <w:left w:val="none" w:sz="0" w:space="0" w:color="auto"/>
        <w:bottom w:val="none" w:sz="0" w:space="0" w:color="auto"/>
        <w:right w:val="none" w:sz="0" w:space="0" w:color="auto"/>
      </w:divBdr>
      <w:divsChild>
        <w:div w:id="133907887">
          <w:marLeft w:val="0"/>
          <w:marRight w:val="0"/>
          <w:marTop w:val="0"/>
          <w:marBottom w:val="0"/>
          <w:divBdr>
            <w:top w:val="none" w:sz="0" w:space="0" w:color="auto"/>
            <w:left w:val="none" w:sz="0" w:space="0" w:color="auto"/>
            <w:bottom w:val="none" w:sz="0" w:space="0" w:color="auto"/>
            <w:right w:val="none" w:sz="0" w:space="0" w:color="auto"/>
          </w:divBdr>
        </w:div>
      </w:divsChild>
    </w:div>
    <w:div w:id="1554655254">
      <w:marLeft w:val="0"/>
      <w:marRight w:val="0"/>
      <w:marTop w:val="20"/>
      <w:marBottom w:val="0"/>
      <w:divBdr>
        <w:top w:val="none" w:sz="0" w:space="0" w:color="auto"/>
        <w:left w:val="none" w:sz="0" w:space="0" w:color="auto"/>
        <w:bottom w:val="none" w:sz="0" w:space="0" w:color="auto"/>
        <w:right w:val="none" w:sz="0" w:space="0" w:color="auto"/>
      </w:divBdr>
    </w:div>
    <w:div w:id="1558975219">
      <w:marLeft w:val="0"/>
      <w:marRight w:val="0"/>
      <w:marTop w:val="0"/>
      <w:marBottom w:val="0"/>
      <w:divBdr>
        <w:top w:val="none" w:sz="0" w:space="0" w:color="auto"/>
        <w:left w:val="none" w:sz="0" w:space="0" w:color="auto"/>
        <w:bottom w:val="none" w:sz="0" w:space="0" w:color="auto"/>
        <w:right w:val="none" w:sz="0" w:space="0" w:color="auto"/>
      </w:divBdr>
    </w:div>
    <w:div w:id="1558977234">
      <w:marLeft w:val="0"/>
      <w:marRight w:val="0"/>
      <w:marTop w:val="0"/>
      <w:marBottom w:val="0"/>
      <w:divBdr>
        <w:top w:val="none" w:sz="0" w:space="0" w:color="auto"/>
        <w:left w:val="none" w:sz="0" w:space="0" w:color="auto"/>
        <w:bottom w:val="none" w:sz="0" w:space="0" w:color="auto"/>
        <w:right w:val="none" w:sz="0" w:space="0" w:color="auto"/>
      </w:divBdr>
      <w:divsChild>
        <w:div w:id="1255482449">
          <w:marLeft w:val="0"/>
          <w:marRight w:val="0"/>
          <w:marTop w:val="0"/>
          <w:marBottom w:val="0"/>
          <w:divBdr>
            <w:top w:val="none" w:sz="0" w:space="0" w:color="auto"/>
            <w:left w:val="none" w:sz="0" w:space="0" w:color="auto"/>
            <w:bottom w:val="none" w:sz="0" w:space="0" w:color="auto"/>
            <w:right w:val="none" w:sz="0" w:space="0" w:color="auto"/>
          </w:divBdr>
        </w:div>
      </w:divsChild>
    </w:div>
    <w:div w:id="1560090482">
      <w:marLeft w:val="0"/>
      <w:marRight w:val="0"/>
      <w:marTop w:val="0"/>
      <w:marBottom w:val="0"/>
      <w:divBdr>
        <w:top w:val="none" w:sz="0" w:space="0" w:color="auto"/>
        <w:left w:val="none" w:sz="0" w:space="0" w:color="auto"/>
        <w:bottom w:val="none" w:sz="0" w:space="0" w:color="auto"/>
        <w:right w:val="none" w:sz="0" w:space="0" w:color="auto"/>
      </w:divBdr>
      <w:divsChild>
        <w:div w:id="201334171">
          <w:marLeft w:val="0"/>
          <w:marRight w:val="0"/>
          <w:marTop w:val="0"/>
          <w:marBottom w:val="0"/>
          <w:divBdr>
            <w:top w:val="none" w:sz="0" w:space="0" w:color="auto"/>
            <w:left w:val="none" w:sz="0" w:space="0" w:color="auto"/>
            <w:bottom w:val="none" w:sz="0" w:space="0" w:color="auto"/>
            <w:right w:val="none" w:sz="0" w:space="0" w:color="auto"/>
          </w:divBdr>
        </w:div>
        <w:div w:id="1116480676">
          <w:marLeft w:val="0"/>
          <w:marRight w:val="0"/>
          <w:marTop w:val="0"/>
          <w:marBottom w:val="0"/>
          <w:divBdr>
            <w:top w:val="none" w:sz="0" w:space="0" w:color="auto"/>
            <w:left w:val="none" w:sz="0" w:space="0" w:color="auto"/>
            <w:bottom w:val="none" w:sz="0" w:space="0" w:color="auto"/>
            <w:right w:val="none" w:sz="0" w:space="0" w:color="auto"/>
          </w:divBdr>
        </w:div>
        <w:div w:id="887306296">
          <w:marLeft w:val="0"/>
          <w:marRight w:val="0"/>
          <w:marTop w:val="0"/>
          <w:marBottom w:val="0"/>
          <w:divBdr>
            <w:top w:val="none" w:sz="0" w:space="0" w:color="auto"/>
            <w:left w:val="none" w:sz="0" w:space="0" w:color="auto"/>
            <w:bottom w:val="none" w:sz="0" w:space="0" w:color="auto"/>
            <w:right w:val="none" w:sz="0" w:space="0" w:color="auto"/>
          </w:divBdr>
        </w:div>
        <w:div w:id="1413550444">
          <w:marLeft w:val="0"/>
          <w:marRight w:val="0"/>
          <w:marTop w:val="0"/>
          <w:marBottom w:val="0"/>
          <w:divBdr>
            <w:top w:val="none" w:sz="0" w:space="0" w:color="auto"/>
            <w:left w:val="none" w:sz="0" w:space="0" w:color="auto"/>
            <w:bottom w:val="none" w:sz="0" w:space="0" w:color="auto"/>
            <w:right w:val="none" w:sz="0" w:space="0" w:color="auto"/>
          </w:divBdr>
        </w:div>
      </w:divsChild>
    </w:div>
    <w:div w:id="1562593931">
      <w:marLeft w:val="0"/>
      <w:marRight w:val="0"/>
      <w:marTop w:val="200"/>
      <w:marBottom w:val="0"/>
      <w:divBdr>
        <w:top w:val="none" w:sz="0" w:space="0" w:color="auto"/>
        <w:left w:val="none" w:sz="0" w:space="0" w:color="auto"/>
        <w:bottom w:val="none" w:sz="0" w:space="0" w:color="auto"/>
        <w:right w:val="none" w:sz="0" w:space="0" w:color="auto"/>
      </w:divBdr>
    </w:div>
    <w:div w:id="1564635898">
      <w:marLeft w:val="0"/>
      <w:marRight w:val="0"/>
      <w:marTop w:val="200"/>
      <w:marBottom w:val="0"/>
      <w:divBdr>
        <w:top w:val="none" w:sz="0" w:space="0" w:color="auto"/>
        <w:left w:val="none" w:sz="0" w:space="0" w:color="auto"/>
        <w:bottom w:val="none" w:sz="0" w:space="0" w:color="auto"/>
        <w:right w:val="none" w:sz="0" w:space="0" w:color="auto"/>
      </w:divBdr>
    </w:div>
    <w:div w:id="1566060944">
      <w:marLeft w:val="0"/>
      <w:marRight w:val="0"/>
      <w:marTop w:val="0"/>
      <w:marBottom w:val="0"/>
      <w:divBdr>
        <w:top w:val="none" w:sz="0" w:space="0" w:color="auto"/>
        <w:left w:val="none" w:sz="0" w:space="0" w:color="auto"/>
        <w:bottom w:val="none" w:sz="0" w:space="0" w:color="auto"/>
        <w:right w:val="none" w:sz="0" w:space="0" w:color="auto"/>
      </w:divBdr>
      <w:divsChild>
        <w:div w:id="1927226436">
          <w:marLeft w:val="0"/>
          <w:marRight w:val="0"/>
          <w:marTop w:val="0"/>
          <w:marBottom w:val="0"/>
          <w:divBdr>
            <w:top w:val="none" w:sz="0" w:space="0" w:color="auto"/>
            <w:left w:val="none" w:sz="0" w:space="0" w:color="auto"/>
            <w:bottom w:val="none" w:sz="0" w:space="0" w:color="auto"/>
            <w:right w:val="none" w:sz="0" w:space="0" w:color="auto"/>
          </w:divBdr>
        </w:div>
      </w:divsChild>
    </w:div>
    <w:div w:id="1566600108">
      <w:marLeft w:val="0"/>
      <w:marRight w:val="0"/>
      <w:marTop w:val="100"/>
      <w:marBottom w:val="0"/>
      <w:divBdr>
        <w:top w:val="none" w:sz="0" w:space="0" w:color="auto"/>
        <w:left w:val="none" w:sz="0" w:space="0" w:color="auto"/>
        <w:bottom w:val="none" w:sz="0" w:space="0" w:color="auto"/>
        <w:right w:val="none" w:sz="0" w:space="0" w:color="auto"/>
      </w:divBdr>
    </w:div>
    <w:div w:id="1566985854">
      <w:marLeft w:val="0"/>
      <w:marRight w:val="0"/>
      <w:marTop w:val="0"/>
      <w:marBottom w:val="0"/>
      <w:divBdr>
        <w:top w:val="none" w:sz="0" w:space="0" w:color="auto"/>
        <w:left w:val="none" w:sz="0" w:space="0" w:color="auto"/>
        <w:bottom w:val="none" w:sz="0" w:space="0" w:color="auto"/>
        <w:right w:val="none" w:sz="0" w:space="0" w:color="auto"/>
      </w:divBdr>
      <w:divsChild>
        <w:div w:id="716589774">
          <w:marLeft w:val="0"/>
          <w:marRight w:val="0"/>
          <w:marTop w:val="0"/>
          <w:marBottom w:val="0"/>
          <w:divBdr>
            <w:top w:val="none" w:sz="0" w:space="0" w:color="auto"/>
            <w:left w:val="none" w:sz="0" w:space="0" w:color="auto"/>
            <w:bottom w:val="none" w:sz="0" w:space="0" w:color="auto"/>
            <w:right w:val="none" w:sz="0" w:space="0" w:color="auto"/>
          </w:divBdr>
        </w:div>
      </w:divsChild>
    </w:div>
    <w:div w:id="1568491191">
      <w:marLeft w:val="0"/>
      <w:marRight w:val="0"/>
      <w:marTop w:val="0"/>
      <w:marBottom w:val="0"/>
      <w:divBdr>
        <w:top w:val="none" w:sz="0" w:space="0" w:color="auto"/>
        <w:left w:val="none" w:sz="0" w:space="0" w:color="auto"/>
        <w:bottom w:val="none" w:sz="0" w:space="0" w:color="auto"/>
        <w:right w:val="none" w:sz="0" w:space="0" w:color="auto"/>
      </w:divBdr>
      <w:divsChild>
        <w:div w:id="1282956040">
          <w:marLeft w:val="0"/>
          <w:marRight w:val="0"/>
          <w:marTop w:val="0"/>
          <w:marBottom w:val="0"/>
          <w:divBdr>
            <w:top w:val="none" w:sz="0" w:space="0" w:color="auto"/>
            <w:left w:val="none" w:sz="0" w:space="0" w:color="auto"/>
            <w:bottom w:val="none" w:sz="0" w:space="0" w:color="auto"/>
            <w:right w:val="none" w:sz="0" w:space="0" w:color="auto"/>
          </w:divBdr>
        </w:div>
      </w:divsChild>
    </w:div>
    <w:div w:id="1569068473">
      <w:marLeft w:val="0"/>
      <w:marRight w:val="0"/>
      <w:marTop w:val="0"/>
      <w:marBottom w:val="0"/>
      <w:divBdr>
        <w:top w:val="none" w:sz="0" w:space="0" w:color="auto"/>
        <w:left w:val="none" w:sz="0" w:space="0" w:color="auto"/>
        <w:bottom w:val="none" w:sz="0" w:space="0" w:color="auto"/>
        <w:right w:val="none" w:sz="0" w:space="0" w:color="auto"/>
      </w:divBdr>
      <w:divsChild>
        <w:div w:id="365913154">
          <w:marLeft w:val="0"/>
          <w:marRight w:val="0"/>
          <w:marTop w:val="0"/>
          <w:marBottom w:val="0"/>
          <w:divBdr>
            <w:top w:val="none" w:sz="0" w:space="0" w:color="auto"/>
            <w:left w:val="none" w:sz="0" w:space="0" w:color="auto"/>
            <w:bottom w:val="none" w:sz="0" w:space="0" w:color="auto"/>
            <w:right w:val="none" w:sz="0" w:space="0" w:color="auto"/>
          </w:divBdr>
        </w:div>
        <w:div w:id="1469470809">
          <w:marLeft w:val="0"/>
          <w:marRight w:val="0"/>
          <w:marTop w:val="0"/>
          <w:marBottom w:val="0"/>
          <w:divBdr>
            <w:top w:val="none" w:sz="0" w:space="0" w:color="auto"/>
            <w:left w:val="none" w:sz="0" w:space="0" w:color="auto"/>
            <w:bottom w:val="none" w:sz="0" w:space="0" w:color="auto"/>
            <w:right w:val="none" w:sz="0" w:space="0" w:color="auto"/>
          </w:divBdr>
        </w:div>
        <w:div w:id="1903441068">
          <w:marLeft w:val="0"/>
          <w:marRight w:val="0"/>
          <w:marTop w:val="0"/>
          <w:marBottom w:val="0"/>
          <w:divBdr>
            <w:top w:val="none" w:sz="0" w:space="0" w:color="auto"/>
            <w:left w:val="none" w:sz="0" w:space="0" w:color="auto"/>
            <w:bottom w:val="none" w:sz="0" w:space="0" w:color="auto"/>
            <w:right w:val="none" w:sz="0" w:space="0" w:color="auto"/>
          </w:divBdr>
        </w:div>
        <w:div w:id="1276205828">
          <w:marLeft w:val="0"/>
          <w:marRight w:val="0"/>
          <w:marTop w:val="0"/>
          <w:marBottom w:val="0"/>
          <w:divBdr>
            <w:top w:val="none" w:sz="0" w:space="0" w:color="auto"/>
            <w:left w:val="none" w:sz="0" w:space="0" w:color="auto"/>
            <w:bottom w:val="none" w:sz="0" w:space="0" w:color="auto"/>
            <w:right w:val="none" w:sz="0" w:space="0" w:color="auto"/>
          </w:divBdr>
        </w:div>
      </w:divsChild>
    </w:div>
    <w:div w:id="1569807735">
      <w:marLeft w:val="0"/>
      <w:marRight w:val="0"/>
      <w:marTop w:val="0"/>
      <w:marBottom w:val="0"/>
      <w:divBdr>
        <w:top w:val="none" w:sz="0" w:space="0" w:color="auto"/>
        <w:left w:val="none" w:sz="0" w:space="0" w:color="auto"/>
        <w:bottom w:val="none" w:sz="0" w:space="0" w:color="auto"/>
        <w:right w:val="none" w:sz="0" w:space="0" w:color="auto"/>
      </w:divBdr>
      <w:divsChild>
        <w:div w:id="564337137">
          <w:marLeft w:val="0"/>
          <w:marRight w:val="0"/>
          <w:marTop w:val="0"/>
          <w:marBottom w:val="0"/>
          <w:divBdr>
            <w:top w:val="none" w:sz="0" w:space="0" w:color="auto"/>
            <w:left w:val="none" w:sz="0" w:space="0" w:color="auto"/>
            <w:bottom w:val="none" w:sz="0" w:space="0" w:color="auto"/>
            <w:right w:val="none" w:sz="0" w:space="0" w:color="auto"/>
          </w:divBdr>
        </w:div>
        <w:div w:id="1367637940">
          <w:marLeft w:val="0"/>
          <w:marRight w:val="0"/>
          <w:marTop w:val="0"/>
          <w:marBottom w:val="0"/>
          <w:divBdr>
            <w:top w:val="none" w:sz="0" w:space="0" w:color="auto"/>
            <w:left w:val="none" w:sz="0" w:space="0" w:color="auto"/>
            <w:bottom w:val="none" w:sz="0" w:space="0" w:color="auto"/>
            <w:right w:val="none" w:sz="0" w:space="0" w:color="auto"/>
          </w:divBdr>
        </w:div>
        <w:div w:id="1023163696">
          <w:marLeft w:val="0"/>
          <w:marRight w:val="0"/>
          <w:marTop w:val="0"/>
          <w:marBottom w:val="0"/>
          <w:divBdr>
            <w:top w:val="none" w:sz="0" w:space="0" w:color="auto"/>
            <w:left w:val="none" w:sz="0" w:space="0" w:color="auto"/>
            <w:bottom w:val="none" w:sz="0" w:space="0" w:color="auto"/>
            <w:right w:val="none" w:sz="0" w:space="0" w:color="auto"/>
          </w:divBdr>
        </w:div>
        <w:div w:id="122313633">
          <w:marLeft w:val="0"/>
          <w:marRight w:val="0"/>
          <w:marTop w:val="0"/>
          <w:marBottom w:val="0"/>
          <w:divBdr>
            <w:top w:val="none" w:sz="0" w:space="0" w:color="auto"/>
            <w:left w:val="none" w:sz="0" w:space="0" w:color="auto"/>
            <w:bottom w:val="none" w:sz="0" w:space="0" w:color="auto"/>
            <w:right w:val="none" w:sz="0" w:space="0" w:color="auto"/>
          </w:divBdr>
        </w:div>
      </w:divsChild>
    </w:div>
    <w:div w:id="1569916862">
      <w:marLeft w:val="0"/>
      <w:marRight w:val="0"/>
      <w:marTop w:val="200"/>
      <w:marBottom w:val="0"/>
      <w:divBdr>
        <w:top w:val="none" w:sz="0" w:space="0" w:color="auto"/>
        <w:left w:val="none" w:sz="0" w:space="0" w:color="auto"/>
        <w:bottom w:val="none" w:sz="0" w:space="0" w:color="auto"/>
        <w:right w:val="none" w:sz="0" w:space="0" w:color="auto"/>
      </w:divBdr>
    </w:div>
    <w:div w:id="1570505010">
      <w:marLeft w:val="0"/>
      <w:marRight w:val="0"/>
      <w:marTop w:val="225"/>
      <w:marBottom w:val="0"/>
      <w:divBdr>
        <w:top w:val="none" w:sz="0" w:space="0" w:color="auto"/>
        <w:left w:val="none" w:sz="0" w:space="0" w:color="auto"/>
        <w:bottom w:val="none" w:sz="0" w:space="0" w:color="auto"/>
        <w:right w:val="none" w:sz="0" w:space="0" w:color="auto"/>
      </w:divBdr>
      <w:divsChild>
        <w:div w:id="2139911861">
          <w:marLeft w:val="0"/>
          <w:marRight w:val="0"/>
          <w:marTop w:val="0"/>
          <w:marBottom w:val="0"/>
          <w:divBdr>
            <w:top w:val="none" w:sz="0" w:space="0" w:color="auto"/>
            <w:left w:val="none" w:sz="0" w:space="0" w:color="auto"/>
            <w:bottom w:val="none" w:sz="0" w:space="0" w:color="auto"/>
            <w:right w:val="none" w:sz="0" w:space="0" w:color="auto"/>
          </w:divBdr>
        </w:div>
        <w:div w:id="435561242">
          <w:marLeft w:val="0"/>
          <w:marRight w:val="0"/>
          <w:marTop w:val="0"/>
          <w:marBottom w:val="0"/>
          <w:divBdr>
            <w:top w:val="none" w:sz="0" w:space="0" w:color="auto"/>
            <w:left w:val="none" w:sz="0" w:space="0" w:color="auto"/>
            <w:bottom w:val="none" w:sz="0" w:space="0" w:color="auto"/>
            <w:right w:val="none" w:sz="0" w:space="0" w:color="auto"/>
          </w:divBdr>
        </w:div>
        <w:div w:id="604772279">
          <w:marLeft w:val="0"/>
          <w:marRight w:val="0"/>
          <w:marTop w:val="0"/>
          <w:marBottom w:val="0"/>
          <w:divBdr>
            <w:top w:val="none" w:sz="0" w:space="0" w:color="auto"/>
            <w:left w:val="none" w:sz="0" w:space="0" w:color="auto"/>
            <w:bottom w:val="none" w:sz="0" w:space="0" w:color="auto"/>
            <w:right w:val="none" w:sz="0" w:space="0" w:color="auto"/>
          </w:divBdr>
        </w:div>
        <w:div w:id="1617712699">
          <w:marLeft w:val="0"/>
          <w:marRight w:val="0"/>
          <w:marTop w:val="0"/>
          <w:marBottom w:val="0"/>
          <w:divBdr>
            <w:top w:val="none" w:sz="0" w:space="0" w:color="auto"/>
            <w:left w:val="none" w:sz="0" w:space="0" w:color="auto"/>
            <w:bottom w:val="none" w:sz="0" w:space="0" w:color="auto"/>
            <w:right w:val="none" w:sz="0" w:space="0" w:color="auto"/>
          </w:divBdr>
        </w:div>
      </w:divsChild>
    </w:div>
    <w:div w:id="1572085310">
      <w:marLeft w:val="0"/>
      <w:marRight w:val="0"/>
      <w:marTop w:val="200"/>
      <w:marBottom w:val="0"/>
      <w:divBdr>
        <w:top w:val="none" w:sz="0" w:space="0" w:color="auto"/>
        <w:left w:val="none" w:sz="0" w:space="0" w:color="auto"/>
        <w:bottom w:val="none" w:sz="0" w:space="0" w:color="auto"/>
        <w:right w:val="none" w:sz="0" w:space="0" w:color="auto"/>
      </w:divBdr>
    </w:div>
    <w:div w:id="1572693576">
      <w:marLeft w:val="0"/>
      <w:marRight w:val="0"/>
      <w:marTop w:val="0"/>
      <w:marBottom w:val="0"/>
      <w:divBdr>
        <w:top w:val="none" w:sz="0" w:space="0" w:color="auto"/>
        <w:left w:val="none" w:sz="0" w:space="0" w:color="auto"/>
        <w:bottom w:val="none" w:sz="0" w:space="0" w:color="auto"/>
        <w:right w:val="none" w:sz="0" w:space="0" w:color="auto"/>
      </w:divBdr>
      <w:divsChild>
        <w:div w:id="1233154789">
          <w:marLeft w:val="0"/>
          <w:marRight w:val="0"/>
          <w:marTop w:val="0"/>
          <w:marBottom w:val="0"/>
          <w:divBdr>
            <w:top w:val="none" w:sz="0" w:space="0" w:color="auto"/>
            <w:left w:val="none" w:sz="0" w:space="0" w:color="auto"/>
            <w:bottom w:val="none" w:sz="0" w:space="0" w:color="auto"/>
            <w:right w:val="none" w:sz="0" w:space="0" w:color="auto"/>
          </w:divBdr>
        </w:div>
      </w:divsChild>
    </w:div>
    <w:div w:id="1576936369">
      <w:marLeft w:val="0"/>
      <w:marRight w:val="0"/>
      <w:marTop w:val="200"/>
      <w:marBottom w:val="0"/>
      <w:divBdr>
        <w:top w:val="none" w:sz="0" w:space="0" w:color="auto"/>
        <w:left w:val="none" w:sz="0" w:space="0" w:color="auto"/>
        <w:bottom w:val="none" w:sz="0" w:space="0" w:color="auto"/>
        <w:right w:val="none" w:sz="0" w:space="0" w:color="auto"/>
      </w:divBdr>
    </w:div>
    <w:div w:id="1578709029">
      <w:marLeft w:val="0"/>
      <w:marRight w:val="0"/>
      <w:marTop w:val="0"/>
      <w:marBottom w:val="0"/>
      <w:divBdr>
        <w:top w:val="none" w:sz="0" w:space="0" w:color="auto"/>
        <w:left w:val="none" w:sz="0" w:space="0" w:color="auto"/>
        <w:bottom w:val="none" w:sz="0" w:space="0" w:color="auto"/>
        <w:right w:val="none" w:sz="0" w:space="0" w:color="auto"/>
      </w:divBdr>
      <w:divsChild>
        <w:div w:id="71049020">
          <w:marLeft w:val="0"/>
          <w:marRight w:val="0"/>
          <w:marTop w:val="0"/>
          <w:marBottom w:val="0"/>
          <w:divBdr>
            <w:top w:val="none" w:sz="0" w:space="0" w:color="auto"/>
            <w:left w:val="none" w:sz="0" w:space="0" w:color="auto"/>
            <w:bottom w:val="none" w:sz="0" w:space="0" w:color="auto"/>
            <w:right w:val="none" w:sz="0" w:space="0" w:color="auto"/>
          </w:divBdr>
        </w:div>
      </w:divsChild>
    </w:div>
    <w:div w:id="1582908805">
      <w:marLeft w:val="0"/>
      <w:marRight w:val="0"/>
      <w:marTop w:val="0"/>
      <w:marBottom w:val="0"/>
      <w:divBdr>
        <w:top w:val="none" w:sz="0" w:space="0" w:color="auto"/>
        <w:left w:val="none" w:sz="0" w:space="0" w:color="auto"/>
        <w:bottom w:val="none" w:sz="0" w:space="0" w:color="auto"/>
        <w:right w:val="none" w:sz="0" w:space="0" w:color="auto"/>
      </w:divBdr>
      <w:divsChild>
        <w:div w:id="843742956">
          <w:marLeft w:val="0"/>
          <w:marRight w:val="0"/>
          <w:marTop w:val="0"/>
          <w:marBottom w:val="0"/>
          <w:divBdr>
            <w:top w:val="none" w:sz="0" w:space="0" w:color="auto"/>
            <w:left w:val="none" w:sz="0" w:space="0" w:color="auto"/>
            <w:bottom w:val="none" w:sz="0" w:space="0" w:color="auto"/>
            <w:right w:val="none" w:sz="0" w:space="0" w:color="auto"/>
          </w:divBdr>
        </w:div>
      </w:divsChild>
    </w:div>
    <w:div w:id="1588034070">
      <w:marLeft w:val="0"/>
      <w:marRight w:val="0"/>
      <w:marTop w:val="200"/>
      <w:marBottom w:val="0"/>
      <w:divBdr>
        <w:top w:val="none" w:sz="0" w:space="0" w:color="auto"/>
        <w:left w:val="none" w:sz="0" w:space="0" w:color="auto"/>
        <w:bottom w:val="none" w:sz="0" w:space="0" w:color="auto"/>
        <w:right w:val="none" w:sz="0" w:space="0" w:color="auto"/>
      </w:divBdr>
    </w:div>
    <w:div w:id="1591044395">
      <w:marLeft w:val="0"/>
      <w:marRight w:val="0"/>
      <w:marTop w:val="200"/>
      <w:marBottom w:val="0"/>
      <w:divBdr>
        <w:top w:val="none" w:sz="0" w:space="0" w:color="auto"/>
        <w:left w:val="none" w:sz="0" w:space="0" w:color="auto"/>
        <w:bottom w:val="none" w:sz="0" w:space="0" w:color="auto"/>
        <w:right w:val="none" w:sz="0" w:space="0" w:color="auto"/>
      </w:divBdr>
    </w:div>
    <w:div w:id="1592662190">
      <w:marLeft w:val="0"/>
      <w:marRight w:val="0"/>
      <w:marTop w:val="200"/>
      <w:marBottom w:val="0"/>
      <w:divBdr>
        <w:top w:val="none" w:sz="0" w:space="0" w:color="auto"/>
        <w:left w:val="none" w:sz="0" w:space="0" w:color="auto"/>
        <w:bottom w:val="none" w:sz="0" w:space="0" w:color="auto"/>
        <w:right w:val="none" w:sz="0" w:space="0" w:color="auto"/>
      </w:divBdr>
    </w:div>
    <w:div w:id="1593734632">
      <w:marLeft w:val="0"/>
      <w:marRight w:val="0"/>
      <w:marTop w:val="0"/>
      <w:marBottom w:val="0"/>
      <w:divBdr>
        <w:top w:val="none" w:sz="0" w:space="0" w:color="auto"/>
        <w:left w:val="none" w:sz="0" w:space="0" w:color="auto"/>
        <w:bottom w:val="none" w:sz="0" w:space="0" w:color="auto"/>
        <w:right w:val="none" w:sz="0" w:space="0" w:color="auto"/>
      </w:divBdr>
      <w:divsChild>
        <w:div w:id="305398910">
          <w:marLeft w:val="0"/>
          <w:marRight w:val="0"/>
          <w:marTop w:val="0"/>
          <w:marBottom w:val="0"/>
          <w:divBdr>
            <w:top w:val="none" w:sz="0" w:space="0" w:color="auto"/>
            <w:left w:val="none" w:sz="0" w:space="0" w:color="auto"/>
            <w:bottom w:val="none" w:sz="0" w:space="0" w:color="auto"/>
            <w:right w:val="none" w:sz="0" w:space="0" w:color="auto"/>
          </w:divBdr>
        </w:div>
      </w:divsChild>
    </w:div>
    <w:div w:id="1597057576">
      <w:marLeft w:val="0"/>
      <w:marRight w:val="0"/>
      <w:marTop w:val="0"/>
      <w:marBottom w:val="0"/>
      <w:divBdr>
        <w:top w:val="none" w:sz="0" w:space="0" w:color="auto"/>
        <w:left w:val="none" w:sz="0" w:space="0" w:color="auto"/>
        <w:bottom w:val="none" w:sz="0" w:space="0" w:color="auto"/>
        <w:right w:val="none" w:sz="0" w:space="0" w:color="auto"/>
      </w:divBdr>
    </w:div>
    <w:div w:id="1600023749">
      <w:marLeft w:val="0"/>
      <w:marRight w:val="0"/>
      <w:marTop w:val="0"/>
      <w:marBottom w:val="0"/>
      <w:divBdr>
        <w:top w:val="none" w:sz="0" w:space="0" w:color="auto"/>
        <w:left w:val="none" w:sz="0" w:space="0" w:color="auto"/>
        <w:bottom w:val="none" w:sz="0" w:space="0" w:color="auto"/>
        <w:right w:val="none" w:sz="0" w:space="0" w:color="auto"/>
      </w:divBdr>
      <w:divsChild>
        <w:div w:id="2020496170">
          <w:marLeft w:val="0"/>
          <w:marRight w:val="0"/>
          <w:marTop w:val="0"/>
          <w:marBottom w:val="0"/>
          <w:divBdr>
            <w:top w:val="none" w:sz="0" w:space="0" w:color="auto"/>
            <w:left w:val="none" w:sz="0" w:space="0" w:color="auto"/>
            <w:bottom w:val="none" w:sz="0" w:space="0" w:color="auto"/>
            <w:right w:val="none" w:sz="0" w:space="0" w:color="auto"/>
          </w:divBdr>
        </w:div>
        <w:div w:id="181549735">
          <w:marLeft w:val="0"/>
          <w:marRight w:val="0"/>
          <w:marTop w:val="0"/>
          <w:marBottom w:val="0"/>
          <w:divBdr>
            <w:top w:val="none" w:sz="0" w:space="0" w:color="auto"/>
            <w:left w:val="none" w:sz="0" w:space="0" w:color="auto"/>
            <w:bottom w:val="none" w:sz="0" w:space="0" w:color="auto"/>
            <w:right w:val="none" w:sz="0" w:space="0" w:color="auto"/>
          </w:divBdr>
        </w:div>
        <w:div w:id="760107359">
          <w:marLeft w:val="0"/>
          <w:marRight w:val="0"/>
          <w:marTop w:val="0"/>
          <w:marBottom w:val="0"/>
          <w:divBdr>
            <w:top w:val="none" w:sz="0" w:space="0" w:color="auto"/>
            <w:left w:val="none" w:sz="0" w:space="0" w:color="auto"/>
            <w:bottom w:val="none" w:sz="0" w:space="0" w:color="auto"/>
            <w:right w:val="none" w:sz="0" w:space="0" w:color="auto"/>
          </w:divBdr>
        </w:div>
        <w:div w:id="1422674902">
          <w:marLeft w:val="0"/>
          <w:marRight w:val="0"/>
          <w:marTop w:val="0"/>
          <w:marBottom w:val="0"/>
          <w:divBdr>
            <w:top w:val="none" w:sz="0" w:space="0" w:color="auto"/>
            <w:left w:val="none" w:sz="0" w:space="0" w:color="auto"/>
            <w:bottom w:val="none" w:sz="0" w:space="0" w:color="auto"/>
            <w:right w:val="none" w:sz="0" w:space="0" w:color="auto"/>
          </w:divBdr>
        </w:div>
      </w:divsChild>
    </w:div>
    <w:div w:id="1601327453">
      <w:marLeft w:val="0"/>
      <w:marRight w:val="0"/>
      <w:marTop w:val="100"/>
      <w:marBottom w:val="0"/>
      <w:divBdr>
        <w:top w:val="none" w:sz="0" w:space="0" w:color="auto"/>
        <w:left w:val="none" w:sz="0" w:space="0" w:color="auto"/>
        <w:bottom w:val="none" w:sz="0" w:space="0" w:color="auto"/>
        <w:right w:val="none" w:sz="0" w:space="0" w:color="auto"/>
      </w:divBdr>
    </w:div>
    <w:div w:id="1601796208">
      <w:marLeft w:val="0"/>
      <w:marRight w:val="0"/>
      <w:marTop w:val="0"/>
      <w:marBottom w:val="0"/>
      <w:divBdr>
        <w:top w:val="none" w:sz="0" w:space="0" w:color="auto"/>
        <w:left w:val="none" w:sz="0" w:space="0" w:color="auto"/>
        <w:bottom w:val="none" w:sz="0" w:space="0" w:color="auto"/>
        <w:right w:val="none" w:sz="0" w:space="0" w:color="auto"/>
      </w:divBdr>
      <w:divsChild>
        <w:div w:id="44064964">
          <w:marLeft w:val="0"/>
          <w:marRight w:val="0"/>
          <w:marTop w:val="0"/>
          <w:marBottom w:val="0"/>
          <w:divBdr>
            <w:top w:val="none" w:sz="0" w:space="0" w:color="auto"/>
            <w:left w:val="none" w:sz="0" w:space="0" w:color="auto"/>
            <w:bottom w:val="none" w:sz="0" w:space="0" w:color="auto"/>
            <w:right w:val="none" w:sz="0" w:space="0" w:color="auto"/>
          </w:divBdr>
        </w:div>
      </w:divsChild>
    </w:div>
    <w:div w:id="1601988419">
      <w:marLeft w:val="0"/>
      <w:marRight w:val="0"/>
      <w:marTop w:val="0"/>
      <w:marBottom w:val="0"/>
      <w:divBdr>
        <w:top w:val="none" w:sz="0" w:space="0" w:color="auto"/>
        <w:left w:val="none" w:sz="0" w:space="0" w:color="auto"/>
        <w:bottom w:val="none" w:sz="0" w:space="0" w:color="auto"/>
        <w:right w:val="none" w:sz="0" w:space="0" w:color="auto"/>
      </w:divBdr>
      <w:divsChild>
        <w:div w:id="889151964">
          <w:marLeft w:val="0"/>
          <w:marRight w:val="0"/>
          <w:marTop w:val="0"/>
          <w:marBottom w:val="0"/>
          <w:divBdr>
            <w:top w:val="none" w:sz="0" w:space="0" w:color="auto"/>
            <w:left w:val="none" w:sz="0" w:space="0" w:color="auto"/>
            <w:bottom w:val="none" w:sz="0" w:space="0" w:color="auto"/>
            <w:right w:val="none" w:sz="0" w:space="0" w:color="auto"/>
          </w:divBdr>
        </w:div>
      </w:divsChild>
    </w:div>
    <w:div w:id="1607157690">
      <w:marLeft w:val="0"/>
      <w:marRight w:val="0"/>
      <w:marTop w:val="100"/>
      <w:marBottom w:val="0"/>
      <w:divBdr>
        <w:top w:val="none" w:sz="0" w:space="0" w:color="auto"/>
        <w:left w:val="none" w:sz="0" w:space="0" w:color="auto"/>
        <w:bottom w:val="none" w:sz="0" w:space="0" w:color="auto"/>
        <w:right w:val="none" w:sz="0" w:space="0" w:color="auto"/>
      </w:divBdr>
    </w:div>
    <w:div w:id="1609585891">
      <w:marLeft w:val="0"/>
      <w:marRight w:val="0"/>
      <w:marTop w:val="0"/>
      <w:marBottom w:val="0"/>
      <w:divBdr>
        <w:top w:val="none" w:sz="0" w:space="0" w:color="auto"/>
        <w:left w:val="none" w:sz="0" w:space="0" w:color="auto"/>
        <w:bottom w:val="none" w:sz="0" w:space="0" w:color="auto"/>
        <w:right w:val="none" w:sz="0" w:space="0" w:color="auto"/>
      </w:divBdr>
    </w:div>
    <w:div w:id="1610507901">
      <w:marLeft w:val="0"/>
      <w:marRight w:val="0"/>
      <w:marTop w:val="0"/>
      <w:marBottom w:val="0"/>
      <w:divBdr>
        <w:top w:val="none" w:sz="0" w:space="0" w:color="auto"/>
        <w:left w:val="none" w:sz="0" w:space="0" w:color="auto"/>
        <w:bottom w:val="none" w:sz="0" w:space="0" w:color="auto"/>
        <w:right w:val="none" w:sz="0" w:space="0" w:color="auto"/>
      </w:divBdr>
      <w:divsChild>
        <w:div w:id="1112674751">
          <w:marLeft w:val="0"/>
          <w:marRight w:val="0"/>
          <w:marTop w:val="0"/>
          <w:marBottom w:val="0"/>
          <w:divBdr>
            <w:top w:val="none" w:sz="0" w:space="0" w:color="auto"/>
            <w:left w:val="none" w:sz="0" w:space="0" w:color="auto"/>
            <w:bottom w:val="none" w:sz="0" w:space="0" w:color="auto"/>
            <w:right w:val="none" w:sz="0" w:space="0" w:color="auto"/>
          </w:divBdr>
        </w:div>
      </w:divsChild>
    </w:div>
    <w:div w:id="1613853154">
      <w:marLeft w:val="0"/>
      <w:marRight w:val="0"/>
      <w:marTop w:val="0"/>
      <w:marBottom w:val="160"/>
      <w:divBdr>
        <w:top w:val="none" w:sz="0" w:space="0" w:color="auto"/>
        <w:left w:val="none" w:sz="0" w:space="0" w:color="auto"/>
        <w:bottom w:val="none" w:sz="0" w:space="0" w:color="auto"/>
        <w:right w:val="none" w:sz="0" w:space="0" w:color="auto"/>
      </w:divBdr>
    </w:div>
    <w:div w:id="1615095013">
      <w:marLeft w:val="0"/>
      <w:marRight w:val="0"/>
      <w:marTop w:val="0"/>
      <w:marBottom w:val="0"/>
      <w:divBdr>
        <w:top w:val="none" w:sz="0" w:space="0" w:color="auto"/>
        <w:left w:val="none" w:sz="0" w:space="0" w:color="auto"/>
        <w:bottom w:val="none" w:sz="0" w:space="0" w:color="auto"/>
        <w:right w:val="none" w:sz="0" w:space="0" w:color="auto"/>
      </w:divBdr>
    </w:div>
    <w:div w:id="1620184766">
      <w:marLeft w:val="0"/>
      <w:marRight w:val="0"/>
      <w:marTop w:val="0"/>
      <w:marBottom w:val="0"/>
      <w:divBdr>
        <w:top w:val="none" w:sz="0" w:space="0" w:color="auto"/>
        <w:left w:val="none" w:sz="0" w:space="0" w:color="auto"/>
        <w:bottom w:val="none" w:sz="0" w:space="0" w:color="auto"/>
        <w:right w:val="none" w:sz="0" w:space="0" w:color="auto"/>
      </w:divBdr>
    </w:div>
    <w:div w:id="1623683082">
      <w:marLeft w:val="0"/>
      <w:marRight w:val="0"/>
      <w:marTop w:val="0"/>
      <w:marBottom w:val="200"/>
      <w:divBdr>
        <w:top w:val="none" w:sz="0" w:space="0" w:color="auto"/>
        <w:left w:val="none" w:sz="0" w:space="0" w:color="auto"/>
        <w:bottom w:val="none" w:sz="0" w:space="0" w:color="auto"/>
        <w:right w:val="none" w:sz="0" w:space="0" w:color="auto"/>
      </w:divBdr>
    </w:div>
    <w:div w:id="1624118010">
      <w:marLeft w:val="0"/>
      <w:marRight w:val="0"/>
      <w:marTop w:val="0"/>
      <w:marBottom w:val="0"/>
      <w:divBdr>
        <w:top w:val="none" w:sz="0" w:space="0" w:color="auto"/>
        <w:left w:val="none" w:sz="0" w:space="0" w:color="auto"/>
        <w:bottom w:val="none" w:sz="0" w:space="0" w:color="auto"/>
        <w:right w:val="none" w:sz="0" w:space="0" w:color="auto"/>
      </w:divBdr>
    </w:div>
    <w:div w:id="1624769346">
      <w:marLeft w:val="0"/>
      <w:marRight w:val="0"/>
      <w:marTop w:val="0"/>
      <w:marBottom w:val="200"/>
      <w:divBdr>
        <w:top w:val="none" w:sz="0" w:space="0" w:color="auto"/>
        <w:left w:val="none" w:sz="0" w:space="0" w:color="auto"/>
        <w:bottom w:val="none" w:sz="0" w:space="0" w:color="auto"/>
        <w:right w:val="none" w:sz="0" w:space="0" w:color="auto"/>
      </w:divBdr>
    </w:div>
    <w:div w:id="1626501610">
      <w:marLeft w:val="0"/>
      <w:marRight w:val="0"/>
      <w:marTop w:val="0"/>
      <w:marBottom w:val="0"/>
      <w:divBdr>
        <w:top w:val="none" w:sz="0" w:space="0" w:color="auto"/>
        <w:left w:val="none" w:sz="0" w:space="0" w:color="auto"/>
        <w:bottom w:val="none" w:sz="0" w:space="0" w:color="auto"/>
        <w:right w:val="none" w:sz="0" w:space="0" w:color="auto"/>
      </w:divBdr>
      <w:divsChild>
        <w:div w:id="279186695">
          <w:marLeft w:val="0"/>
          <w:marRight w:val="0"/>
          <w:marTop w:val="0"/>
          <w:marBottom w:val="0"/>
          <w:divBdr>
            <w:top w:val="none" w:sz="0" w:space="0" w:color="auto"/>
            <w:left w:val="none" w:sz="0" w:space="0" w:color="auto"/>
            <w:bottom w:val="none" w:sz="0" w:space="0" w:color="auto"/>
            <w:right w:val="none" w:sz="0" w:space="0" w:color="auto"/>
          </w:divBdr>
        </w:div>
      </w:divsChild>
    </w:div>
    <w:div w:id="1627158628">
      <w:marLeft w:val="0"/>
      <w:marRight w:val="0"/>
      <w:marTop w:val="0"/>
      <w:marBottom w:val="0"/>
      <w:divBdr>
        <w:top w:val="none" w:sz="0" w:space="0" w:color="auto"/>
        <w:left w:val="none" w:sz="0" w:space="0" w:color="auto"/>
        <w:bottom w:val="none" w:sz="0" w:space="0" w:color="auto"/>
        <w:right w:val="none" w:sz="0" w:space="0" w:color="auto"/>
      </w:divBdr>
      <w:divsChild>
        <w:div w:id="666321896">
          <w:marLeft w:val="0"/>
          <w:marRight w:val="0"/>
          <w:marTop w:val="0"/>
          <w:marBottom w:val="0"/>
          <w:divBdr>
            <w:top w:val="none" w:sz="0" w:space="0" w:color="auto"/>
            <w:left w:val="none" w:sz="0" w:space="0" w:color="auto"/>
            <w:bottom w:val="none" w:sz="0" w:space="0" w:color="auto"/>
            <w:right w:val="none" w:sz="0" w:space="0" w:color="auto"/>
          </w:divBdr>
        </w:div>
        <w:div w:id="1148550635">
          <w:marLeft w:val="0"/>
          <w:marRight w:val="0"/>
          <w:marTop w:val="0"/>
          <w:marBottom w:val="0"/>
          <w:divBdr>
            <w:top w:val="none" w:sz="0" w:space="0" w:color="auto"/>
            <w:left w:val="none" w:sz="0" w:space="0" w:color="auto"/>
            <w:bottom w:val="none" w:sz="0" w:space="0" w:color="auto"/>
            <w:right w:val="none" w:sz="0" w:space="0" w:color="auto"/>
          </w:divBdr>
        </w:div>
        <w:div w:id="1359113572">
          <w:marLeft w:val="0"/>
          <w:marRight w:val="0"/>
          <w:marTop w:val="0"/>
          <w:marBottom w:val="0"/>
          <w:divBdr>
            <w:top w:val="none" w:sz="0" w:space="0" w:color="auto"/>
            <w:left w:val="none" w:sz="0" w:space="0" w:color="auto"/>
            <w:bottom w:val="none" w:sz="0" w:space="0" w:color="auto"/>
            <w:right w:val="none" w:sz="0" w:space="0" w:color="auto"/>
          </w:divBdr>
        </w:div>
        <w:div w:id="992415137">
          <w:marLeft w:val="0"/>
          <w:marRight w:val="0"/>
          <w:marTop w:val="0"/>
          <w:marBottom w:val="0"/>
          <w:divBdr>
            <w:top w:val="none" w:sz="0" w:space="0" w:color="auto"/>
            <w:left w:val="none" w:sz="0" w:space="0" w:color="auto"/>
            <w:bottom w:val="none" w:sz="0" w:space="0" w:color="auto"/>
            <w:right w:val="none" w:sz="0" w:space="0" w:color="auto"/>
          </w:divBdr>
        </w:div>
      </w:divsChild>
    </w:div>
    <w:div w:id="1627199504">
      <w:marLeft w:val="0"/>
      <w:marRight w:val="0"/>
      <w:marTop w:val="200"/>
      <w:marBottom w:val="0"/>
      <w:divBdr>
        <w:top w:val="none" w:sz="0" w:space="0" w:color="auto"/>
        <w:left w:val="none" w:sz="0" w:space="0" w:color="auto"/>
        <w:bottom w:val="none" w:sz="0" w:space="0" w:color="auto"/>
        <w:right w:val="none" w:sz="0" w:space="0" w:color="auto"/>
      </w:divBdr>
    </w:div>
    <w:div w:id="1628318236">
      <w:marLeft w:val="0"/>
      <w:marRight w:val="0"/>
      <w:marTop w:val="0"/>
      <w:marBottom w:val="0"/>
      <w:divBdr>
        <w:top w:val="none" w:sz="0" w:space="0" w:color="auto"/>
        <w:left w:val="none" w:sz="0" w:space="0" w:color="auto"/>
        <w:bottom w:val="none" w:sz="0" w:space="0" w:color="auto"/>
        <w:right w:val="none" w:sz="0" w:space="0" w:color="auto"/>
      </w:divBdr>
      <w:divsChild>
        <w:div w:id="499394619">
          <w:marLeft w:val="0"/>
          <w:marRight w:val="0"/>
          <w:marTop w:val="0"/>
          <w:marBottom w:val="0"/>
          <w:divBdr>
            <w:top w:val="none" w:sz="0" w:space="0" w:color="auto"/>
            <w:left w:val="none" w:sz="0" w:space="0" w:color="auto"/>
            <w:bottom w:val="none" w:sz="0" w:space="0" w:color="auto"/>
            <w:right w:val="none" w:sz="0" w:space="0" w:color="auto"/>
          </w:divBdr>
        </w:div>
      </w:divsChild>
    </w:div>
    <w:div w:id="1630237992">
      <w:marLeft w:val="0"/>
      <w:marRight w:val="0"/>
      <w:marTop w:val="0"/>
      <w:marBottom w:val="0"/>
      <w:divBdr>
        <w:top w:val="none" w:sz="0" w:space="0" w:color="auto"/>
        <w:left w:val="none" w:sz="0" w:space="0" w:color="auto"/>
        <w:bottom w:val="none" w:sz="0" w:space="0" w:color="auto"/>
        <w:right w:val="none" w:sz="0" w:space="0" w:color="auto"/>
      </w:divBdr>
    </w:div>
    <w:div w:id="1632595687">
      <w:marLeft w:val="0"/>
      <w:marRight w:val="0"/>
      <w:marTop w:val="0"/>
      <w:marBottom w:val="0"/>
      <w:divBdr>
        <w:top w:val="none" w:sz="0" w:space="0" w:color="auto"/>
        <w:left w:val="none" w:sz="0" w:space="0" w:color="auto"/>
        <w:bottom w:val="none" w:sz="0" w:space="0" w:color="auto"/>
        <w:right w:val="none" w:sz="0" w:space="0" w:color="auto"/>
      </w:divBdr>
      <w:divsChild>
        <w:div w:id="1772164220">
          <w:marLeft w:val="0"/>
          <w:marRight w:val="0"/>
          <w:marTop w:val="0"/>
          <w:marBottom w:val="0"/>
          <w:divBdr>
            <w:top w:val="none" w:sz="0" w:space="0" w:color="auto"/>
            <w:left w:val="none" w:sz="0" w:space="0" w:color="auto"/>
            <w:bottom w:val="none" w:sz="0" w:space="0" w:color="auto"/>
            <w:right w:val="none" w:sz="0" w:space="0" w:color="auto"/>
          </w:divBdr>
        </w:div>
      </w:divsChild>
    </w:div>
    <w:div w:id="1632596083">
      <w:marLeft w:val="0"/>
      <w:marRight w:val="0"/>
      <w:marTop w:val="0"/>
      <w:marBottom w:val="0"/>
      <w:divBdr>
        <w:top w:val="none" w:sz="0" w:space="0" w:color="auto"/>
        <w:left w:val="none" w:sz="0" w:space="0" w:color="auto"/>
        <w:bottom w:val="none" w:sz="0" w:space="0" w:color="auto"/>
        <w:right w:val="none" w:sz="0" w:space="0" w:color="auto"/>
      </w:divBdr>
    </w:div>
    <w:div w:id="1635408369">
      <w:marLeft w:val="0"/>
      <w:marRight w:val="0"/>
      <w:marTop w:val="0"/>
      <w:marBottom w:val="0"/>
      <w:divBdr>
        <w:top w:val="none" w:sz="0" w:space="0" w:color="auto"/>
        <w:left w:val="none" w:sz="0" w:space="0" w:color="auto"/>
        <w:bottom w:val="none" w:sz="0" w:space="0" w:color="auto"/>
        <w:right w:val="none" w:sz="0" w:space="0" w:color="auto"/>
      </w:divBdr>
      <w:divsChild>
        <w:div w:id="323971222">
          <w:marLeft w:val="0"/>
          <w:marRight w:val="0"/>
          <w:marTop w:val="0"/>
          <w:marBottom w:val="0"/>
          <w:divBdr>
            <w:top w:val="none" w:sz="0" w:space="0" w:color="auto"/>
            <w:left w:val="none" w:sz="0" w:space="0" w:color="auto"/>
            <w:bottom w:val="none" w:sz="0" w:space="0" w:color="auto"/>
            <w:right w:val="none" w:sz="0" w:space="0" w:color="auto"/>
          </w:divBdr>
        </w:div>
      </w:divsChild>
    </w:div>
    <w:div w:id="1637562429">
      <w:marLeft w:val="0"/>
      <w:marRight w:val="0"/>
      <w:marTop w:val="0"/>
      <w:marBottom w:val="0"/>
      <w:divBdr>
        <w:top w:val="none" w:sz="0" w:space="0" w:color="auto"/>
        <w:left w:val="none" w:sz="0" w:space="0" w:color="auto"/>
        <w:bottom w:val="none" w:sz="0" w:space="0" w:color="auto"/>
        <w:right w:val="none" w:sz="0" w:space="0" w:color="auto"/>
      </w:divBdr>
      <w:divsChild>
        <w:div w:id="1628507233">
          <w:marLeft w:val="0"/>
          <w:marRight w:val="0"/>
          <w:marTop w:val="0"/>
          <w:marBottom w:val="0"/>
          <w:divBdr>
            <w:top w:val="none" w:sz="0" w:space="0" w:color="auto"/>
            <w:left w:val="none" w:sz="0" w:space="0" w:color="auto"/>
            <w:bottom w:val="none" w:sz="0" w:space="0" w:color="auto"/>
            <w:right w:val="none" w:sz="0" w:space="0" w:color="auto"/>
          </w:divBdr>
        </w:div>
      </w:divsChild>
    </w:div>
    <w:div w:id="1639607164">
      <w:marLeft w:val="0"/>
      <w:marRight w:val="0"/>
      <w:marTop w:val="0"/>
      <w:marBottom w:val="0"/>
      <w:divBdr>
        <w:top w:val="none" w:sz="0" w:space="0" w:color="auto"/>
        <w:left w:val="none" w:sz="0" w:space="0" w:color="auto"/>
        <w:bottom w:val="none" w:sz="0" w:space="0" w:color="auto"/>
        <w:right w:val="none" w:sz="0" w:space="0" w:color="auto"/>
      </w:divBdr>
      <w:divsChild>
        <w:div w:id="1346857540">
          <w:marLeft w:val="0"/>
          <w:marRight w:val="0"/>
          <w:marTop w:val="0"/>
          <w:marBottom w:val="0"/>
          <w:divBdr>
            <w:top w:val="none" w:sz="0" w:space="0" w:color="auto"/>
            <w:left w:val="none" w:sz="0" w:space="0" w:color="auto"/>
            <w:bottom w:val="none" w:sz="0" w:space="0" w:color="auto"/>
            <w:right w:val="none" w:sz="0" w:space="0" w:color="auto"/>
          </w:divBdr>
        </w:div>
      </w:divsChild>
    </w:div>
    <w:div w:id="1644197700">
      <w:marLeft w:val="0"/>
      <w:marRight w:val="0"/>
      <w:marTop w:val="0"/>
      <w:marBottom w:val="200"/>
      <w:divBdr>
        <w:top w:val="none" w:sz="0" w:space="0" w:color="auto"/>
        <w:left w:val="none" w:sz="0" w:space="0" w:color="auto"/>
        <w:bottom w:val="none" w:sz="0" w:space="0" w:color="auto"/>
        <w:right w:val="none" w:sz="0" w:space="0" w:color="auto"/>
      </w:divBdr>
    </w:div>
    <w:div w:id="1647586599">
      <w:marLeft w:val="0"/>
      <w:marRight w:val="0"/>
      <w:marTop w:val="0"/>
      <w:marBottom w:val="0"/>
      <w:divBdr>
        <w:top w:val="none" w:sz="0" w:space="0" w:color="auto"/>
        <w:left w:val="none" w:sz="0" w:space="0" w:color="auto"/>
        <w:bottom w:val="none" w:sz="0" w:space="0" w:color="auto"/>
        <w:right w:val="none" w:sz="0" w:space="0" w:color="auto"/>
      </w:divBdr>
      <w:divsChild>
        <w:div w:id="251548647">
          <w:marLeft w:val="0"/>
          <w:marRight w:val="0"/>
          <w:marTop w:val="0"/>
          <w:marBottom w:val="0"/>
          <w:divBdr>
            <w:top w:val="none" w:sz="0" w:space="0" w:color="auto"/>
            <w:left w:val="none" w:sz="0" w:space="0" w:color="auto"/>
            <w:bottom w:val="none" w:sz="0" w:space="0" w:color="auto"/>
            <w:right w:val="none" w:sz="0" w:space="0" w:color="auto"/>
          </w:divBdr>
        </w:div>
      </w:divsChild>
    </w:div>
    <w:div w:id="1648122346">
      <w:marLeft w:val="0"/>
      <w:marRight w:val="0"/>
      <w:marTop w:val="0"/>
      <w:marBottom w:val="160"/>
      <w:divBdr>
        <w:top w:val="none" w:sz="0" w:space="0" w:color="auto"/>
        <w:left w:val="none" w:sz="0" w:space="0" w:color="auto"/>
        <w:bottom w:val="none" w:sz="0" w:space="0" w:color="auto"/>
        <w:right w:val="none" w:sz="0" w:space="0" w:color="auto"/>
      </w:divBdr>
    </w:div>
    <w:div w:id="1649431319">
      <w:marLeft w:val="0"/>
      <w:marRight w:val="0"/>
      <w:marTop w:val="0"/>
      <w:marBottom w:val="0"/>
      <w:divBdr>
        <w:top w:val="none" w:sz="0" w:space="0" w:color="auto"/>
        <w:left w:val="none" w:sz="0" w:space="0" w:color="auto"/>
        <w:bottom w:val="none" w:sz="0" w:space="0" w:color="auto"/>
        <w:right w:val="none" w:sz="0" w:space="0" w:color="auto"/>
      </w:divBdr>
      <w:divsChild>
        <w:div w:id="900293280">
          <w:marLeft w:val="0"/>
          <w:marRight w:val="0"/>
          <w:marTop w:val="0"/>
          <w:marBottom w:val="0"/>
          <w:divBdr>
            <w:top w:val="none" w:sz="0" w:space="0" w:color="auto"/>
            <w:left w:val="none" w:sz="0" w:space="0" w:color="auto"/>
            <w:bottom w:val="none" w:sz="0" w:space="0" w:color="auto"/>
            <w:right w:val="none" w:sz="0" w:space="0" w:color="auto"/>
          </w:divBdr>
        </w:div>
        <w:div w:id="787821435">
          <w:marLeft w:val="0"/>
          <w:marRight w:val="0"/>
          <w:marTop w:val="0"/>
          <w:marBottom w:val="0"/>
          <w:divBdr>
            <w:top w:val="none" w:sz="0" w:space="0" w:color="auto"/>
            <w:left w:val="none" w:sz="0" w:space="0" w:color="auto"/>
            <w:bottom w:val="none" w:sz="0" w:space="0" w:color="auto"/>
            <w:right w:val="none" w:sz="0" w:space="0" w:color="auto"/>
          </w:divBdr>
        </w:div>
        <w:div w:id="2067685115">
          <w:marLeft w:val="0"/>
          <w:marRight w:val="0"/>
          <w:marTop w:val="0"/>
          <w:marBottom w:val="0"/>
          <w:divBdr>
            <w:top w:val="none" w:sz="0" w:space="0" w:color="auto"/>
            <w:left w:val="none" w:sz="0" w:space="0" w:color="auto"/>
            <w:bottom w:val="none" w:sz="0" w:space="0" w:color="auto"/>
            <w:right w:val="none" w:sz="0" w:space="0" w:color="auto"/>
          </w:divBdr>
        </w:div>
        <w:div w:id="1945461005">
          <w:marLeft w:val="0"/>
          <w:marRight w:val="0"/>
          <w:marTop w:val="0"/>
          <w:marBottom w:val="0"/>
          <w:divBdr>
            <w:top w:val="none" w:sz="0" w:space="0" w:color="auto"/>
            <w:left w:val="none" w:sz="0" w:space="0" w:color="auto"/>
            <w:bottom w:val="none" w:sz="0" w:space="0" w:color="auto"/>
            <w:right w:val="none" w:sz="0" w:space="0" w:color="auto"/>
          </w:divBdr>
        </w:div>
      </w:divsChild>
    </w:div>
    <w:div w:id="1649824863">
      <w:marLeft w:val="0"/>
      <w:marRight w:val="0"/>
      <w:marTop w:val="200"/>
      <w:marBottom w:val="0"/>
      <w:divBdr>
        <w:top w:val="none" w:sz="0" w:space="0" w:color="auto"/>
        <w:left w:val="none" w:sz="0" w:space="0" w:color="auto"/>
        <w:bottom w:val="none" w:sz="0" w:space="0" w:color="auto"/>
        <w:right w:val="none" w:sz="0" w:space="0" w:color="auto"/>
      </w:divBdr>
    </w:div>
    <w:div w:id="1650481876">
      <w:marLeft w:val="0"/>
      <w:marRight w:val="0"/>
      <w:marTop w:val="0"/>
      <w:marBottom w:val="0"/>
      <w:divBdr>
        <w:top w:val="none" w:sz="0" w:space="0" w:color="auto"/>
        <w:left w:val="none" w:sz="0" w:space="0" w:color="auto"/>
        <w:bottom w:val="none" w:sz="0" w:space="0" w:color="auto"/>
        <w:right w:val="none" w:sz="0" w:space="0" w:color="auto"/>
      </w:divBdr>
    </w:div>
    <w:div w:id="1652365948">
      <w:marLeft w:val="0"/>
      <w:marRight w:val="0"/>
      <w:marTop w:val="0"/>
      <w:marBottom w:val="0"/>
      <w:divBdr>
        <w:top w:val="none" w:sz="0" w:space="0" w:color="auto"/>
        <w:left w:val="none" w:sz="0" w:space="0" w:color="auto"/>
        <w:bottom w:val="none" w:sz="0" w:space="0" w:color="auto"/>
        <w:right w:val="none" w:sz="0" w:space="0" w:color="auto"/>
      </w:divBdr>
      <w:divsChild>
        <w:div w:id="1649171475">
          <w:marLeft w:val="0"/>
          <w:marRight w:val="0"/>
          <w:marTop w:val="0"/>
          <w:marBottom w:val="0"/>
          <w:divBdr>
            <w:top w:val="none" w:sz="0" w:space="0" w:color="auto"/>
            <w:left w:val="none" w:sz="0" w:space="0" w:color="auto"/>
            <w:bottom w:val="none" w:sz="0" w:space="0" w:color="auto"/>
            <w:right w:val="none" w:sz="0" w:space="0" w:color="auto"/>
          </w:divBdr>
        </w:div>
        <w:div w:id="1676610653">
          <w:marLeft w:val="0"/>
          <w:marRight w:val="0"/>
          <w:marTop w:val="0"/>
          <w:marBottom w:val="0"/>
          <w:divBdr>
            <w:top w:val="none" w:sz="0" w:space="0" w:color="auto"/>
            <w:left w:val="none" w:sz="0" w:space="0" w:color="auto"/>
            <w:bottom w:val="none" w:sz="0" w:space="0" w:color="auto"/>
            <w:right w:val="none" w:sz="0" w:space="0" w:color="auto"/>
          </w:divBdr>
        </w:div>
        <w:div w:id="1697583430">
          <w:marLeft w:val="0"/>
          <w:marRight w:val="0"/>
          <w:marTop w:val="0"/>
          <w:marBottom w:val="0"/>
          <w:divBdr>
            <w:top w:val="none" w:sz="0" w:space="0" w:color="auto"/>
            <w:left w:val="none" w:sz="0" w:space="0" w:color="auto"/>
            <w:bottom w:val="none" w:sz="0" w:space="0" w:color="auto"/>
            <w:right w:val="none" w:sz="0" w:space="0" w:color="auto"/>
          </w:divBdr>
        </w:div>
        <w:div w:id="1064451429">
          <w:marLeft w:val="0"/>
          <w:marRight w:val="0"/>
          <w:marTop w:val="0"/>
          <w:marBottom w:val="0"/>
          <w:divBdr>
            <w:top w:val="none" w:sz="0" w:space="0" w:color="auto"/>
            <w:left w:val="none" w:sz="0" w:space="0" w:color="auto"/>
            <w:bottom w:val="none" w:sz="0" w:space="0" w:color="auto"/>
            <w:right w:val="none" w:sz="0" w:space="0" w:color="auto"/>
          </w:divBdr>
        </w:div>
      </w:divsChild>
    </w:div>
    <w:div w:id="1655644629">
      <w:marLeft w:val="0"/>
      <w:marRight w:val="0"/>
      <w:marTop w:val="200"/>
      <w:marBottom w:val="0"/>
      <w:divBdr>
        <w:top w:val="none" w:sz="0" w:space="0" w:color="auto"/>
        <w:left w:val="none" w:sz="0" w:space="0" w:color="auto"/>
        <w:bottom w:val="none" w:sz="0" w:space="0" w:color="auto"/>
        <w:right w:val="none" w:sz="0" w:space="0" w:color="auto"/>
      </w:divBdr>
    </w:div>
    <w:div w:id="1655837568">
      <w:marLeft w:val="0"/>
      <w:marRight w:val="0"/>
      <w:marTop w:val="0"/>
      <w:marBottom w:val="0"/>
      <w:divBdr>
        <w:top w:val="none" w:sz="0" w:space="0" w:color="auto"/>
        <w:left w:val="none" w:sz="0" w:space="0" w:color="auto"/>
        <w:bottom w:val="none" w:sz="0" w:space="0" w:color="auto"/>
        <w:right w:val="none" w:sz="0" w:space="0" w:color="auto"/>
      </w:divBdr>
      <w:divsChild>
        <w:div w:id="507016463">
          <w:marLeft w:val="0"/>
          <w:marRight w:val="0"/>
          <w:marTop w:val="0"/>
          <w:marBottom w:val="0"/>
          <w:divBdr>
            <w:top w:val="none" w:sz="0" w:space="0" w:color="auto"/>
            <w:left w:val="none" w:sz="0" w:space="0" w:color="auto"/>
            <w:bottom w:val="none" w:sz="0" w:space="0" w:color="auto"/>
            <w:right w:val="none" w:sz="0" w:space="0" w:color="auto"/>
          </w:divBdr>
        </w:div>
      </w:divsChild>
    </w:div>
    <w:div w:id="1656491676">
      <w:marLeft w:val="0"/>
      <w:marRight w:val="0"/>
      <w:marTop w:val="0"/>
      <w:marBottom w:val="0"/>
      <w:divBdr>
        <w:top w:val="none" w:sz="0" w:space="0" w:color="auto"/>
        <w:left w:val="none" w:sz="0" w:space="0" w:color="auto"/>
        <w:bottom w:val="none" w:sz="0" w:space="0" w:color="auto"/>
        <w:right w:val="none" w:sz="0" w:space="0" w:color="auto"/>
      </w:divBdr>
      <w:divsChild>
        <w:div w:id="1900624784">
          <w:marLeft w:val="0"/>
          <w:marRight w:val="0"/>
          <w:marTop w:val="0"/>
          <w:marBottom w:val="0"/>
          <w:divBdr>
            <w:top w:val="none" w:sz="0" w:space="0" w:color="auto"/>
            <w:left w:val="none" w:sz="0" w:space="0" w:color="auto"/>
            <w:bottom w:val="none" w:sz="0" w:space="0" w:color="auto"/>
            <w:right w:val="none" w:sz="0" w:space="0" w:color="auto"/>
          </w:divBdr>
        </w:div>
        <w:div w:id="487063668">
          <w:marLeft w:val="0"/>
          <w:marRight w:val="0"/>
          <w:marTop w:val="0"/>
          <w:marBottom w:val="0"/>
          <w:divBdr>
            <w:top w:val="none" w:sz="0" w:space="0" w:color="auto"/>
            <w:left w:val="none" w:sz="0" w:space="0" w:color="auto"/>
            <w:bottom w:val="none" w:sz="0" w:space="0" w:color="auto"/>
            <w:right w:val="none" w:sz="0" w:space="0" w:color="auto"/>
          </w:divBdr>
        </w:div>
      </w:divsChild>
    </w:div>
    <w:div w:id="1657490681">
      <w:marLeft w:val="0"/>
      <w:marRight w:val="0"/>
      <w:marTop w:val="200"/>
      <w:marBottom w:val="0"/>
      <w:divBdr>
        <w:top w:val="none" w:sz="0" w:space="0" w:color="auto"/>
        <w:left w:val="none" w:sz="0" w:space="0" w:color="auto"/>
        <w:bottom w:val="none" w:sz="0" w:space="0" w:color="auto"/>
        <w:right w:val="none" w:sz="0" w:space="0" w:color="auto"/>
      </w:divBdr>
    </w:div>
    <w:div w:id="1663392716">
      <w:marLeft w:val="0"/>
      <w:marRight w:val="0"/>
      <w:marTop w:val="180"/>
      <w:marBottom w:val="0"/>
      <w:divBdr>
        <w:top w:val="none" w:sz="0" w:space="0" w:color="auto"/>
        <w:left w:val="none" w:sz="0" w:space="0" w:color="auto"/>
        <w:bottom w:val="none" w:sz="0" w:space="0" w:color="auto"/>
        <w:right w:val="none" w:sz="0" w:space="0" w:color="auto"/>
      </w:divBdr>
    </w:div>
    <w:div w:id="1664360070">
      <w:marLeft w:val="0"/>
      <w:marRight w:val="0"/>
      <w:marTop w:val="200"/>
      <w:marBottom w:val="0"/>
      <w:divBdr>
        <w:top w:val="none" w:sz="0" w:space="0" w:color="auto"/>
        <w:left w:val="none" w:sz="0" w:space="0" w:color="auto"/>
        <w:bottom w:val="none" w:sz="0" w:space="0" w:color="auto"/>
        <w:right w:val="none" w:sz="0" w:space="0" w:color="auto"/>
      </w:divBdr>
    </w:div>
    <w:div w:id="1665552332">
      <w:marLeft w:val="0"/>
      <w:marRight w:val="0"/>
      <w:marTop w:val="0"/>
      <w:marBottom w:val="0"/>
      <w:divBdr>
        <w:top w:val="none" w:sz="0" w:space="0" w:color="auto"/>
        <w:left w:val="none" w:sz="0" w:space="0" w:color="auto"/>
        <w:bottom w:val="none" w:sz="0" w:space="0" w:color="auto"/>
        <w:right w:val="none" w:sz="0" w:space="0" w:color="auto"/>
      </w:divBdr>
      <w:divsChild>
        <w:div w:id="1597860841">
          <w:marLeft w:val="0"/>
          <w:marRight w:val="0"/>
          <w:marTop w:val="0"/>
          <w:marBottom w:val="0"/>
          <w:divBdr>
            <w:top w:val="none" w:sz="0" w:space="0" w:color="auto"/>
            <w:left w:val="none" w:sz="0" w:space="0" w:color="auto"/>
            <w:bottom w:val="none" w:sz="0" w:space="0" w:color="auto"/>
            <w:right w:val="none" w:sz="0" w:space="0" w:color="auto"/>
          </w:divBdr>
        </w:div>
      </w:divsChild>
    </w:div>
    <w:div w:id="1666474676">
      <w:marLeft w:val="0"/>
      <w:marRight w:val="0"/>
      <w:marTop w:val="100"/>
      <w:marBottom w:val="0"/>
      <w:divBdr>
        <w:top w:val="none" w:sz="0" w:space="0" w:color="auto"/>
        <w:left w:val="none" w:sz="0" w:space="0" w:color="auto"/>
        <w:bottom w:val="none" w:sz="0" w:space="0" w:color="auto"/>
        <w:right w:val="none" w:sz="0" w:space="0" w:color="auto"/>
      </w:divBdr>
    </w:div>
    <w:div w:id="1667322393">
      <w:marLeft w:val="0"/>
      <w:marRight w:val="0"/>
      <w:marTop w:val="0"/>
      <w:marBottom w:val="0"/>
      <w:divBdr>
        <w:top w:val="none" w:sz="0" w:space="0" w:color="auto"/>
        <w:left w:val="none" w:sz="0" w:space="0" w:color="auto"/>
        <w:bottom w:val="none" w:sz="0" w:space="0" w:color="auto"/>
        <w:right w:val="none" w:sz="0" w:space="0" w:color="auto"/>
      </w:divBdr>
    </w:div>
    <w:div w:id="1673875259">
      <w:marLeft w:val="0"/>
      <w:marRight w:val="0"/>
      <w:marTop w:val="200"/>
      <w:marBottom w:val="0"/>
      <w:divBdr>
        <w:top w:val="none" w:sz="0" w:space="0" w:color="auto"/>
        <w:left w:val="none" w:sz="0" w:space="0" w:color="auto"/>
        <w:bottom w:val="none" w:sz="0" w:space="0" w:color="auto"/>
        <w:right w:val="none" w:sz="0" w:space="0" w:color="auto"/>
      </w:divBdr>
    </w:div>
    <w:div w:id="1673944665">
      <w:marLeft w:val="0"/>
      <w:marRight w:val="0"/>
      <w:marTop w:val="0"/>
      <w:marBottom w:val="0"/>
      <w:divBdr>
        <w:top w:val="none" w:sz="0" w:space="0" w:color="auto"/>
        <w:left w:val="none" w:sz="0" w:space="0" w:color="auto"/>
        <w:bottom w:val="none" w:sz="0" w:space="0" w:color="auto"/>
        <w:right w:val="none" w:sz="0" w:space="0" w:color="auto"/>
      </w:divBdr>
      <w:divsChild>
        <w:div w:id="629747978">
          <w:marLeft w:val="0"/>
          <w:marRight w:val="0"/>
          <w:marTop w:val="0"/>
          <w:marBottom w:val="0"/>
          <w:divBdr>
            <w:top w:val="none" w:sz="0" w:space="0" w:color="auto"/>
            <w:left w:val="none" w:sz="0" w:space="0" w:color="auto"/>
            <w:bottom w:val="none" w:sz="0" w:space="0" w:color="auto"/>
            <w:right w:val="none" w:sz="0" w:space="0" w:color="auto"/>
          </w:divBdr>
        </w:div>
      </w:divsChild>
    </w:div>
    <w:div w:id="1677608521">
      <w:marLeft w:val="0"/>
      <w:marRight w:val="0"/>
      <w:marTop w:val="0"/>
      <w:marBottom w:val="0"/>
      <w:divBdr>
        <w:top w:val="none" w:sz="0" w:space="0" w:color="auto"/>
        <w:left w:val="none" w:sz="0" w:space="0" w:color="auto"/>
        <w:bottom w:val="none" w:sz="0" w:space="0" w:color="auto"/>
        <w:right w:val="none" w:sz="0" w:space="0" w:color="auto"/>
      </w:divBdr>
    </w:div>
    <w:div w:id="1679968594">
      <w:marLeft w:val="0"/>
      <w:marRight w:val="0"/>
      <w:marTop w:val="200"/>
      <w:marBottom w:val="0"/>
      <w:divBdr>
        <w:top w:val="none" w:sz="0" w:space="0" w:color="auto"/>
        <w:left w:val="none" w:sz="0" w:space="0" w:color="auto"/>
        <w:bottom w:val="none" w:sz="0" w:space="0" w:color="auto"/>
        <w:right w:val="none" w:sz="0" w:space="0" w:color="auto"/>
      </w:divBdr>
    </w:div>
    <w:div w:id="1681615366">
      <w:marLeft w:val="0"/>
      <w:marRight w:val="0"/>
      <w:marTop w:val="0"/>
      <w:marBottom w:val="0"/>
      <w:divBdr>
        <w:top w:val="none" w:sz="0" w:space="0" w:color="auto"/>
        <w:left w:val="none" w:sz="0" w:space="0" w:color="auto"/>
        <w:bottom w:val="none" w:sz="0" w:space="0" w:color="auto"/>
        <w:right w:val="none" w:sz="0" w:space="0" w:color="auto"/>
      </w:divBdr>
      <w:divsChild>
        <w:div w:id="339504632">
          <w:marLeft w:val="0"/>
          <w:marRight w:val="0"/>
          <w:marTop w:val="0"/>
          <w:marBottom w:val="0"/>
          <w:divBdr>
            <w:top w:val="none" w:sz="0" w:space="0" w:color="auto"/>
            <w:left w:val="none" w:sz="0" w:space="0" w:color="auto"/>
            <w:bottom w:val="none" w:sz="0" w:space="0" w:color="auto"/>
            <w:right w:val="none" w:sz="0" w:space="0" w:color="auto"/>
          </w:divBdr>
        </w:div>
      </w:divsChild>
    </w:div>
    <w:div w:id="1683629517">
      <w:marLeft w:val="0"/>
      <w:marRight w:val="0"/>
      <w:marTop w:val="0"/>
      <w:marBottom w:val="0"/>
      <w:divBdr>
        <w:top w:val="none" w:sz="0" w:space="0" w:color="auto"/>
        <w:left w:val="none" w:sz="0" w:space="0" w:color="auto"/>
        <w:bottom w:val="none" w:sz="0" w:space="0" w:color="auto"/>
        <w:right w:val="none" w:sz="0" w:space="0" w:color="auto"/>
      </w:divBdr>
      <w:divsChild>
        <w:div w:id="751198047">
          <w:marLeft w:val="0"/>
          <w:marRight w:val="0"/>
          <w:marTop w:val="0"/>
          <w:marBottom w:val="0"/>
          <w:divBdr>
            <w:top w:val="none" w:sz="0" w:space="0" w:color="auto"/>
            <w:left w:val="none" w:sz="0" w:space="0" w:color="auto"/>
            <w:bottom w:val="none" w:sz="0" w:space="0" w:color="auto"/>
            <w:right w:val="none" w:sz="0" w:space="0" w:color="auto"/>
          </w:divBdr>
        </w:div>
      </w:divsChild>
    </w:div>
    <w:div w:id="1683823115">
      <w:marLeft w:val="0"/>
      <w:marRight w:val="0"/>
      <w:marTop w:val="0"/>
      <w:marBottom w:val="0"/>
      <w:divBdr>
        <w:top w:val="none" w:sz="0" w:space="0" w:color="auto"/>
        <w:left w:val="none" w:sz="0" w:space="0" w:color="auto"/>
        <w:bottom w:val="none" w:sz="0" w:space="0" w:color="auto"/>
        <w:right w:val="none" w:sz="0" w:space="0" w:color="auto"/>
      </w:divBdr>
      <w:divsChild>
        <w:div w:id="1228147452">
          <w:marLeft w:val="0"/>
          <w:marRight w:val="0"/>
          <w:marTop w:val="0"/>
          <w:marBottom w:val="0"/>
          <w:divBdr>
            <w:top w:val="none" w:sz="0" w:space="0" w:color="auto"/>
            <w:left w:val="none" w:sz="0" w:space="0" w:color="auto"/>
            <w:bottom w:val="none" w:sz="0" w:space="0" w:color="auto"/>
            <w:right w:val="none" w:sz="0" w:space="0" w:color="auto"/>
          </w:divBdr>
        </w:div>
      </w:divsChild>
    </w:div>
    <w:div w:id="1686050887">
      <w:marLeft w:val="0"/>
      <w:marRight w:val="0"/>
      <w:marTop w:val="0"/>
      <w:marBottom w:val="0"/>
      <w:divBdr>
        <w:top w:val="none" w:sz="0" w:space="0" w:color="auto"/>
        <w:left w:val="none" w:sz="0" w:space="0" w:color="auto"/>
        <w:bottom w:val="none" w:sz="0" w:space="0" w:color="auto"/>
        <w:right w:val="none" w:sz="0" w:space="0" w:color="auto"/>
      </w:divBdr>
      <w:divsChild>
        <w:div w:id="88546779">
          <w:marLeft w:val="0"/>
          <w:marRight w:val="0"/>
          <w:marTop w:val="0"/>
          <w:marBottom w:val="0"/>
          <w:divBdr>
            <w:top w:val="none" w:sz="0" w:space="0" w:color="auto"/>
            <w:left w:val="none" w:sz="0" w:space="0" w:color="auto"/>
            <w:bottom w:val="none" w:sz="0" w:space="0" w:color="auto"/>
            <w:right w:val="none" w:sz="0" w:space="0" w:color="auto"/>
          </w:divBdr>
        </w:div>
      </w:divsChild>
    </w:div>
    <w:div w:id="1687059070">
      <w:marLeft w:val="0"/>
      <w:marRight w:val="0"/>
      <w:marTop w:val="0"/>
      <w:marBottom w:val="0"/>
      <w:divBdr>
        <w:top w:val="none" w:sz="0" w:space="0" w:color="auto"/>
        <w:left w:val="none" w:sz="0" w:space="0" w:color="auto"/>
        <w:bottom w:val="none" w:sz="0" w:space="0" w:color="auto"/>
        <w:right w:val="none" w:sz="0" w:space="0" w:color="auto"/>
      </w:divBdr>
    </w:div>
    <w:div w:id="1688096067">
      <w:marLeft w:val="0"/>
      <w:marRight w:val="0"/>
      <w:marTop w:val="0"/>
      <w:marBottom w:val="0"/>
      <w:divBdr>
        <w:top w:val="none" w:sz="0" w:space="0" w:color="auto"/>
        <w:left w:val="none" w:sz="0" w:space="0" w:color="auto"/>
        <w:bottom w:val="none" w:sz="0" w:space="0" w:color="auto"/>
        <w:right w:val="none" w:sz="0" w:space="0" w:color="auto"/>
      </w:divBdr>
      <w:divsChild>
        <w:div w:id="306862325">
          <w:marLeft w:val="0"/>
          <w:marRight w:val="0"/>
          <w:marTop w:val="0"/>
          <w:marBottom w:val="0"/>
          <w:divBdr>
            <w:top w:val="none" w:sz="0" w:space="0" w:color="auto"/>
            <w:left w:val="none" w:sz="0" w:space="0" w:color="auto"/>
            <w:bottom w:val="none" w:sz="0" w:space="0" w:color="auto"/>
            <w:right w:val="none" w:sz="0" w:space="0" w:color="auto"/>
          </w:divBdr>
        </w:div>
      </w:divsChild>
    </w:div>
    <w:div w:id="1688828544">
      <w:marLeft w:val="0"/>
      <w:marRight w:val="0"/>
      <w:marTop w:val="200"/>
      <w:marBottom w:val="0"/>
      <w:divBdr>
        <w:top w:val="none" w:sz="0" w:space="0" w:color="auto"/>
        <w:left w:val="none" w:sz="0" w:space="0" w:color="auto"/>
        <w:bottom w:val="none" w:sz="0" w:space="0" w:color="auto"/>
        <w:right w:val="none" w:sz="0" w:space="0" w:color="auto"/>
      </w:divBdr>
    </w:div>
    <w:div w:id="1692141992">
      <w:marLeft w:val="0"/>
      <w:marRight w:val="0"/>
      <w:marTop w:val="0"/>
      <w:marBottom w:val="0"/>
      <w:divBdr>
        <w:top w:val="none" w:sz="0" w:space="0" w:color="auto"/>
        <w:left w:val="none" w:sz="0" w:space="0" w:color="auto"/>
        <w:bottom w:val="none" w:sz="0" w:space="0" w:color="auto"/>
        <w:right w:val="none" w:sz="0" w:space="0" w:color="auto"/>
      </w:divBdr>
      <w:divsChild>
        <w:div w:id="1715306024">
          <w:marLeft w:val="0"/>
          <w:marRight w:val="0"/>
          <w:marTop w:val="0"/>
          <w:marBottom w:val="0"/>
          <w:divBdr>
            <w:top w:val="none" w:sz="0" w:space="0" w:color="auto"/>
            <w:left w:val="none" w:sz="0" w:space="0" w:color="auto"/>
            <w:bottom w:val="none" w:sz="0" w:space="0" w:color="auto"/>
            <w:right w:val="none" w:sz="0" w:space="0" w:color="auto"/>
          </w:divBdr>
        </w:div>
      </w:divsChild>
    </w:div>
    <w:div w:id="1696342006">
      <w:marLeft w:val="0"/>
      <w:marRight w:val="0"/>
      <w:marTop w:val="0"/>
      <w:marBottom w:val="0"/>
      <w:divBdr>
        <w:top w:val="none" w:sz="0" w:space="0" w:color="auto"/>
        <w:left w:val="none" w:sz="0" w:space="0" w:color="auto"/>
        <w:bottom w:val="none" w:sz="0" w:space="0" w:color="auto"/>
        <w:right w:val="none" w:sz="0" w:space="0" w:color="auto"/>
      </w:divBdr>
    </w:div>
    <w:div w:id="1698432176">
      <w:marLeft w:val="0"/>
      <w:marRight w:val="0"/>
      <w:marTop w:val="0"/>
      <w:marBottom w:val="0"/>
      <w:divBdr>
        <w:top w:val="none" w:sz="0" w:space="0" w:color="auto"/>
        <w:left w:val="none" w:sz="0" w:space="0" w:color="auto"/>
        <w:bottom w:val="none" w:sz="0" w:space="0" w:color="auto"/>
        <w:right w:val="none" w:sz="0" w:space="0" w:color="auto"/>
      </w:divBdr>
      <w:divsChild>
        <w:div w:id="1388457583">
          <w:marLeft w:val="0"/>
          <w:marRight w:val="0"/>
          <w:marTop w:val="0"/>
          <w:marBottom w:val="0"/>
          <w:divBdr>
            <w:top w:val="none" w:sz="0" w:space="0" w:color="auto"/>
            <w:left w:val="none" w:sz="0" w:space="0" w:color="auto"/>
            <w:bottom w:val="none" w:sz="0" w:space="0" w:color="auto"/>
            <w:right w:val="none" w:sz="0" w:space="0" w:color="auto"/>
          </w:divBdr>
        </w:div>
      </w:divsChild>
    </w:div>
    <w:div w:id="1705789093">
      <w:marLeft w:val="0"/>
      <w:marRight w:val="0"/>
      <w:marTop w:val="120"/>
      <w:marBottom w:val="0"/>
      <w:divBdr>
        <w:top w:val="none" w:sz="0" w:space="0" w:color="auto"/>
        <w:left w:val="none" w:sz="0" w:space="0" w:color="auto"/>
        <w:bottom w:val="none" w:sz="0" w:space="0" w:color="auto"/>
        <w:right w:val="none" w:sz="0" w:space="0" w:color="auto"/>
      </w:divBdr>
    </w:div>
    <w:div w:id="1707098925">
      <w:marLeft w:val="0"/>
      <w:marRight w:val="0"/>
      <w:marTop w:val="280"/>
      <w:marBottom w:val="0"/>
      <w:divBdr>
        <w:top w:val="none" w:sz="0" w:space="0" w:color="auto"/>
        <w:left w:val="none" w:sz="0" w:space="0" w:color="auto"/>
        <w:bottom w:val="none" w:sz="0" w:space="0" w:color="auto"/>
        <w:right w:val="none" w:sz="0" w:space="0" w:color="auto"/>
      </w:divBdr>
    </w:div>
    <w:div w:id="1707557798">
      <w:marLeft w:val="0"/>
      <w:marRight w:val="0"/>
      <w:marTop w:val="100"/>
      <w:marBottom w:val="0"/>
      <w:divBdr>
        <w:top w:val="none" w:sz="0" w:space="0" w:color="auto"/>
        <w:left w:val="none" w:sz="0" w:space="0" w:color="auto"/>
        <w:bottom w:val="none" w:sz="0" w:space="0" w:color="auto"/>
        <w:right w:val="none" w:sz="0" w:space="0" w:color="auto"/>
      </w:divBdr>
    </w:div>
    <w:div w:id="1712537516">
      <w:marLeft w:val="0"/>
      <w:marRight w:val="0"/>
      <w:marTop w:val="200"/>
      <w:marBottom w:val="0"/>
      <w:divBdr>
        <w:top w:val="none" w:sz="0" w:space="0" w:color="auto"/>
        <w:left w:val="none" w:sz="0" w:space="0" w:color="auto"/>
        <w:bottom w:val="none" w:sz="0" w:space="0" w:color="auto"/>
        <w:right w:val="none" w:sz="0" w:space="0" w:color="auto"/>
      </w:divBdr>
    </w:div>
    <w:div w:id="1715304126">
      <w:marLeft w:val="0"/>
      <w:marRight w:val="0"/>
      <w:marTop w:val="0"/>
      <w:marBottom w:val="200"/>
      <w:divBdr>
        <w:top w:val="none" w:sz="0" w:space="0" w:color="auto"/>
        <w:left w:val="none" w:sz="0" w:space="0" w:color="auto"/>
        <w:bottom w:val="none" w:sz="0" w:space="0" w:color="auto"/>
        <w:right w:val="none" w:sz="0" w:space="0" w:color="auto"/>
      </w:divBdr>
    </w:div>
    <w:div w:id="1721785740">
      <w:marLeft w:val="0"/>
      <w:marRight w:val="0"/>
      <w:marTop w:val="180"/>
      <w:marBottom w:val="0"/>
      <w:divBdr>
        <w:top w:val="none" w:sz="0" w:space="0" w:color="auto"/>
        <w:left w:val="none" w:sz="0" w:space="0" w:color="auto"/>
        <w:bottom w:val="none" w:sz="0" w:space="0" w:color="auto"/>
        <w:right w:val="none" w:sz="0" w:space="0" w:color="auto"/>
      </w:divBdr>
    </w:div>
    <w:div w:id="1727603223">
      <w:marLeft w:val="0"/>
      <w:marRight w:val="0"/>
      <w:marTop w:val="0"/>
      <w:marBottom w:val="0"/>
      <w:divBdr>
        <w:top w:val="none" w:sz="0" w:space="0" w:color="auto"/>
        <w:left w:val="none" w:sz="0" w:space="0" w:color="auto"/>
        <w:bottom w:val="none" w:sz="0" w:space="0" w:color="auto"/>
        <w:right w:val="none" w:sz="0" w:space="0" w:color="auto"/>
      </w:divBdr>
    </w:div>
    <w:div w:id="1730420838">
      <w:marLeft w:val="0"/>
      <w:marRight w:val="0"/>
      <w:marTop w:val="0"/>
      <w:marBottom w:val="0"/>
      <w:divBdr>
        <w:top w:val="none" w:sz="0" w:space="0" w:color="auto"/>
        <w:left w:val="none" w:sz="0" w:space="0" w:color="auto"/>
        <w:bottom w:val="none" w:sz="0" w:space="0" w:color="auto"/>
        <w:right w:val="none" w:sz="0" w:space="0" w:color="auto"/>
      </w:divBdr>
    </w:div>
    <w:div w:id="1730958834">
      <w:marLeft w:val="0"/>
      <w:marRight w:val="0"/>
      <w:marTop w:val="200"/>
      <w:marBottom w:val="0"/>
      <w:divBdr>
        <w:top w:val="none" w:sz="0" w:space="0" w:color="auto"/>
        <w:left w:val="none" w:sz="0" w:space="0" w:color="auto"/>
        <w:bottom w:val="none" w:sz="0" w:space="0" w:color="auto"/>
        <w:right w:val="none" w:sz="0" w:space="0" w:color="auto"/>
      </w:divBdr>
    </w:div>
    <w:div w:id="1732076942">
      <w:marLeft w:val="0"/>
      <w:marRight w:val="0"/>
      <w:marTop w:val="0"/>
      <w:marBottom w:val="0"/>
      <w:divBdr>
        <w:top w:val="none" w:sz="0" w:space="0" w:color="auto"/>
        <w:left w:val="none" w:sz="0" w:space="0" w:color="auto"/>
        <w:bottom w:val="none" w:sz="0" w:space="0" w:color="auto"/>
        <w:right w:val="none" w:sz="0" w:space="0" w:color="auto"/>
      </w:divBdr>
    </w:div>
    <w:div w:id="1732265391">
      <w:marLeft w:val="0"/>
      <w:marRight w:val="0"/>
      <w:marTop w:val="200"/>
      <w:marBottom w:val="0"/>
      <w:divBdr>
        <w:top w:val="none" w:sz="0" w:space="0" w:color="auto"/>
        <w:left w:val="none" w:sz="0" w:space="0" w:color="auto"/>
        <w:bottom w:val="none" w:sz="0" w:space="0" w:color="auto"/>
        <w:right w:val="none" w:sz="0" w:space="0" w:color="auto"/>
      </w:divBdr>
    </w:div>
    <w:div w:id="1732386210">
      <w:marLeft w:val="0"/>
      <w:marRight w:val="0"/>
      <w:marTop w:val="120"/>
      <w:marBottom w:val="0"/>
      <w:divBdr>
        <w:top w:val="none" w:sz="0" w:space="0" w:color="auto"/>
        <w:left w:val="none" w:sz="0" w:space="0" w:color="auto"/>
        <w:bottom w:val="none" w:sz="0" w:space="0" w:color="auto"/>
        <w:right w:val="none" w:sz="0" w:space="0" w:color="auto"/>
      </w:divBdr>
    </w:div>
    <w:div w:id="1736317059">
      <w:marLeft w:val="0"/>
      <w:marRight w:val="0"/>
      <w:marTop w:val="0"/>
      <w:marBottom w:val="0"/>
      <w:divBdr>
        <w:top w:val="none" w:sz="0" w:space="0" w:color="auto"/>
        <w:left w:val="none" w:sz="0" w:space="0" w:color="auto"/>
        <w:bottom w:val="none" w:sz="0" w:space="0" w:color="auto"/>
        <w:right w:val="none" w:sz="0" w:space="0" w:color="auto"/>
      </w:divBdr>
      <w:divsChild>
        <w:div w:id="1798253473">
          <w:marLeft w:val="0"/>
          <w:marRight w:val="0"/>
          <w:marTop w:val="0"/>
          <w:marBottom w:val="0"/>
          <w:divBdr>
            <w:top w:val="none" w:sz="0" w:space="0" w:color="auto"/>
            <w:left w:val="none" w:sz="0" w:space="0" w:color="auto"/>
            <w:bottom w:val="none" w:sz="0" w:space="0" w:color="auto"/>
            <w:right w:val="none" w:sz="0" w:space="0" w:color="auto"/>
          </w:divBdr>
        </w:div>
      </w:divsChild>
    </w:div>
    <w:div w:id="1741056449">
      <w:marLeft w:val="0"/>
      <w:marRight w:val="0"/>
      <w:marTop w:val="200"/>
      <w:marBottom w:val="0"/>
      <w:divBdr>
        <w:top w:val="none" w:sz="0" w:space="0" w:color="auto"/>
        <w:left w:val="none" w:sz="0" w:space="0" w:color="auto"/>
        <w:bottom w:val="none" w:sz="0" w:space="0" w:color="auto"/>
        <w:right w:val="none" w:sz="0" w:space="0" w:color="auto"/>
      </w:divBdr>
    </w:div>
    <w:div w:id="1742169589">
      <w:marLeft w:val="0"/>
      <w:marRight w:val="0"/>
      <w:marTop w:val="200"/>
      <w:marBottom w:val="0"/>
      <w:divBdr>
        <w:top w:val="none" w:sz="0" w:space="0" w:color="auto"/>
        <w:left w:val="none" w:sz="0" w:space="0" w:color="auto"/>
        <w:bottom w:val="none" w:sz="0" w:space="0" w:color="auto"/>
        <w:right w:val="none" w:sz="0" w:space="0" w:color="auto"/>
      </w:divBdr>
    </w:div>
    <w:div w:id="1742211780">
      <w:marLeft w:val="0"/>
      <w:marRight w:val="0"/>
      <w:marTop w:val="0"/>
      <w:marBottom w:val="0"/>
      <w:divBdr>
        <w:top w:val="none" w:sz="0" w:space="0" w:color="auto"/>
        <w:left w:val="none" w:sz="0" w:space="0" w:color="auto"/>
        <w:bottom w:val="none" w:sz="0" w:space="0" w:color="auto"/>
        <w:right w:val="none" w:sz="0" w:space="0" w:color="auto"/>
      </w:divBdr>
      <w:divsChild>
        <w:div w:id="5178072">
          <w:marLeft w:val="0"/>
          <w:marRight w:val="0"/>
          <w:marTop w:val="0"/>
          <w:marBottom w:val="0"/>
          <w:divBdr>
            <w:top w:val="none" w:sz="0" w:space="0" w:color="auto"/>
            <w:left w:val="none" w:sz="0" w:space="0" w:color="auto"/>
            <w:bottom w:val="none" w:sz="0" w:space="0" w:color="auto"/>
            <w:right w:val="none" w:sz="0" w:space="0" w:color="auto"/>
          </w:divBdr>
        </w:div>
        <w:div w:id="738401571">
          <w:marLeft w:val="0"/>
          <w:marRight w:val="0"/>
          <w:marTop w:val="0"/>
          <w:marBottom w:val="0"/>
          <w:divBdr>
            <w:top w:val="none" w:sz="0" w:space="0" w:color="auto"/>
            <w:left w:val="none" w:sz="0" w:space="0" w:color="auto"/>
            <w:bottom w:val="none" w:sz="0" w:space="0" w:color="auto"/>
            <w:right w:val="none" w:sz="0" w:space="0" w:color="auto"/>
          </w:divBdr>
        </w:div>
        <w:div w:id="1208030132">
          <w:marLeft w:val="0"/>
          <w:marRight w:val="0"/>
          <w:marTop w:val="0"/>
          <w:marBottom w:val="0"/>
          <w:divBdr>
            <w:top w:val="none" w:sz="0" w:space="0" w:color="auto"/>
            <w:left w:val="none" w:sz="0" w:space="0" w:color="auto"/>
            <w:bottom w:val="none" w:sz="0" w:space="0" w:color="auto"/>
            <w:right w:val="none" w:sz="0" w:space="0" w:color="auto"/>
          </w:divBdr>
        </w:div>
        <w:div w:id="1872497517">
          <w:marLeft w:val="0"/>
          <w:marRight w:val="0"/>
          <w:marTop w:val="0"/>
          <w:marBottom w:val="0"/>
          <w:divBdr>
            <w:top w:val="none" w:sz="0" w:space="0" w:color="auto"/>
            <w:left w:val="none" w:sz="0" w:space="0" w:color="auto"/>
            <w:bottom w:val="none" w:sz="0" w:space="0" w:color="auto"/>
            <w:right w:val="none" w:sz="0" w:space="0" w:color="auto"/>
          </w:divBdr>
        </w:div>
      </w:divsChild>
    </w:div>
    <w:div w:id="1743526549">
      <w:marLeft w:val="0"/>
      <w:marRight w:val="0"/>
      <w:marTop w:val="0"/>
      <w:marBottom w:val="0"/>
      <w:divBdr>
        <w:top w:val="none" w:sz="0" w:space="0" w:color="auto"/>
        <w:left w:val="none" w:sz="0" w:space="0" w:color="auto"/>
        <w:bottom w:val="none" w:sz="0" w:space="0" w:color="auto"/>
        <w:right w:val="none" w:sz="0" w:space="0" w:color="auto"/>
      </w:divBdr>
    </w:div>
    <w:div w:id="1745954439">
      <w:marLeft w:val="0"/>
      <w:marRight w:val="0"/>
      <w:marTop w:val="0"/>
      <w:marBottom w:val="0"/>
      <w:divBdr>
        <w:top w:val="none" w:sz="0" w:space="0" w:color="auto"/>
        <w:left w:val="none" w:sz="0" w:space="0" w:color="auto"/>
        <w:bottom w:val="none" w:sz="0" w:space="0" w:color="auto"/>
        <w:right w:val="none" w:sz="0" w:space="0" w:color="auto"/>
      </w:divBdr>
      <w:divsChild>
        <w:div w:id="397098348">
          <w:marLeft w:val="0"/>
          <w:marRight w:val="0"/>
          <w:marTop w:val="0"/>
          <w:marBottom w:val="0"/>
          <w:divBdr>
            <w:top w:val="none" w:sz="0" w:space="0" w:color="auto"/>
            <w:left w:val="none" w:sz="0" w:space="0" w:color="auto"/>
            <w:bottom w:val="none" w:sz="0" w:space="0" w:color="auto"/>
            <w:right w:val="none" w:sz="0" w:space="0" w:color="auto"/>
          </w:divBdr>
        </w:div>
      </w:divsChild>
    </w:div>
    <w:div w:id="1749811958">
      <w:marLeft w:val="0"/>
      <w:marRight w:val="0"/>
      <w:marTop w:val="200"/>
      <w:marBottom w:val="0"/>
      <w:divBdr>
        <w:top w:val="none" w:sz="0" w:space="0" w:color="auto"/>
        <w:left w:val="none" w:sz="0" w:space="0" w:color="auto"/>
        <w:bottom w:val="none" w:sz="0" w:space="0" w:color="auto"/>
        <w:right w:val="none" w:sz="0" w:space="0" w:color="auto"/>
      </w:divBdr>
    </w:div>
    <w:div w:id="1750537233">
      <w:marLeft w:val="0"/>
      <w:marRight w:val="0"/>
      <w:marTop w:val="0"/>
      <w:marBottom w:val="0"/>
      <w:divBdr>
        <w:top w:val="none" w:sz="0" w:space="0" w:color="auto"/>
        <w:left w:val="none" w:sz="0" w:space="0" w:color="auto"/>
        <w:bottom w:val="none" w:sz="0" w:space="0" w:color="auto"/>
        <w:right w:val="none" w:sz="0" w:space="0" w:color="auto"/>
      </w:divBdr>
      <w:divsChild>
        <w:div w:id="2129884885">
          <w:marLeft w:val="0"/>
          <w:marRight w:val="0"/>
          <w:marTop w:val="0"/>
          <w:marBottom w:val="0"/>
          <w:divBdr>
            <w:top w:val="none" w:sz="0" w:space="0" w:color="auto"/>
            <w:left w:val="none" w:sz="0" w:space="0" w:color="auto"/>
            <w:bottom w:val="none" w:sz="0" w:space="0" w:color="auto"/>
            <w:right w:val="none" w:sz="0" w:space="0" w:color="auto"/>
          </w:divBdr>
        </w:div>
      </w:divsChild>
    </w:div>
    <w:div w:id="1753816381">
      <w:marLeft w:val="0"/>
      <w:marRight w:val="0"/>
      <w:marTop w:val="200"/>
      <w:marBottom w:val="0"/>
      <w:divBdr>
        <w:top w:val="none" w:sz="0" w:space="0" w:color="auto"/>
        <w:left w:val="none" w:sz="0" w:space="0" w:color="auto"/>
        <w:bottom w:val="none" w:sz="0" w:space="0" w:color="auto"/>
        <w:right w:val="none" w:sz="0" w:space="0" w:color="auto"/>
      </w:divBdr>
    </w:div>
    <w:div w:id="1755281518">
      <w:marLeft w:val="0"/>
      <w:marRight w:val="0"/>
      <w:marTop w:val="200"/>
      <w:marBottom w:val="0"/>
      <w:divBdr>
        <w:top w:val="none" w:sz="0" w:space="0" w:color="auto"/>
        <w:left w:val="none" w:sz="0" w:space="0" w:color="auto"/>
        <w:bottom w:val="none" w:sz="0" w:space="0" w:color="auto"/>
        <w:right w:val="none" w:sz="0" w:space="0" w:color="auto"/>
      </w:divBdr>
    </w:div>
    <w:div w:id="1756701965">
      <w:marLeft w:val="0"/>
      <w:marRight w:val="0"/>
      <w:marTop w:val="200"/>
      <w:marBottom w:val="0"/>
      <w:divBdr>
        <w:top w:val="none" w:sz="0" w:space="0" w:color="auto"/>
        <w:left w:val="none" w:sz="0" w:space="0" w:color="auto"/>
        <w:bottom w:val="none" w:sz="0" w:space="0" w:color="auto"/>
        <w:right w:val="none" w:sz="0" w:space="0" w:color="auto"/>
      </w:divBdr>
    </w:div>
    <w:div w:id="1759061969">
      <w:marLeft w:val="0"/>
      <w:marRight w:val="0"/>
      <w:marTop w:val="200"/>
      <w:marBottom w:val="0"/>
      <w:divBdr>
        <w:top w:val="none" w:sz="0" w:space="0" w:color="auto"/>
        <w:left w:val="none" w:sz="0" w:space="0" w:color="auto"/>
        <w:bottom w:val="none" w:sz="0" w:space="0" w:color="auto"/>
        <w:right w:val="none" w:sz="0" w:space="0" w:color="auto"/>
      </w:divBdr>
    </w:div>
    <w:div w:id="1766340529">
      <w:marLeft w:val="0"/>
      <w:marRight w:val="0"/>
      <w:marTop w:val="100"/>
      <w:marBottom w:val="0"/>
      <w:divBdr>
        <w:top w:val="none" w:sz="0" w:space="0" w:color="auto"/>
        <w:left w:val="none" w:sz="0" w:space="0" w:color="auto"/>
        <w:bottom w:val="none" w:sz="0" w:space="0" w:color="auto"/>
        <w:right w:val="none" w:sz="0" w:space="0" w:color="auto"/>
      </w:divBdr>
    </w:div>
    <w:div w:id="1767385982">
      <w:marLeft w:val="0"/>
      <w:marRight w:val="0"/>
      <w:marTop w:val="0"/>
      <w:marBottom w:val="0"/>
      <w:divBdr>
        <w:top w:val="none" w:sz="0" w:space="0" w:color="auto"/>
        <w:left w:val="none" w:sz="0" w:space="0" w:color="auto"/>
        <w:bottom w:val="none" w:sz="0" w:space="0" w:color="auto"/>
        <w:right w:val="none" w:sz="0" w:space="0" w:color="auto"/>
      </w:divBdr>
      <w:divsChild>
        <w:div w:id="1657025819">
          <w:marLeft w:val="0"/>
          <w:marRight w:val="0"/>
          <w:marTop w:val="0"/>
          <w:marBottom w:val="0"/>
          <w:divBdr>
            <w:top w:val="none" w:sz="0" w:space="0" w:color="auto"/>
            <w:left w:val="none" w:sz="0" w:space="0" w:color="auto"/>
            <w:bottom w:val="none" w:sz="0" w:space="0" w:color="auto"/>
            <w:right w:val="none" w:sz="0" w:space="0" w:color="auto"/>
          </w:divBdr>
        </w:div>
      </w:divsChild>
    </w:div>
    <w:div w:id="1771244612">
      <w:marLeft w:val="0"/>
      <w:marRight w:val="0"/>
      <w:marTop w:val="0"/>
      <w:marBottom w:val="0"/>
      <w:divBdr>
        <w:top w:val="none" w:sz="0" w:space="0" w:color="auto"/>
        <w:left w:val="none" w:sz="0" w:space="0" w:color="auto"/>
        <w:bottom w:val="none" w:sz="0" w:space="0" w:color="auto"/>
        <w:right w:val="none" w:sz="0" w:space="0" w:color="auto"/>
      </w:divBdr>
      <w:divsChild>
        <w:div w:id="1147163880">
          <w:marLeft w:val="0"/>
          <w:marRight w:val="0"/>
          <w:marTop w:val="0"/>
          <w:marBottom w:val="0"/>
          <w:divBdr>
            <w:top w:val="none" w:sz="0" w:space="0" w:color="auto"/>
            <w:left w:val="none" w:sz="0" w:space="0" w:color="auto"/>
            <w:bottom w:val="none" w:sz="0" w:space="0" w:color="auto"/>
            <w:right w:val="none" w:sz="0" w:space="0" w:color="auto"/>
          </w:divBdr>
        </w:div>
      </w:divsChild>
    </w:div>
    <w:div w:id="1771730319">
      <w:marLeft w:val="0"/>
      <w:marRight w:val="0"/>
      <w:marTop w:val="100"/>
      <w:marBottom w:val="60"/>
      <w:divBdr>
        <w:top w:val="none" w:sz="0" w:space="0" w:color="auto"/>
        <w:left w:val="none" w:sz="0" w:space="0" w:color="auto"/>
        <w:bottom w:val="none" w:sz="0" w:space="0" w:color="auto"/>
        <w:right w:val="none" w:sz="0" w:space="0" w:color="auto"/>
      </w:divBdr>
    </w:div>
    <w:div w:id="1774280313">
      <w:marLeft w:val="0"/>
      <w:marRight w:val="0"/>
      <w:marTop w:val="200"/>
      <w:marBottom w:val="0"/>
      <w:divBdr>
        <w:top w:val="none" w:sz="0" w:space="0" w:color="auto"/>
        <w:left w:val="none" w:sz="0" w:space="0" w:color="auto"/>
        <w:bottom w:val="none" w:sz="0" w:space="0" w:color="auto"/>
        <w:right w:val="none" w:sz="0" w:space="0" w:color="auto"/>
      </w:divBdr>
    </w:div>
    <w:div w:id="1782606467">
      <w:marLeft w:val="0"/>
      <w:marRight w:val="0"/>
      <w:marTop w:val="0"/>
      <w:marBottom w:val="0"/>
      <w:divBdr>
        <w:top w:val="none" w:sz="0" w:space="0" w:color="auto"/>
        <w:left w:val="none" w:sz="0" w:space="0" w:color="auto"/>
        <w:bottom w:val="none" w:sz="0" w:space="0" w:color="auto"/>
        <w:right w:val="none" w:sz="0" w:space="0" w:color="auto"/>
      </w:divBdr>
      <w:divsChild>
        <w:div w:id="961153975">
          <w:marLeft w:val="0"/>
          <w:marRight w:val="0"/>
          <w:marTop w:val="0"/>
          <w:marBottom w:val="0"/>
          <w:divBdr>
            <w:top w:val="none" w:sz="0" w:space="0" w:color="auto"/>
            <w:left w:val="none" w:sz="0" w:space="0" w:color="auto"/>
            <w:bottom w:val="none" w:sz="0" w:space="0" w:color="auto"/>
            <w:right w:val="none" w:sz="0" w:space="0" w:color="auto"/>
          </w:divBdr>
        </w:div>
      </w:divsChild>
    </w:div>
    <w:div w:id="1782719232">
      <w:marLeft w:val="0"/>
      <w:marRight w:val="0"/>
      <w:marTop w:val="0"/>
      <w:marBottom w:val="160"/>
      <w:divBdr>
        <w:top w:val="none" w:sz="0" w:space="0" w:color="auto"/>
        <w:left w:val="none" w:sz="0" w:space="0" w:color="auto"/>
        <w:bottom w:val="none" w:sz="0" w:space="0" w:color="auto"/>
        <w:right w:val="none" w:sz="0" w:space="0" w:color="auto"/>
      </w:divBdr>
    </w:div>
    <w:div w:id="1784232237">
      <w:marLeft w:val="0"/>
      <w:marRight w:val="0"/>
      <w:marTop w:val="0"/>
      <w:marBottom w:val="0"/>
      <w:divBdr>
        <w:top w:val="none" w:sz="0" w:space="0" w:color="auto"/>
        <w:left w:val="none" w:sz="0" w:space="0" w:color="auto"/>
        <w:bottom w:val="none" w:sz="0" w:space="0" w:color="auto"/>
        <w:right w:val="none" w:sz="0" w:space="0" w:color="auto"/>
      </w:divBdr>
    </w:div>
    <w:div w:id="1785032602">
      <w:marLeft w:val="0"/>
      <w:marRight w:val="0"/>
      <w:marTop w:val="0"/>
      <w:marBottom w:val="0"/>
      <w:divBdr>
        <w:top w:val="none" w:sz="0" w:space="0" w:color="auto"/>
        <w:left w:val="none" w:sz="0" w:space="0" w:color="auto"/>
        <w:bottom w:val="none" w:sz="0" w:space="0" w:color="auto"/>
        <w:right w:val="none" w:sz="0" w:space="0" w:color="auto"/>
      </w:divBdr>
    </w:div>
    <w:div w:id="1785688447">
      <w:marLeft w:val="0"/>
      <w:marRight w:val="0"/>
      <w:marTop w:val="0"/>
      <w:marBottom w:val="0"/>
      <w:divBdr>
        <w:top w:val="none" w:sz="0" w:space="0" w:color="auto"/>
        <w:left w:val="none" w:sz="0" w:space="0" w:color="auto"/>
        <w:bottom w:val="none" w:sz="0" w:space="0" w:color="auto"/>
        <w:right w:val="none" w:sz="0" w:space="0" w:color="auto"/>
      </w:divBdr>
    </w:div>
    <w:div w:id="1786732412">
      <w:marLeft w:val="0"/>
      <w:marRight w:val="0"/>
      <w:marTop w:val="0"/>
      <w:marBottom w:val="0"/>
      <w:divBdr>
        <w:top w:val="none" w:sz="0" w:space="0" w:color="auto"/>
        <w:left w:val="none" w:sz="0" w:space="0" w:color="auto"/>
        <w:bottom w:val="none" w:sz="0" w:space="0" w:color="auto"/>
        <w:right w:val="none" w:sz="0" w:space="0" w:color="auto"/>
      </w:divBdr>
      <w:divsChild>
        <w:div w:id="928660604">
          <w:marLeft w:val="0"/>
          <w:marRight w:val="0"/>
          <w:marTop w:val="0"/>
          <w:marBottom w:val="0"/>
          <w:divBdr>
            <w:top w:val="none" w:sz="0" w:space="0" w:color="auto"/>
            <w:left w:val="none" w:sz="0" w:space="0" w:color="auto"/>
            <w:bottom w:val="none" w:sz="0" w:space="0" w:color="auto"/>
            <w:right w:val="none" w:sz="0" w:space="0" w:color="auto"/>
          </w:divBdr>
        </w:div>
      </w:divsChild>
    </w:div>
    <w:div w:id="1787307387">
      <w:marLeft w:val="0"/>
      <w:marRight w:val="0"/>
      <w:marTop w:val="200"/>
      <w:marBottom w:val="0"/>
      <w:divBdr>
        <w:top w:val="none" w:sz="0" w:space="0" w:color="auto"/>
        <w:left w:val="none" w:sz="0" w:space="0" w:color="auto"/>
        <w:bottom w:val="none" w:sz="0" w:space="0" w:color="auto"/>
        <w:right w:val="none" w:sz="0" w:space="0" w:color="auto"/>
      </w:divBdr>
    </w:div>
    <w:div w:id="1798376209">
      <w:marLeft w:val="0"/>
      <w:marRight w:val="0"/>
      <w:marTop w:val="100"/>
      <w:marBottom w:val="0"/>
      <w:divBdr>
        <w:top w:val="none" w:sz="0" w:space="0" w:color="auto"/>
        <w:left w:val="none" w:sz="0" w:space="0" w:color="auto"/>
        <w:bottom w:val="none" w:sz="0" w:space="0" w:color="auto"/>
        <w:right w:val="none" w:sz="0" w:space="0" w:color="auto"/>
      </w:divBdr>
    </w:div>
    <w:div w:id="1798405782">
      <w:marLeft w:val="0"/>
      <w:marRight w:val="0"/>
      <w:marTop w:val="0"/>
      <w:marBottom w:val="200"/>
      <w:divBdr>
        <w:top w:val="none" w:sz="0" w:space="0" w:color="auto"/>
        <w:left w:val="none" w:sz="0" w:space="0" w:color="auto"/>
        <w:bottom w:val="none" w:sz="0" w:space="0" w:color="auto"/>
        <w:right w:val="none" w:sz="0" w:space="0" w:color="auto"/>
      </w:divBdr>
    </w:div>
    <w:div w:id="1798647539">
      <w:marLeft w:val="0"/>
      <w:marRight w:val="0"/>
      <w:marTop w:val="0"/>
      <w:marBottom w:val="0"/>
      <w:divBdr>
        <w:top w:val="none" w:sz="0" w:space="0" w:color="auto"/>
        <w:left w:val="none" w:sz="0" w:space="0" w:color="auto"/>
        <w:bottom w:val="none" w:sz="0" w:space="0" w:color="auto"/>
        <w:right w:val="none" w:sz="0" w:space="0" w:color="auto"/>
      </w:divBdr>
    </w:div>
    <w:div w:id="1799302768">
      <w:marLeft w:val="0"/>
      <w:marRight w:val="0"/>
      <w:marTop w:val="200"/>
      <w:marBottom w:val="0"/>
      <w:divBdr>
        <w:top w:val="none" w:sz="0" w:space="0" w:color="auto"/>
        <w:left w:val="none" w:sz="0" w:space="0" w:color="auto"/>
        <w:bottom w:val="none" w:sz="0" w:space="0" w:color="auto"/>
        <w:right w:val="none" w:sz="0" w:space="0" w:color="auto"/>
      </w:divBdr>
    </w:div>
    <w:div w:id="1803184272">
      <w:marLeft w:val="0"/>
      <w:marRight w:val="0"/>
      <w:marTop w:val="195"/>
      <w:marBottom w:val="0"/>
      <w:divBdr>
        <w:top w:val="none" w:sz="0" w:space="0" w:color="auto"/>
        <w:left w:val="none" w:sz="0" w:space="0" w:color="auto"/>
        <w:bottom w:val="none" w:sz="0" w:space="0" w:color="auto"/>
        <w:right w:val="none" w:sz="0" w:space="0" w:color="auto"/>
      </w:divBdr>
    </w:div>
    <w:div w:id="1816335034">
      <w:marLeft w:val="0"/>
      <w:marRight w:val="0"/>
      <w:marTop w:val="0"/>
      <w:marBottom w:val="0"/>
      <w:divBdr>
        <w:top w:val="none" w:sz="0" w:space="0" w:color="auto"/>
        <w:left w:val="none" w:sz="0" w:space="0" w:color="auto"/>
        <w:bottom w:val="none" w:sz="0" w:space="0" w:color="auto"/>
        <w:right w:val="none" w:sz="0" w:space="0" w:color="auto"/>
      </w:divBdr>
      <w:divsChild>
        <w:div w:id="935749178">
          <w:marLeft w:val="0"/>
          <w:marRight w:val="0"/>
          <w:marTop w:val="0"/>
          <w:marBottom w:val="0"/>
          <w:divBdr>
            <w:top w:val="none" w:sz="0" w:space="0" w:color="auto"/>
            <w:left w:val="none" w:sz="0" w:space="0" w:color="auto"/>
            <w:bottom w:val="none" w:sz="0" w:space="0" w:color="auto"/>
            <w:right w:val="none" w:sz="0" w:space="0" w:color="auto"/>
          </w:divBdr>
        </w:div>
      </w:divsChild>
    </w:div>
    <w:div w:id="1817143367">
      <w:marLeft w:val="0"/>
      <w:marRight w:val="0"/>
      <w:marTop w:val="200"/>
      <w:marBottom w:val="0"/>
      <w:divBdr>
        <w:top w:val="none" w:sz="0" w:space="0" w:color="auto"/>
        <w:left w:val="none" w:sz="0" w:space="0" w:color="auto"/>
        <w:bottom w:val="none" w:sz="0" w:space="0" w:color="auto"/>
        <w:right w:val="none" w:sz="0" w:space="0" w:color="auto"/>
      </w:divBdr>
    </w:div>
    <w:div w:id="1818758989">
      <w:marLeft w:val="0"/>
      <w:marRight w:val="0"/>
      <w:marTop w:val="0"/>
      <w:marBottom w:val="0"/>
      <w:divBdr>
        <w:top w:val="none" w:sz="0" w:space="0" w:color="auto"/>
        <w:left w:val="none" w:sz="0" w:space="0" w:color="auto"/>
        <w:bottom w:val="none" w:sz="0" w:space="0" w:color="auto"/>
        <w:right w:val="none" w:sz="0" w:space="0" w:color="auto"/>
      </w:divBdr>
      <w:divsChild>
        <w:div w:id="922178650">
          <w:marLeft w:val="0"/>
          <w:marRight w:val="0"/>
          <w:marTop w:val="0"/>
          <w:marBottom w:val="0"/>
          <w:divBdr>
            <w:top w:val="none" w:sz="0" w:space="0" w:color="auto"/>
            <w:left w:val="none" w:sz="0" w:space="0" w:color="auto"/>
            <w:bottom w:val="none" w:sz="0" w:space="0" w:color="auto"/>
            <w:right w:val="none" w:sz="0" w:space="0" w:color="auto"/>
          </w:divBdr>
        </w:div>
        <w:div w:id="605113545">
          <w:marLeft w:val="0"/>
          <w:marRight w:val="0"/>
          <w:marTop w:val="0"/>
          <w:marBottom w:val="0"/>
          <w:divBdr>
            <w:top w:val="none" w:sz="0" w:space="0" w:color="auto"/>
            <w:left w:val="none" w:sz="0" w:space="0" w:color="auto"/>
            <w:bottom w:val="none" w:sz="0" w:space="0" w:color="auto"/>
            <w:right w:val="none" w:sz="0" w:space="0" w:color="auto"/>
          </w:divBdr>
        </w:div>
        <w:div w:id="1735424312">
          <w:marLeft w:val="0"/>
          <w:marRight w:val="0"/>
          <w:marTop w:val="0"/>
          <w:marBottom w:val="0"/>
          <w:divBdr>
            <w:top w:val="none" w:sz="0" w:space="0" w:color="auto"/>
            <w:left w:val="none" w:sz="0" w:space="0" w:color="auto"/>
            <w:bottom w:val="none" w:sz="0" w:space="0" w:color="auto"/>
            <w:right w:val="none" w:sz="0" w:space="0" w:color="auto"/>
          </w:divBdr>
        </w:div>
        <w:div w:id="240603775">
          <w:marLeft w:val="0"/>
          <w:marRight w:val="0"/>
          <w:marTop w:val="0"/>
          <w:marBottom w:val="0"/>
          <w:divBdr>
            <w:top w:val="none" w:sz="0" w:space="0" w:color="auto"/>
            <w:left w:val="none" w:sz="0" w:space="0" w:color="auto"/>
            <w:bottom w:val="none" w:sz="0" w:space="0" w:color="auto"/>
            <w:right w:val="none" w:sz="0" w:space="0" w:color="auto"/>
          </w:divBdr>
        </w:div>
      </w:divsChild>
    </w:div>
    <w:div w:id="1823891768">
      <w:marLeft w:val="0"/>
      <w:marRight w:val="0"/>
      <w:marTop w:val="0"/>
      <w:marBottom w:val="0"/>
      <w:divBdr>
        <w:top w:val="none" w:sz="0" w:space="0" w:color="auto"/>
        <w:left w:val="none" w:sz="0" w:space="0" w:color="auto"/>
        <w:bottom w:val="none" w:sz="0" w:space="0" w:color="auto"/>
        <w:right w:val="none" w:sz="0" w:space="0" w:color="auto"/>
      </w:divBdr>
    </w:div>
    <w:div w:id="1829520899">
      <w:marLeft w:val="0"/>
      <w:marRight w:val="0"/>
      <w:marTop w:val="200"/>
      <w:marBottom w:val="0"/>
      <w:divBdr>
        <w:top w:val="none" w:sz="0" w:space="0" w:color="auto"/>
        <w:left w:val="none" w:sz="0" w:space="0" w:color="auto"/>
        <w:bottom w:val="none" w:sz="0" w:space="0" w:color="auto"/>
        <w:right w:val="none" w:sz="0" w:space="0" w:color="auto"/>
      </w:divBdr>
    </w:div>
    <w:div w:id="1832870092">
      <w:marLeft w:val="0"/>
      <w:marRight w:val="0"/>
      <w:marTop w:val="100"/>
      <w:marBottom w:val="0"/>
      <w:divBdr>
        <w:top w:val="none" w:sz="0" w:space="0" w:color="auto"/>
        <w:left w:val="none" w:sz="0" w:space="0" w:color="auto"/>
        <w:bottom w:val="none" w:sz="0" w:space="0" w:color="auto"/>
        <w:right w:val="none" w:sz="0" w:space="0" w:color="auto"/>
      </w:divBdr>
    </w:div>
    <w:div w:id="1835801175">
      <w:marLeft w:val="0"/>
      <w:marRight w:val="0"/>
      <w:marTop w:val="0"/>
      <w:marBottom w:val="0"/>
      <w:divBdr>
        <w:top w:val="none" w:sz="0" w:space="0" w:color="auto"/>
        <w:left w:val="none" w:sz="0" w:space="0" w:color="auto"/>
        <w:bottom w:val="none" w:sz="0" w:space="0" w:color="auto"/>
        <w:right w:val="none" w:sz="0" w:space="0" w:color="auto"/>
      </w:divBdr>
    </w:div>
    <w:div w:id="1838500493">
      <w:marLeft w:val="0"/>
      <w:marRight w:val="0"/>
      <w:marTop w:val="0"/>
      <w:marBottom w:val="0"/>
      <w:divBdr>
        <w:top w:val="none" w:sz="0" w:space="0" w:color="auto"/>
        <w:left w:val="none" w:sz="0" w:space="0" w:color="auto"/>
        <w:bottom w:val="none" w:sz="0" w:space="0" w:color="auto"/>
        <w:right w:val="none" w:sz="0" w:space="0" w:color="auto"/>
      </w:divBdr>
    </w:div>
    <w:div w:id="1843934165">
      <w:marLeft w:val="0"/>
      <w:marRight w:val="0"/>
      <w:marTop w:val="0"/>
      <w:marBottom w:val="0"/>
      <w:divBdr>
        <w:top w:val="none" w:sz="0" w:space="0" w:color="auto"/>
        <w:left w:val="none" w:sz="0" w:space="0" w:color="auto"/>
        <w:bottom w:val="none" w:sz="0" w:space="0" w:color="auto"/>
        <w:right w:val="none" w:sz="0" w:space="0" w:color="auto"/>
      </w:divBdr>
    </w:div>
    <w:div w:id="1851214948">
      <w:marLeft w:val="0"/>
      <w:marRight w:val="0"/>
      <w:marTop w:val="0"/>
      <w:marBottom w:val="0"/>
      <w:divBdr>
        <w:top w:val="none" w:sz="0" w:space="0" w:color="auto"/>
        <w:left w:val="none" w:sz="0" w:space="0" w:color="auto"/>
        <w:bottom w:val="none" w:sz="0" w:space="0" w:color="auto"/>
        <w:right w:val="none" w:sz="0" w:space="0" w:color="auto"/>
      </w:divBdr>
      <w:divsChild>
        <w:div w:id="1262686610">
          <w:marLeft w:val="0"/>
          <w:marRight w:val="0"/>
          <w:marTop w:val="0"/>
          <w:marBottom w:val="0"/>
          <w:divBdr>
            <w:top w:val="none" w:sz="0" w:space="0" w:color="auto"/>
            <w:left w:val="none" w:sz="0" w:space="0" w:color="auto"/>
            <w:bottom w:val="none" w:sz="0" w:space="0" w:color="auto"/>
            <w:right w:val="none" w:sz="0" w:space="0" w:color="auto"/>
          </w:divBdr>
        </w:div>
        <w:div w:id="228226537">
          <w:marLeft w:val="0"/>
          <w:marRight w:val="0"/>
          <w:marTop w:val="0"/>
          <w:marBottom w:val="0"/>
          <w:divBdr>
            <w:top w:val="none" w:sz="0" w:space="0" w:color="auto"/>
            <w:left w:val="none" w:sz="0" w:space="0" w:color="auto"/>
            <w:bottom w:val="none" w:sz="0" w:space="0" w:color="auto"/>
            <w:right w:val="none" w:sz="0" w:space="0" w:color="auto"/>
          </w:divBdr>
        </w:div>
        <w:div w:id="315643951">
          <w:marLeft w:val="0"/>
          <w:marRight w:val="0"/>
          <w:marTop w:val="0"/>
          <w:marBottom w:val="0"/>
          <w:divBdr>
            <w:top w:val="none" w:sz="0" w:space="0" w:color="auto"/>
            <w:left w:val="none" w:sz="0" w:space="0" w:color="auto"/>
            <w:bottom w:val="none" w:sz="0" w:space="0" w:color="auto"/>
            <w:right w:val="none" w:sz="0" w:space="0" w:color="auto"/>
          </w:divBdr>
        </w:div>
        <w:div w:id="817571318">
          <w:marLeft w:val="0"/>
          <w:marRight w:val="0"/>
          <w:marTop w:val="0"/>
          <w:marBottom w:val="0"/>
          <w:divBdr>
            <w:top w:val="none" w:sz="0" w:space="0" w:color="auto"/>
            <w:left w:val="none" w:sz="0" w:space="0" w:color="auto"/>
            <w:bottom w:val="none" w:sz="0" w:space="0" w:color="auto"/>
            <w:right w:val="none" w:sz="0" w:space="0" w:color="auto"/>
          </w:divBdr>
        </w:div>
      </w:divsChild>
    </w:div>
    <w:div w:id="1854027815">
      <w:marLeft w:val="0"/>
      <w:marRight w:val="0"/>
      <w:marTop w:val="200"/>
      <w:marBottom w:val="0"/>
      <w:divBdr>
        <w:top w:val="none" w:sz="0" w:space="0" w:color="auto"/>
        <w:left w:val="none" w:sz="0" w:space="0" w:color="auto"/>
        <w:bottom w:val="none" w:sz="0" w:space="0" w:color="auto"/>
        <w:right w:val="none" w:sz="0" w:space="0" w:color="auto"/>
      </w:divBdr>
    </w:div>
    <w:div w:id="1857423520">
      <w:marLeft w:val="0"/>
      <w:marRight w:val="0"/>
      <w:marTop w:val="100"/>
      <w:marBottom w:val="0"/>
      <w:divBdr>
        <w:top w:val="none" w:sz="0" w:space="0" w:color="auto"/>
        <w:left w:val="none" w:sz="0" w:space="0" w:color="auto"/>
        <w:bottom w:val="none" w:sz="0" w:space="0" w:color="auto"/>
        <w:right w:val="none" w:sz="0" w:space="0" w:color="auto"/>
      </w:divBdr>
    </w:div>
    <w:div w:id="1859587615">
      <w:marLeft w:val="0"/>
      <w:marRight w:val="0"/>
      <w:marTop w:val="0"/>
      <w:marBottom w:val="0"/>
      <w:divBdr>
        <w:top w:val="none" w:sz="0" w:space="0" w:color="auto"/>
        <w:left w:val="none" w:sz="0" w:space="0" w:color="auto"/>
        <w:bottom w:val="none" w:sz="0" w:space="0" w:color="auto"/>
        <w:right w:val="none" w:sz="0" w:space="0" w:color="auto"/>
      </w:divBdr>
    </w:div>
    <w:div w:id="1860778063">
      <w:marLeft w:val="0"/>
      <w:marRight w:val="0"/>
      <w:marTop w:val="0"/>
      <w:marBottom w:val="0"/>
      <w:divBdr>
        <w:top w:val="none" w:sz="0" w:space="0" w:color="auto"/>
        <w:left w:val="none" w:sz="0" w:space="0" w:color="auto"/>
        <w:bottom w:val="none" w:sz="0" w:space="0" w:color="auto"/>
        <w:right w:val="none" w:sz="0" w:space="0" w:color="auto"/>
      </w:divBdr>
      <w:divsChild>
        <w:div w:id="720592165">
          <w:marLeft w:val="0"/>
          <w:marRight w:val="0"/>
          <w:marTop w:val="0"/>
          <w:marBottom w:val="0"/>
          <w:divBdr>
            <w:top w:val="none" w:sz="0" w:space="0" w:color="auto"/>
            <w:left w:val="none" w:sz="0" w:space="0" w:color="auto"/>
            <w:bottom w:val="none" w:sz="0" w:space="0" w:color="auto"/>
            <w:right w:val="none" w:sz="0" w:space="0" w:color="auto"/>
          </w:divBdr>
        </w:div>
      </w:divsChild>
    </w:div>
    <w:div w:id="1864442506">
      <w:marLeft w:val="0"/>
      <w:marRight w:val="0"/>
      <w:marTop w:val="200"/>
      <w:marBottom w:val="0"/>
      <w:divBdr>
        <w:top w:val="none" w:sz="0" w:space="0" w:color="auto"/>
        <w:left w:val="none" w:sz="0" w:space="0" w:color="auto"/>
        <w:bottom w:val="none" w:sz="0" w:space="0" w:color="auto"/>
        <w:right w:val="none" w:sz="0" w:space="0" w:color="auto"/>
      </w:divBdr>
    </w:div>
    <w:div w:id="1866164378">
      <w:marLeft w:val="0"/>
      <w:marRight w:val="0"/>
      <w:marTop w:val="0"/>
      <w:marBottom w:val="0"/>
      <w:divBdr>
        <w:top w:val="none" w:sz="0" w:space="0" w:color="auto"/>
        <w:left w:val="none" w:sz="0" w:space="0" w:color="auto"/>
        <w:bottom w:val="none" w:sz="0" w:space="0" w:color="auto"/>
        <w:right w:val="none" w:sz="0" w:space="0" w:color="auto"/>
      </w:divBdr>
      <w:divsChild>
        <w:div w:id="594168019">
          <w:marLeft w:val="0"/>
          <w:marRight w:val="0"/>
          <w:marTop w:val="0"/>
          <w:marBottom w:val="0"/>
          <w:divBdr>
            <w:top w:val="none" w:sz="0" w:space="0" w:color="auto"/>
            <w:left w:val="none" w:sz="0" w:space="0" w:color="auto"/>
            <w:bottom w:val="none" w:sz="0" w:space="0" w:color="auto"/>
            <w:right w:val="none" w:sz="0" w:space="0" w:color="auto"/>
          </w:divBdr>
        </w:div>
      </w:divsChild>
    </w:div>
    <w:div w:id="1868835614">
      <w:marLeft w:val="0"/>
      <w:marRight w:val="0"/>
      <w:marTop w:val="0"/>
      <w:marBottom w:val="0"/>
      <w:divBdr>
        <w:top w:val="none" w:sz="0" w:space="0" w:color="auto"/>
        <w:left w:val="none" w:sz="0" w:space="0" w:color="auto"/>
        <w:bottom w:val="none" w:sz="0" w:space="0" w:color="auto"/>
        <w:right w:val="none" w:sz="0" w:space="0" w:color="auto"/>
      </w:divBdr>
    </w:div>
    <w:div w:id="1869098560">
      <w:marLeft w:val="0"/>
      <w:marRight w:val="0"/>
      <w:marTop w:val="0"/>
      <w:marBottom w:val="0"/>
      <w:divBdr>
        <w:top w:val="none" w:sz="0" w:space="0" w:color="auto"/>
        <w:left w:val="none" w:sz="0" w:space="0" w:color="auto"/>
        <w:bottom w:val="none" w:sz="0" w:space="0" w:color="auto"/>
        <w:right w:val="none" w:sz="0" w:space="0" w:color="auto"/>
      </w:divBdr>
      <w:divsChild>
        <w:div w:id="998191417">
          <w:marLeft w:val="0"/>
          <w:marRight w:val="0"/>
          <w:marTop w:val="0"/>
          <w:marBottom w:val="0"/>
          <w:divBdr>
            <w:top w:val="none" w:sz="0" w:space="0" w:color="auto"/>
            <w:left w:val="none" w:sz="0" w:space="0" w:color="auto"/>
            <w:bottom w:val="none" w:sz="0" w:space="0" w:color="auto"/>
            <w:right w:val="none" w:sz="0" w:space="0" w:color="auto"/>
          </w:divBdr>
        </w:div>
      </w:divsChild>
    </w:div>
    <w:div w:id="1869221765">
      <w:marLeft w:val="0"/>
      <w:marRight w:val="0"/>
      <w:marTop w:val="0"/>
      <w:marBottom w:val="0"/>
      <w:divBdr>
        <w:top w:val="none" w:sz="0" w:space="0" w:color="auto"/>
        <w:left w:val="none" w:sz="0" w:space="0" w:color="auto"/>
        <w:bottom w:val="none" w:sz="0" w:space="0" w:color="auto"/>
        <w:right w:val="none" w:sz="0" w:space="0" w:color="auto"/>
      </w:divBdr>
      <w:divsChild>
        <w:div w:id="798642745">
          <w:marLeft w:val="0"/>
          <w:marRight w:val="0"/>
          <w:marTop w:val="0"/>
          <w:marBottom w:val="0"/>
          <w:divBdr>
            <w:top w:val="none" w:sz="0" w:space="0" w:color="auto"/>
            <w:left w:val="none" w:sz="0" w:space="0" w:color="auto"/>
            <w:bottom w:val="none" w:sz="0" w:space="0" w:color="auto"/>
            <w:right w:val="none" w:sz="0" w:space="0" w:color="auto"/>
          </w:divBdr>
        </w:div>
        <w:div w:id="62026766">
          <w:marLeft w:val="0"/>
          <w:marRight w:val="0"/>
          <w:marTop w:val="0"/>
          <w:marBottom w:val="0"/>
          <w:divBdr>
            <w:top w:val="none" w:sz="0" w:space="0" w:color="auto"/>
            <w:left w:val="none" w:sz="0" w:space="0" w:color="auto"/>
            <w:bottom w:val="none" w:sz="0" w:space="0" w:color="auto"/>
            <w:right w:val="none" w:sz="0" w:space="0" w:color="auto"/>
          </w:divBdr>
        </w:div>
        <w:div w:id="1428886624">
          <w:marLeft w:val="0"/>
          <w:marRight w:val="0"/>
          <w:marTop w:val="0"/>
          <w:marBottom w:val="0"/>
          <w:divBdr>
            <w:top w:val="none" w:sz="0" w:space="0" w:color="auto"/>
            <w:left w:val="none" w:sz="0" w:space="0" w:color="auto"/>
            <w:bottom w:val="none" w:sz="0" w:space="0" w:color="auto"/>
            <w:right w:val="none" w:sz="0" w:space="0" w:color="auto"/>
          </w:divBdr>
        </w:div>
        <w:div w:id="1188566707">
          <w:marLeft w:val="0"/>
          <w:marRight w:val="0"/>
          <w:marTop w:val="0"/>
          <w:marBottom w:val="0"/>
          <w:divBdr>
            <w:top w:val="none" w:sz="0" w:space="0" w:color="auto"/>
            <w:left w:val="none" w:sz="0" w:space="0" w:color="auto"/>
            <w:bottom w:val="none" w:sz="0" w:space="0" w:color="auto"/>
            <w:right w:val="none" w:sz="0" w:space="0" w:color="auto"/>
          </w:divBdr>
        </w:div>
      </w:divsChild>
    </w:div>
    <w:div w:id="1875842329">
      <w:marLeft w:val="0"/>
      <w:marRight w:val="0"/>
      <w:marTop w:val="200"/>
      <w:marBottom w:val="0"/>
      <w:divBdr>
        <w:top w:val="none" w:sz="0" w:space="0" w:color="auto"/>
        <w:left w:val="none" w:sz="0" w:space="0" w:color="auto"/>
        <w:bottom w:val="none" w:sz="0" w:space="0" w:color="auto"/>
        <w:right w:val="none" w:sz="0" w:space="0" w:color="auto"/>
      </w:divBdr>
    </w:div>
    <w:div w:id="1877816628">
      <w:marLeft w:val="0"/>
      <w:marRight w:val="0"/>
      <w:marTop w:val="200"/>
      <w:marBottom w:val="0"/>
      <w:divBdr>
        <w:top w:val="none" w:sz="0" w:space="0" w:color="auto"/>
        <w:left w:val="none" w:sz="0" w:space="0" w:color="auto"/>
        <w:bottom w:val="none" w:sz="0" w:space="0" w:color="auto"/>
        <w:right w:val="none" w:sz="0" w:space="0" w:color="auto"/>
      </w:divBdr>
    </w:div>
    <w:div w:id="1879858714">
      <w:marLeft w:val="0"/>
      <w:marRight w:val="0"/>
      <w:marTop w:val="0"/>
      <w:marBottom w:val="0"/>
      <w:divBdr>
        <w:top w:val="none" w:sz="0" w:space="0" w:color="auto"/>
        <w:left w:val="none" w:sz="0" w:space="0" w:color="auto"/>
        <w:bottom w:val="none" w:sz="0" w:space="0" w:color="auto"/>
        <w:right w:val="none" w:sz="0" w:space="0" w:color="auto"/>
      </w:divBdr>
      <w:divsChild>
        <w:div w:id="1296449517">
          <w:marLeft w:val="0"/>
          <w:marRight w:val="0"/>
          <w:marTop w:val="0"/>
          <w:marBottom w:val="0"/>
          <w:divBdr>
            <w:top w:val="none" w:sz="0" w:space="0" w:color="auto"/>
            <w:left w:val="none" w:sz="0" w:space="0" w:color="auto"/>
            <w:bottom w:val="none" w:sz="0" w:space="0" w:color="auto"/>
            <w:right w:val="none" w:sz="0" w:space="0" w:color="auto"/>
          </w:divBdr>
        </w:div>
      </w:divsChild>
    </w:div>
    <w:div w:id="1880360554">
      <w:marLeft w:val="0"/>
      <w:marRight w:val="0"/>
      <w:marTop w:val="0"/>
      <w:marBottom w:val="0"/>
      <w:divBdr>
        <w:top w:val="none" w:sz="0" w:space="0" w:color="auto"/>
        <w:left w:val="none" w:sz="0" w:space="0" w:color="auto"/>
        <w:bottom w:val="none" w:sz="0" w:space="0" w:color="auto"/>
        <w:right w:val="none" w:sz="0" w:space="0" w:color="auto"/>
      </w:divBdr>
      <w:divsChild>
        <w:div w:id="740493255">
          <w:marLeft w:val="0"/>
          <w:marRight w:val="0"/>
          <w:marTop w:val="0"/>
          <w:marBottom w:val="0"/>
          <w:divBdr>
            <w:top w:val="none" w:sz="0" w:space="0" w:color="auto"/>
            <w:left w:val="none" w:sz="0" w:space="0" w:color="auto"/>
            <w:bottom w:val="none" w:sz="0" w:space="0" w:color="auto"/>
            <w:right w:val="none" w:sz="0" w:space="0" w:color="auto"/>
          </w:divBdr>
        </w:div>
      </w:divsChild>
    </w:div>
    <w:div w:id="1884630420">
      <w:marLeft w:val="0"/>
      <w:marRight w:val="0"/>
      <w:marTop w:val="200"/>
      <w:marBottom w:val="0"/>
      <w:divBdr>
        <w:top w:val="none" w:sz="0" w:space="0" w:color="auto"/>
        <w:left w:val="none" w:sz="0" w:space="0" w:color="auto"/>
        <w:bottom w:val="none" w:sz="0" w:space="0" w:color="auto"/>
        <w:right w:val="none" w:sz="0" w:space="0" w:color="auto"/>
      </w:divBdr>
    </w:div>
    <w:div w:id="1885750891">
      <w:marLeft w:val="0"/>
      <w:marRight w:val="0"/>
      <w:marTop w:val="0"/>
      <w:marBottom w:val="0"/>
      <w:divBdr>
        <w:top w:val="none" w:sz="0" w:space="0" w:color="auto"/>
        <w:left w:val="none" w:sz="0" w:space="0" w:color="auto"/>
        <w:bottom w:val="none" w:sz="0" w:space="0" w:color="auto"/>
        <w:right w:val="none" w:sz="0" w:space="0" w:color="auto"/>
      </w:divBdr>
      <w:divsChild>
        <w:div w:id="1911309927">
          <w:marLeft w:val="0"/>
          <w:marRight w:val="0"/>
          <w:marTop w:val="0"/>
          <w:marBottom w:val="0"/>
          <w:divBdr>
            <w:top w:val="none" w:sz="0" w:space="0" w:color="auto"/>
            <w:left w:val="none" w:sz="0" w:space="0" w:color="auto"/>
            <w:bottom w:val="none" w:sz="0" w:space="0" w:color="auto"/>
            <w:right w:val="none" w:sz="0" w:space="0" w:color="auto"/>
          </w:divBdr>
        </w:div>
      </w:divsChild>
    </w:div>
    <w:div w:id="1890416927">
      <w:marLeft w:val="0"/>
      <w:marRight w:val="0"/>
      <w:marTop w:val="200"/>
      <w:marBottom w:val="0"/>
      <w:divBdr>
        <w:top w:val="none" w:sz="0" w:space="0" w:color="auto"/>
        <w:left w:val="none" w:sz="0" w:space="0" w:color="auto"/>
        <w:bottom w:val="none" w:sz="0" w:space="0" w:color="auto"/>
        <w:right w:val="none" w:sz="0" w:space="0" w:color="auto"/>
      </w:divBdr>
    </w:div>
    <w:div w:id="1892037369">
      <w:marLeft w:val="0"/>
      <w:marRight w:val="0"/>
      <w:marTop w:val="0"/>
      <w:marBottom w:val="0"/>
      <w:divBdr>
        <w:top w:val="none" w:sz="0" w:space="0" w:color="auto"/>
        <w:left w:val="none" w:sz="0" w:space="0" w:color="auto"/>
        <w:bottom w:val="none" w:sz="0" w:space="0" w:color="auto"/>
        <w:right w:val="none" w:sz="0" w:space="0" w:color="auto"/>
      </w:divBdr>
      <w:divsChild>
        <w:div w:id="731198834">
          <w:marLeft w:val="0"/>
          <w:marRight w:val="0"/>
          <w:marTop w:val="0"/>
          <w:marBottom w:val="0"/>
          <w:divBdr>
            <w:top w:val="none" w:sz="0" w:space="0" w:color="auto"/>
            <w:left w:val="none" w:sz="0" w:space="0" w:color="auto"/>
            <w:bottom w:val="none" w:sz="0" w:space="0" w:color="auto"/>
            <w:right w:val="none" w:sz="0" w:space="0" w:color="auto"/>
          </w:divBdr>
        </w:div>
      </w:divsChild>
    </w:div>
    <w:div w:id="1893808703">
      <w:marLeft w:val="0"/>
      <w:marRight w:val="0"/>
      <w:marTop w:val="0"/>
      <w:marBottom w:val="0"/>
      <w:divBdr>
        <w:top w:val="none" w:sz="0" w:space="0" w:color="auto"/>
        <w:left w:val="none" w:sz="0" w:space="0" w:color="auto"/>
        <w:bottom w:val="none" w:sz="0" w:space="0" w:color="auto"/>
        <w:right w:val="none" w:sz="0" w:space="0" w:color="auto"/>
      </w:divBdr>
      <w:divsChild>
        <w:div w:id="638917403">
          <w:marLeft w:val="0"/>
          <w:marRight w:val="0"/>
          <w:marTop w:val="0"/>
          <w:marBottom w:val="0"/>
          <w:divBdr>
            <w:top w:val="none" w:sz="0" w:space="0" w:color="auto"/>
            <w:left w:val="none" w:sz="0" w:space="0" w:color="auto"/>
            <w:bottom w:val="none" w:sz="0" w:space="0" w:color="auto"/>
            <w:right w:val="none" w:sz="0" w:space="0" w:color="auto"/>
          </w:divBdr>
        </w:div>
      </w:divsChild>
    </w:div>
    <w:div w:id="1896047223">
      <w:marLeft w:val="0"/>
      <w:marRight w:val="0"/>
      <w:marTop w:val="0"/>
      <w:marBottom w:val="0"/>
      <w:divBdr>
        <w:top w:val="none" w:sz="0" w:space="0" w:color="auto"/>
        <w:left w:val="none" w:sz="0" w:space="0" w:color="auto"/>
        <w:bottom w:val="none" w:sz="0" w:space="0" w:color="auto"/>
        <w:right w:val="none" w:sz="0" w:space="0" w:color="auto"/>
      </w:divBdr>
      <w:divsChild>
        <w:div w:id="91824183">
          <w:marLeft w:val="0"/>
          <w:marRight w:val="0"/>
          <w:marTop w:val="0"/>
          <w:marBottom w:val="0"/>
          <w:divBdr>
            <w:top w:val="none" w:sz="0" w:space="0" w:color="auto"/>
            <w:left w:val="none" w:sz="0" w:space="0" w:color="auto"/>
            <w:bottom w:val="none" w:sz="0" w:space="0" w:color="auto"/>
            <w:right w:val="none" w:sz="0" w:space="0" w:color="auto"/>
          </w:divBdr>
        </w:div>
      </w:divsChild>
    </w:div>
    <w:div w:id="1898318760">
      <w:marLeft w:val="0"/>
      <w:marRight w:val="0"/>
      <w:marTop w:val="0"/>
      <w:marBottom w:val="0"/>
      <w:divBdr>
        <w:top w:val="none" w:sz="0" w:space="0" w:color="auto"/>
        <w:left w:val="none" w:sz="0" w:space="0" w:color="auto"/>
        <w:bottom w:val="none" w:sz="0" w:space="0" w:color="auto"/>
        <w:right w:val="none" w:sz="0" w:space="0" w:color="auto"/>
      </w:divBdr>
    </w:div>
    <w:div w:id="1899583458">
      <w:marLeft w:val="0"/>
      <w:marRight w:val="0"/>
      <w:marTop w:val="0"/>
      <w:marBottom w:val="0"/>
      <w:divBdr>
        <w:top w:val="none" w:sz="0" w:space="0" w:color="auto"/>
        <w:left w:val="none" w:sz="0" w:space="0" w:color="auto"/>
        <w:bottom w:val="none" w:sz="0" w:space="0" w:color="auto"/>
        <w:right w:val="none" w:sz="0" w:space="0" w:color="auto"/>
      </w:divBdr>
    </w:div>
    <w:div w:id="1902250926">
      <w:marLeft w:val="0"/>
      <w:marRight w:val="0"/>
      <w:marTop w:val="100"/>
      <w:marBottom w:val="0"/>
      <w:divBdr>
        <w:top w:val="none" w:sz="0" w:space="0" w:color="auto"/>
        <w:left w:val="none" w:sz="0" w:space="0" w:color="auto"/>
        <w:bottom w:val="none" w:sz="0" w:space="0" w:color="auto"/>
        <w:right w:val="none" w:sz="0" w:space="0" w:color="auto"/>
      </w:divBdr>
    </w:div>
    <w:div w:id="1902477229">
      <w:marLeft w:val="0"/>
      <w:marRight w:val="0"/>
      <w:marTop w:val="0"/>
      <w:marBottom w:val="200"/>
      <w:divBdr>
        <w:top w:val="none" w:sz="0" w:space="0" w:color="auto"/>
        <w:left w:val="none" w:sz="0" w:space="0" w:color="auto"/>
        <w:bottom w:val="none" w:sz="0" w:space="0" w:color="auto"/>
        <w:right w:val="none" w:sz="0" w:space="0" w:color="auto"/>
      </w:divBdr>
    </w:div>
    <w:div w:id="1903179481">
      <w:marLeft w:val="0"/>
      <w:marRight w:val="0"/>
      <w:marTop w:val="0"/>
      <w:marBottom w:val="0"/>
      <w:divBdr>
        <w:top w:val="none" w:sz="0" w:space="0" w:color="auto"/>
        <w:left w:val="none" w:sz="0" w:space="0" w:color="auto"/>
        <w:bottom w:val="none" w:sz="0" w:space="0" w:color="auto"/>
        <w:right w:val="none" w:sz="0" w:space="0" w:color="auto"/>
      </w:divBdr>
    </w:div>
    <w:div w:id="1908804209">
      <w:marLeft w:val="0"/>
      <w:marRight w:val="0"/>
      <w:marTop w:val="0"/>
      <w:marBottom w:val="0"/>
      <w:divBdr>
        <w:top w:val="none" w:sz="0" w:space="0" w:color="auto"/>
        <w:left w:val="none" w:sz="0" w:space="0" w:color="auto"/>
        <w:bottom w:val="none" w:sz="0" w:space="0" w:color="auto"/>
        <w:right w:val="none" w:sz="0" w:space="0" w:color="auto"/>
      </w:divBdr>
    </w:div>
    <w:div w:id="1909458483">
      <w:marLeft w:val="0"/>
      <w:marRight w:val="0"/>
      <w:marTop w:val="0"/>
      <w:marBottom w:val="0"/>
      <w:divBdr>
        <w:top w:val="none" w:sz="0" w:space="0" w:color="auto"/>
        <w:left w:val="none" w:sz="0" w:space="0" w:color="auto"/>
        <w:bottom w:val="none" w:sz="0" w:space="0" w:color="auto"/>
        <w:right w:val="none" w:sz="0" w:space="0" w:color="auto"/>
      </w:divBdr>
    </w:div>
    <w:div w:id="1911307099">
      <w:marLeft w:val="0"/>
      <w:marRight w:val="0"/>
      <w:marTop w:val="0"/>
      <w:marBottom w:val="0"/>
      <w:divBdr>
        <w:top w:val="none" w:sz="0" w:space="0" w:color="auto"/>
        <w:left w:val="none" w:sz="0" w:space="0" w:color="auto"/>
        <w:bottom w:val="none" w:sz="0" w:space="0" w:color="auto"/>
        <w:right w:val="none" w:sz="0" w:space="0" w:color="auto"/>
      </w:divBdr>
    </w:div>
    <w:div w:id="1915971019">
      <w:marLeft w:val="0"/>
      <w:marRight w:val="0"/>
      <w:marTop w:val="0"/>
      <w:marBottom w:val="160"/>
      <w:divBdr>
        <w:top w:val="none" w:sz="0" w:space="0" w:color="auto"/>
        <w:left w:val="none" w:sz="0" w:space="0" w:color="auto"/>
        <w:bottom w:val="none" w:sz="0" w:space="0" w:color="auto"/>
        <w:right w:val="none" w:sz="0" w:space="0" w:color="auto"/>
      </w:divBdr>
    </w:div>
    <w:div w:id="1916547759">
      <w:marLeft w:val="0"/>
      <w:marRight w:val="0"/>
      <w:marTop w:val="200"/>
      <w:marBottom w:val="0"/>
      <w:divBdr>
        <w:top w:val="none" w:sz="0" w:space="0" w:color="auto"/>
        <w:left w:val="none" w:sz="0" w:space="0" w:color="auto"/>
        <w:bottom w:val="none" w:sz="0" w:space="0" w:color="auto"/>
        <w:right w:val="none" w:sz="0" w:space="0" w:color="auto"/>
      </w:divBdr>
    </w:div>
    <w:div w:id="1922716369">
      <w:marLeft w:val="0"/>
      <w:marRight w:val="0"/>
      <w:marTop w:val="0"/>
      <w:marBottom w:val="0"/>
      <w:divBdr>
        <w:top w:val="none" w:sz="0" w:space="0" w:color="auto"/>
        <w:left w:val="none" w:sz="0" w:space="0" w:color="auto"/>
        <w:bottom w:val="none" w:sz="0" w:space="0" w:color="auto"/>
        <w:right w:val="none" w:sz="0" w:space="0" w:color="auto"/>
      </w:divBdr>
      <w:divsChild>
        <w:div w:id="189298879">
          <w:marLeft w:val="0"/>
          <w:marRight w:val="0"/>
          <w:marTop w:val="0"/>
          <w:marBottom w:val="0"/>
          <w:divBdr>
            <w:top w:val="none" w:sz="0" w:space="0" w:color="auto"/>
            <w:left w:val="none" w:sz="0" w:space="0" w:color="auto"/>
            <w:bottom w:val="none" w:sz="0" w:space="0" w:color="auto"/>
            <w:right w:val="none" w:sz="0" w:space="0" w:color="auto"/>
          </w:divBdr>
        </w:div>
      </w:divsChild>
    </w:div>
    <w:div w:id="1923953669">
      <w:marLeft w:val="0"/>
      <w:marRight w:val="0"/>
      <w:marTop w:val="0"/>
      <w:marBottom w:val="0"/>
      <w:divBdr>
        <w:top w:val="none" w:sz="0" w:space="0" w:color="auto"/>
        <w:left w:val="none" w:sz="0" w:space="0" w:color="auto"/>
        <w:bottom w:val="none" w:sz="0" w:space="0" w:color="auto"/>
        <w:right w:val="none" w:sz="0" w:space="0" w:color="auto"/>
      </w:divBdr>
    </w:div>
    <w:div w:id="1926986441">
      <w:marLeft w:val="0"/>
      <w:marRight w:val="0"/>
      <w:marTop w:val="200"/>
      <w:marBottom w:val="0"/>
      <w:divBdr>
        <w:top w:val="none" w:sz="0" w:space="0" w:color="auto"/>
        <w:left w:val="none" w:sz="0" w:space="0" w:color="auto"/>
        <w:bottom w:val="none" w:sz="0" w:space="0" w:color="auto"/>
        <w:right w:val="none" w:sz="0" w:space="0" w:color="auto"/>
      </w:divBdr>
    </w:div>
    <w:div w:id="1927691045">
      <w:marLeft w:val="0"/>
      <w:marRight w:val="0"/>
      <w:marTop w:val="0"/>
      <w:marBottom w:val="0"/>
      <w:divBdr>
        <w:top w:val="none" w:sz="0" w:space="0" w:color="auto"/>
        <w:left w:val="none" w:sz="0" w:space="0" w:color="auto"/>
        <w:bottom w:val="none" w:sz="0" w:space="0" w:color="auto"/>
        <w:right w:val="none" w:sz="0" w:space="0" w:color="auto"/>
      </w:divBdr>
      <w:divsChild>
        <w:div w:id="261305229">
          <w:marLeft w:val="0"/>
          <w:marRight w:val="0"/>
          <w:marTop w:val="0"/>
          <w:marBottom w:val="0"/>
          <w:divBdr>
            <w:top w:val="none" w:sz="0" w:space="0" w:color="auto"/>
            <w:left w:val="none" w:sz="0" w:space="0" w:color="auto"/>
            <w:bottom w:val="none" w:sz="0" w:space="0" w:color="auto"/>
            <w:right w:val="none" w:sz="0" w:space="0" w:color="auto"/>
          </w:divBdr>
        </w:div>
        <w:div w:id="1141965533">
          <w:marLeft w:val="0"/>
          <w:marRight w:val="0"/>
          <w:marTop w:val="0"/>
          <w:marBottom w:val="0"/>
          <w:divBdr>
            <w:top w:val="none" w:sz="0" w:space="0" w:color="auto"/>
            <w:left w:val="none" w:sz="0" w:space="0" w:color="auto"/>
            <w:bottom w:val="none" w:sz="0" w:space="0" w:color="auto"/>
            <w:right w:val="none" w:sz="0" w:space="0" w:color="auto"/>
          </w:divBdr>
        </w:div>
        <w:div w:id="1502234711">
          <w:marLeft w:val="0"/>
          <w:marRight w:val="0"/>
          <w:marTop w:val="0"/>
          <w:marBottom w:val="0"/>
          <w:divBdr>
            <w:top w:val="none" w:sz="0" w:space="0" w:color="auto"/>
            <w:left w:val="none" w:sz="0" w:space="0" w:color="auto"/>
            <w:bottom w:val="none" w:sz="0" w:space="0" w:color="auto"/>
            <w:right w:val="none" w:sz="0" w:space="0" w:color="auto"/>
          </w:divBdr>
        </w:div>
        <w:div w:id="1166552414">
          <w:marLeft w:val="0"/>
          <w:marRight w:val="0"/>
          <w:marTop w:val="0"/>
          <w:marBottom w:val="0"/>
          <w:divBdr>
            <w:top w:val="none" w:sz="0" w:space="0" w:color="auto"/>
            <w:left w:val="none" w:sz="0" w:space="0" w:color="auto"/>
            <w:bottom w:val="none" w:sz="0" w:space="0" w:color="auto"/>
            <w:right w:val="none" w:sz="0" w:space="0" w:color="auto"/>
          </w:divBdr>
        </w:div>
      </w:divsChild>
    </w:div>
    <w:div w:id="1927884954">
      <w:marLeft w:val="0"/>
      <w:marRight w:val="0"/>
      <w:marTop w:val="200"/>
      <w:marBottom w:val="0"/>
      <w:divBdr>
        <w:top w:val="none" w:sz="0" w:space="0" w:color="auto"/>
        <w:left w:val="none" w:sz="0" w:space="0" w:color="auto"/>
        <w:bottom w:val="none" w:sz="0" w:space="0" w:color="auto"/>
        <w:right w:val="none" w:sz="0" w:space="0" w:color="auto"/>
      </w:divBdr>
    </w:div>
    <w:div w:id="1929649713">
      <w:marLeft w:val="0"/>
      <w:marRight w:val="0"/>
      <w:marTop w:val="0"/>
      <w:marBottom w:val="0"/>
      <w:divBdr>
        <w:top w:val="none" w:sz="0" w:space="0" w:color="auto"/>
        <w:left w:val="none" w:sz="0" w:space="0" w:color="auto"/>
        <w:bottom w:val="none" w:sz="0" w:space="0" w:color="auto"/>
        <w:right w:val="none" w:sz="0" w:space="0" w:color="auto"/>
      </w:divBdr>
      <w:divsChild>
        <w:div w:id="1593974929">
          <w:marLeft w:val="0"/>
          <w:marRight w:val="0"/>
          <w:marTop w:val="0"/>
          <w:marBottom w:val="0"/>
          <w:divBdr>
            <w:top w:val="none" w:sz="0" w:space="0" w:color="auto"/>
            <w:left w:val="none" w:sz="0" w:space="0" w:color="auto"/>
            <w:bottom w:val="none" w:sz="0" w:space="0" w:color="auto"/>
            <w:right w:val="none" w:sz="0" w:space="0" w:color="auto"/>
          </w:divBdr>
        </w:div>
      </w:divsChild>
    </w:div>
    <w:div w:id="1931354980">
      <w:marLeft w:val="0"/>
      <w:marRight w:val="0"/>
      <w:marTop w:val="0"/>
      <w:marBottom w:val="160"/>
      <w:divBdr>
        <w:top w:val="none" w:sz="0" w:space="0" w:color="auto"/>
        <w:left w:val="none" w:sz="0" w:space="0" w:color="auto"/>
        <w:bottom w:val="none" w:sz="0" w:space="0" w:color="auto"/>
        <w:right w:val="none" w:sz="0" w:space="0" w:color="auto"/>
      </w:divBdr>
    </w:div>
    <w:div w:id="1936548285">
      <w:marLeft w:val="0"/>
      <w:marRight w:val="0"/>
      <w:marTop w:val="0"/>
      <w:marBottom w:val="0"/>
      <w:divBdr>
        <w:top w:val="none" w:sz="0" w:space="0" w:color="auto"/>
        <w:left w:val="none" w:sz="0" w:space="0" w:color="auto"/>
        <w:bottom w:val="none" w:sz="0" w:space="0" w:color="auto"/>
        <w:right w:val="none" w:sz="0" w:space="0" w:color="auto"/>
      </w:divBdr>
      <w:divsChild>
        <w:div w:id="1166017572">
          <w:marLeft w:val="0"/>
          <w:marRight w:val="0"/>
          <w:marTop w:val="0"/>
          <w:marBottom w:val="0"/>
          <w:divBdr>
            <w:top w:val="none" w:sz="0" w:space="0" w:color="auto"/>
            <w:left w:val="none" w:sz="0" w:space="0" w:color="auto"/>
            <w:bottom w:val="none" w:sz="0" w:space="0" w:color="auto"/>
            <w:right w:val="none" w:sz="0" w:space="0" w:color="auto"/>
          </w:divBdr>
        </w:div>
      </w:divsChild>
    </w:div>
    <w:div w:id="1937514567">
      <w:marLeft w:val="0"/>
      <w:marRight w:val="0"/>
      <w:marTop w:val="0"/>
      <w:marBottom w:val="160"/>
      <w:divBdr>
        <w:top w:val="none" w:sz="0" w:space="0" w:color="auto"/>
        <w:left w:val="none" w:sz="0" w:space="0" w:color="auto"/>
        <w:bottom w:val="none" w:sz="0" w:space="0" w:color="auto"/>
        <w:right w:val="none" w:sz="0" w:space="0" w:color="auto"/>
      </w:divBdr>
    </w:div>
    <w:div w:id="1940604083">
      <w:marLeft w:val="0"/>
      <w:marRight w:val="0"/>
      <w:marTop w:val="0"/>
      <w:marBottom w:val="0"/>
      <w:divBdr>
        <w:top w:val="none" w:sz="0" w:space="0" w:color="auto"/>
        <w:left w:val="none" w:sz="0" w:space="0" w:color="auto"/>
        <w:bottom w:val="none" w:sz="0" w:space="0" w:color="auto"/>
        <w:right w:val="none" w:sz="0" w:space="0" w:color="auto"/>
      </w:divBdr>
    </w:div>
    <w:div w:id="1941061336">
      <w:marLeft w:val="0"/>
      <w:marRight w:val="0"/>
      <w:marTop w:val="0"/>
      <w:marBottom w:val="0"/>
      <w:divBdr>
        <w:top w:val="none" w:sz="0" w:space="0" w:color="auto"/>
        <w:left w:val="none" w:sz="0" w:space="0" w:color="auto"/>
        <w:bottom w:val="none" w:sz="0" w:space="0" w:color="auto"/>
        <w:right w:val="none" w:sz="0" w:space="0" w:color="auto"/>
      </w:divBdr>
      <w:divsChild>
        <w:div w:id="1757938951">
          <w:marLeft w:val="0"/>
          <w:marRight w:val="0"/>
          <w:marTop w:val="0"/>
          <w:marBottom w:val="0"/>
          <w:divBdr>
            <w:top w:val="none" w:sz="0" w:space="0" w:color="auto"/>
            <w:left w:val="none" w:sz="0" w:space="0" w:color="auto"/>
            <w:bottom w:val="none" w:sz="0" w:space="0" w:color="auto"/>
            <w:right w:val="none" w:sz="0" w:space="0" w:color="auto"/>
          </w:divBdr>
        </w:div>
      </w:divsChild>
    </w:div>
    <w:div w:id="1941906474">
      <w:marLeft w:val="0"/>
      <w:marRight w:val="0"/>
      <w:marTop w:val="200"/>
      <w:marBottom w:val="0"/>
      <w:divBdr>
        <w:top w:val="none" w:sz="0" w:space="0" w:color="auto"/>
        <w:left w:val="none" w:sz="0" w:space="0" w:color="auto"/>
        <w:bottom w:val="none" w:sz="0" w:space="0" w:color="auto"/>
        <w:right w:val="none" w:sz="0" w:space="0" w:color="auto"/>
      </w:divBdr>
    </w:div>
    <w:div w:id="1943561309">
      <w:marLeft w:val="0"/>
      <w:marRight w:val="0"/>
      <w:marTop w:val="0"/>
      <w:marBottom w:val="0"/>
      <w:divBdr>
        <w:top w:val="none" w:sz="0" w:space="0" w:color="auto"/>
        <w:left w:val="none" w:sz="0" w:space="0" w:color="auto"/>
        <w:bottom w:val="none" w:sz="0" w:space="0" w:color="auto"/>
        <w:right w:val="none" w:sz="0" w:space="0" w:color="auto"/>
      </w:divBdr>
      <w:divsChild>
        <w:div w:id="213659921">
          <w:marLeft w:val="0"/>
          <w:marRight w:val="0"/>
          <w:marTop w:val="0"/>
          <w:marBottom w:val="0"/>
          <w:divBdr>
            <w:top w:val="none" w:sz="0" w:space="0" w:color="auto"/>
            <w:left w:val="none" w:sz="0" w:space="0" w:color="auto"/>
            <w:bottom w:val="none" w:sz="0" w:space="0" w:color="auto"/>
            <w:right w:val="none" w:sz="0" w:space="0" w:color="auto"/>
          </w:divBdr>
        </w:div>
      </w:divsChild>
    </w:div>
    <w:div w:id="1946839680">
      <w:marLeft w:val="0"/>
      <w:marRight w:val="0"/>
      <w:marTop w:val="200"/>
      <w:marBottom w:val="200"/>
      <w:divBdr>
        <w:top w:val="none" w:sz="0" w:space="0" w:color="auto"/>
        <w:left w:val="none" w:sz="0" w:space="0" w:color="auto"/>
        <w:bottom w:val="none" w:sz="0" w:space="0" w:color="auto"/>
        <w:right w:val="none" w:sz="0" w:space="0" w:color="auto"/>
      </w:divBdr>
    </w:div>
    <w:div w:id="1947541738">
      <w:marLeft w:val="0"/>
      <w:marRight w:val="0"/>
      <w:marTop w:val="100"/>
      <w:marBottom w:val="0"/>
      <w:divBdr>
        <w:top w:val="none" w:sz="0" w:space="0" w:color="auto"/>
        <w:left w:val="none" w:sz="0" w:space="0" w:color="auto"/>
        <w:bottom w:val="none" w:sz="0" w:space="0" w:color="auto"/>
        <w:right w:val="none" w:sz="0" w:space="0" w:color="auto"/>
      </w:divBdr>
    </w:div>
    <w:div w:id="1948535206">
      <w:marLeft w:val="0"/>
      <w:marRight w:val="0"/>
      <w:marTop w:val="200"/>
      <w:marBottom w:val="0"/>
      <w:divBdr>
        <w:top w:val="none" w:sz="0" w:space="0" w:color="auto"/>
        <w:left w:val="none" w:sz="0" w:space="0" w:color="auto"/>
        <w:bottom w:val="none" w:sz="0" w:space="0" w:color="auto"/>
        <w:right w:val="none" w:sz="0" w:space="0" w:color="auto"/>
      </w:divBdr>
    </w:div>
    <w:div w:id="1951281159">
      <w:marLeft w:val="0"/>
      <w:marRight w:val="0"/>
      <w:marTop w:val="200"/>
      <w:marBottom w:val="0"/>
      <w:divBdr>
        <w:top w:val="none" w:sz="0" w:space="0" w:color="auto"/>
        <w:left w:val="none" w:sz="0" w:space="0" w:color="auto"/>
        <w:bottom w:val="none" w:sz="0" w:space="0" w:color="auto"/>
        <w:right w:val="none" w:sz="0" w:space="0" w:color="auto"/>
      </w:divBdr>
    </w:div>
    <w:div w:id="1957177979">
      <w:marLeft w:val="0"/>
      <w:marRight w:val="0"/>
      <w:marTop w:val="200"/>
      <w:marBottom w:val="0"/>
      <w:divBdr>
        <w:top w:val="none" w:sz="0" w:space="0" w:color="auto"/>
        <w:left w:val="none" w:sz="0" w:space="0" w:color="auto"/>
        <w:bottom w:val="none" w:sz="0" w:space="0" w:color="auto"/>
        <w:right w:val="none" w:sz="0" w:space="0" w:color="auto"/>
      </w:divBdr>
    </w:div>
    <w:div w:id="1958099489">
      <w:marLeft w:val="0"/>
      <w:marRight w:val="0"/>
      <w:marTop w:val="0"/>
      <w:marBottom w:val="200"/>
      <w:divBdr>
        <w:top w:val="none" w:sz="0" w:space="0" w:color="auto"/>
        <w:left w:val="none" w:sz="0" w:space="0" w:color="auto"/>
        <w:bottom w:val="none" w:sz="0" w:space="0" w:color="auto"/>
        <w:right w:val="none" w:sz="0" w:space="0" w:color="auto"/>
      </w:divBdr>
    </w:div>
    <w:div w:id="1958179778">
      <w:marLeft w:val="0"/>
      <w:marRight w:val="0"/>
      <w:marTop w:val="0"/>
      <w:marBottom w:val="0"/>
      <w:divBdr>
        <w:top w:val="none" w:sz="0" w:space="0" w:color="auto"/>
        <w:left w:val="none" w:sz="0" w:space="0" w:color="auto"/>
        <w:bottom w:val="none" w:sz="0" w:space="0" w:color="auto"/>
        <w:right w:val="none" w:sz="0" w:space="0" w:color="auto"/>
      </w:divBdr>
      <w:divsChild>
        <w:div w:id="1806463227">
          <w:marLeft w:val="0"/>
          <w:marRight w:val="0"/>
          <w:marTop w:val="0"/>
          <w:marBottom w:val="0"/>
          <w:divBdr>
            <w:top w:val="none" w:sz="0" w:space="0" w:color="auto"/>
            <w:left w:val="none" w:sz="0" w:space="0" w:color="auto"/>
            <w:bottom w:val="none" w:sz="0" w:space="0" w:color="auto"/>
            <w:right w:val="none" w:sz="0" w:space="0" w:color="auto"/>
          </w:divBdr>
        </w:div>
      </w:divsChild>
    </w:div>
    <w:div w:id="1962027084">
      <w:marLeft w:val="0"/>
      <w:marRight w:val="0"/>
      <w:marTop w:val="100"/>
      <w:marBottom w:val="0"/>
      <w:divBdr>
        <w:top w:val="none" w:sz="0" w:space="0" w:color="auto"/>
        <w:left w:val="none" w:sz="0" w:space="0" w:color="auto"/>
        <w:bottom w:val="none" w:sz="0" w:space="0" w:color="auto"/>
        <w:right w:val="none" w:sz="0" w:space="0" w:color="auto"/>
      </w:divBdr>
    </w:div>
    <w:div w:id="1964654123">
      <w:marLeft w:val="0"/>
      <w:marRight w:val="0"/>
      <w:marTop w:val="0"/>
      <w:marBottom w:val="0"/>
      <w:divBdr>
        <w:top w:val="none" w:sz="0" w:space="0" w:color="auto"/>
        <w:left w:val="none" w:sz="0" w:space="0" w:color="auto"/>
        <w:bottom w:val="none" w:sz="0" w:space="0" w:color="auto"/>
        <w:right w:val="none" w:sz="0" w:space="0" w:color="auto"/>
      </w:divBdr>
    </w:div>
    <w:div w:id="1965426186">
      <w:marLeft w:val="0"/>
      <w:marRight w:val="0"/>
      <w:marTop w:val="200"/>
      <w:marBottom w:val="0"/>
      <w:divBdr>
        <w:top w:val="none" w:sz="0" w:space="0" w:color="auto"/>
        <w:left w:val="none" w:sz="0" w:space="0" w:color="auto"/>
        <w:bottom w:val="none" w:sz="0" w:space="0" w:color="auto"/>
        <w:right w:val="none" w:sz="0" w:space="0" w:color="auto"/>
      </w:divBdr>
    </w:div>
    <w:div w:id="1971397156">
      <w:marLeft w:val="0"/>
      <w:marRight w:val="0"/>
      <w:marTop w:val="0"/>
      <w:marBottom w:val="0"/>
      <w:divBdr>
        <w:top w:val="none" w:sz="0" w:space="0" w:color="auto"/>
        <w:left w:val="none" w:sz="0" w:space="0" w:color="auto"/>
        <w:bottom w:val="none" w:sz="0" w:space="0" w:color="auto"/>
        <w:right w:val="none" w:sz="0" w:space="0" w:color="auto"/>
      </w:divBdr>
    </w:div>
    <w:div w:id="1973906419">
      <w:marLeft w:val="0"/>
      <w:marRight w:val="0"/>
      <w:marTop w:val="0"/>
      <w:marBottom w:val="0"/>
      <w:divBdr>
        <w:top w:val="none" w:sz="0" w:space="0" w:color="auto"/>
        <w:left w:val="none" w:sz="0" w:space="0" w:color="auto"/>
        <w:bottom w:val="none" w:sz="0" w:space="0" w:color="auto"/>
        <w:right w:val="none" w:sz="0" w:space="0" w:color="auto"/>
      </w:divBdr>
    </w:div>
    <w:div w:id="1975211326">
      <w:marLeft w:val="0"/>
      <w:marRight w:val="0"/>
      <w:marTop w:val="200"/>
      <w:marBottom w:val="0"/>
      <w:divBdr>
        <w:top w:val="none" w:sz="0" w:space="0" w:color="auto"/>
        <w:left w:val="none" w:sz="0" w:space="0" w:color="auto"/>
        <w:bottom w:val="none" w:sz="0" w:space="0" w:color="auto"/>
        <w:right w:val="none" w:sz="0" w:space="0" w:color="auto"/>
      </w:divBdr>
    </w:div>
    <w:div w:id="1976058370">
      <w:marLeft w:val="0"/>
      <w:marRight w:val="0"/>
      <w:marTop w:val="200"/>
      <w:marBottom w:val="0"/>
      <w:divBdr>
        <w:top w:val="none" w:sz="0" w:space="0" w:color="auto"/>
        <w:left w:val="none" w:sz="0" w:space="0" w:color="auto"/>
        <w:bottom w:val="none" w:sz="0" w:space="0" w:color="auto"/>
        <w:right w:val="none" w:sz="0" w:space="0" w:color="auto"/>
      </w:divBdr>
    </w:div>
    <w:div w:id="1977834599">
      <w:marLeft w:val="0"/>
      <w:marRight w:val="0"/>
      <w:marTop w:val="0"/>
      <w:marBottom w:val="160"/>
      <w:divBdr>
        <w:top w:val="none" w:sz="0" w:space="0" w:color="auto"/>
        <w:left w:val="none" w:sz="0" w:space="0" w:color="auto"/>
        <w:bottom w:val="none" w:sz="0" w:space="0" w:color="auto"/>
        <w:right w:val="none" w:sz="0" w:space="0" w:color="auto"/>
      </w:divBdr>
    </w:div>
    <w:div w:id="1978025565">
      <w:marLeft w:val="0"/>
      <w:marRight w:val="0"/>
      <w:marTop w:val="0"/>
      <w:marBottom w:val="0"/>
      <w:divBdr>
        <w:top w:val="none" w:sz="0" w:space="0" w:color="auto"/>
        <w:left w:val="none" w:sz="0" w:space="0" w:color="auto"/>
        <w:bottom w:val="none" w:sz="0" w:space="0" w:color="auto"/>
        <w:right w:val="none" w:sz="0" w:space="0" w:color="auto"/>
      </w:divBdr>
      <w:divsChild>
        <w:div w:id="1014959161">
          <w:marLeft w:val="0"/>
          <w:marRight w:val="0"/>
          <w:marTop w:val="0"/>
          <w:marBottom w:val="0"/>
          <w:divBdr>
            <w:top w:val="none" w:sz="0" w:space="0" w:color="auto"/>
            <w:left w:val="none" w:sz="0" w:space="0" w:color="auto"/>
            <w:bottom w:val="none" w:sz="0" w:space="0" w:color="auto"/>
            <w:right w:val="none" w:sz="0" w:space="0" w:color="auto"/>
          </w:divBdr>
        </w:div>
      </w:divsChild>
    </w:div>
    <w:div w:id="1978796818">
      <w:marLeft w:val="0"/>
      <w:marRight w:val="0"/>
      <w:marTop w:val="0"/>
      <w:marBottom w:val="0"/>
      <w:divBdr>
        <w:top w:val="none" w:sz="0" w:space="0" w:color="auto"/>
        <w:left w:val="none" w:sz="0" w:space="0" w:color="auto"/>
        <w:bottom w:val="none" w:sz="0" w:space="0" w:color="auto"/>
        <w:right w:val="none" w:sz="0" w:space="0" w:color="auto"/>
      </w:divBdr>
    </w:div>
    <w:div w:id="1980303444">
      <w:marLeft w:val="0"/>
      <w:marRight w:val="0"/>
      <w:marTop w:val="0"/>
      <w:marBottom w:val="0"/>
      <w:divBdr>
        <w:top w:val="none" w:sz="0" w:space="0" w:color="auto"/>
        <w:left w:val="none" w:sz="0" w:space="0" w:color="auto"/>
        <w:bottom w:val="none" w:sz="0" w:space="0" w:color="auto"/>
        <w:right w:val="none" w:sz="0" w:space="0" w:color="auto"/>
      </w:divBdr>
    </w:div>
    <w:div w:id="1980452154">
      <w:marLeft w:val="0"/>
      <w:marRight w:val="0"/>
      <w:marTop w:val="0"/>
      <w:marBottom w:val="0"/>
      <w:divBdr>
        <w:top w:val="none" w:sz="0" w:space="0" w:color="auto"/>
        <w:left w:val="none" w:sz="0" w:space="0" w:color="auto"/>
        <w:bottom w:val="none" w:sz="0" w:space="0" w:color="auto"/>
        <w:right w:val="none" w:sz="0" w:space="0" w:color="auto"/>
      </w:divBdr>
    </w:div>
    <w:div w:id="1992366671">
      <w:marLeft w:val="0"/>
      <w:marRight w:val="0"/>
      <w:marTop w:val="0"/>
      <w:marBottom w:val="0"/>
      <w:divBdr>
        <w:top w:val="none" w:sz="0" w:space="0" w:color="auto"/>
        <w:left w:val="none" w:sz="0" w:space="0" w:color="auto"/>
        <w:bottom w:val="none" w:sz="0" w:space="0" w:color="auto"/>
        <w:right w:val="none" w:sz="0" w:space="0" w:color="auto"/>
      </w:divBdr>
      <w:divsChild>
        <w:div w:id="343828654">
          <w:marLeft w:val="0"/>
          <w:marRight w:val="0"/>
          <w:marTop w:val="0"/>
          <w:marBottom w:val="0"/>
          <w:divBdr>
            <w:top w:val="none" w:sz="0" w:space="0" w:color="auto"/>
            <w:left w:val="none" w:sz="0" w:space="0" w:color="auto"/>
            <w:bottom w:val="none" w:sz="0" w:space="0" w:color="auto"/>
            <w:right w:val="none" w:sz="0" w:space="0" w:color="auto"/>
          </w:divBdr>
        </w:div>
      </w:divsChild>
    </w:div>
    <w:div w:id="1992557810">
      <w:marLeft w:val="0"/>
      <w:marRight w:val="0"/>
      <w:marTop w:val="200"/>
      <w:marBottom w:val="0"/>
      <w:divBdr>
        <w:top w:val="none" w:sz="0" w:space="0" w:color="auto"/>
        <w:left w:val="none" w:sz="0" w:space="0" w:color="auto"/>
        <w:bottom w:val="none" w:sz="0" w:space="0" w:color="auto"/>
        <w:right w:val="none" w:sz="0" w:space="0" w:color="auto"/>
      </w:divBdr>
    </w:div>
    <w:div w:id="1996182844">
      <w:marLeft w:val="0"/>
      <w:marRight w:val="0"/>
      <w:marTop w:val="0"/>
      <w:marBottom w:val="0"/>
      <w:divBdr>
        <w:top w:val="none" w:sz="0" w:space="0" w:color="auto"/>
        <w:left w:val="none" w:sz="0" w:space="0" w:color="auto"/>
        <w:bottom w:val="none" w:sz="0" w:space="0" w:color="auto"/>
        <w:right w:val="none" w:sz="0" w:space="0" w:color="auto"/>
      </w:divBdr>
      <w:divsChild>
        <w:div w:id="1508835614">
          <w:marLeft w:val="0"/>
          <w:marRight w:val="0"/>
          <w:marTop w:val="0"/>
          <w:marBottom w:val="0"/>
          <w:divBdr>
            <w:top w:val="none" w:sz="0" w:space="0" w:color="auto"/>
            <w:left w:val="none" w:sz="0" w:space="0" w:color="auto"/>
            <w:bottom w:val="none" w:sz="0" w:space="0" w:color="auto"/>
            <w:right w:val="none" w:sz="0" w:space="0" w:color="auto"/>
          </w:divBdr>
        </w:div>
      </w:divsChild>
    </w:div>
    <w:div w:id="1998916560">
      <w:marLeft w:val="0"/>
      <w:marRight w:val="0"/>
      <w:marTop w:val="0"/>
      <w:marBottom w:val="200"/>
      <w:divBdr>
        <w:top w:val="none" w:sz="0" w:space="0" w:color="auto"/>
        <w:left w:val="none" w:sz="0" w:space="0" w:color="auto"/>
        <w:bottom w:val="none" w:sz="0" w:space="0" w:color="auto"/>
        <w:right w:val="none" w:sz="0" w:space="0" w:color="auto"/>
      </w:divBdr>
    </w:div>
    <w:div w:id="2000307751">
      <w:marLeft w:val="0"/>
      <w:marRight w:val="0"/>
      <w:marTop w:val="0"/>
      <w:marBottom w:val="0"/>
      <w:divBdr>
        <w:top w:val="none" w:sz="0" w:space="0" w:color="auto"/>
        <w:left w:val="none" w:sz="0" w:space="0" w:color="auto"/>
        <w:bottom w:val="none" w:sz="0" w:space="0" w:color="auto"/>
        <w:right w:val="none" w:sz="0" w:space="0" w:color="auto"/>
      </w:divBdr>
      <w:divsChild>
        <w:div w:id="1530147303">
          <w:marLeft w:val="0"/>
          <w:marRight w:val="0"/>
          <w:marTop w:val="0"/>
          <w:marBottom w:val="0"/>
          <w:divBdr>
            <w:top w:val="none" w:sz="0" w:space="0" w:color="auto"/>
            <w:left w:val="none" w:sz="0" w:space="0" w:color="auto"/>
            <w:bottom w:val="none" w:sz="0" w:space="0" w:color="auto"/>
            <w:right w:val="none" w:sz="0" w:space="0" w:color="auto"/>
          </w:divBdr>
        </w:div>
      </w:divsChild>
    </w:div>
    <w:div w:id="2000382594">
      <w:marLeft w:val="0"/>
      <w:marRight w:val="0"/>
      <w:marTop w:val="0"/>
      <w:marBottom w:val="0"/>
      <w:divBdr>
        <w:top w:val="none" w:sz="0" w:space="0" w:color="auto"/>
        <w:left w:val="none" w:sz="0" w:space="0" w:color="auto"/>
        <w:bottom w:val="none" w:sz="0" w:space="0" w:color="auto"/>
        <w:right w:val="none" w:sz="0" w:space="0" w:color="auto"/>
      </w:divBdr>
      <w:divsChild>
        <w:div w:id="1824154961">
          <w:marLeft w:val="0"/>
          <w:marRight w:val="0"/>
          <w:marTop w:val="0"/>
          <w:marBottom w:val="0"/>
          <w:divBdr>
            <w:top w:val="none" w:sz="0" w:space="0" w:color="auto"/>
            <w:left w:val="none" w:sz="0" w:space="0" w:color="auto"/>
            <w:bottom w:val="none" w:sz="0" w:space="0" w:color="auto"/>
            <w:right w:val="none" w:sz="0" w:space="0" w:color="auto"/>
          </w:divBdr>
        </w:div>
      </w:divsChild>
    </w:div>
    <w:div w:id="2001887481">
      <w:marLeft w:val="0"/>
      <w:marRight w:val="0"/>
      <w:marTop w:val="200"/>
      <w:marBottom w:val="0"/>
      <w:divBdr>
        <w:top w:val="none" w:sz="0" w:space="0" w:color="auto"/>
        <w:left w:val="none" w:sz="0" w:space="0" w:color="auto"/>
        <w:bottom w:val="none" w:sz="0" w:space="0" w:color="auto"/>
        <w:right w:val="none" w:sz="0" w:space="0" w:color="auto"/>
      </w:divBdr>
    </w:div>
    <w:div w:id="2005164521">
      <w:marLeft w:val="0"/>
      <w:marRight w:val="0"/>
      <w:marTop w:val="0"/>
      <w:marBottom w:val="0"/>
      <w:divBdr>
        <w:top w:val="none" w:sz="0" w:space="0" w:color="auto"/>
        <w:left w:val="none" w:sz="0" w:space="0" w:color="auto"/>
        <w:bottom w:val="none" w:sz="0" w:space="0" w:color="auto"/>
        <w:right w:val="none" w:sz="0" w:space="0" w:color="auto"/>
      </w:divBdr>
    </w:div>
    <w:div w:id="2007635491">
      <w:marLeft w:val="0"/>
      <w:marRight w:val="0"/>
      <w:marTop w:val="0"/>
      <w:marBottom w:val="0"/>
      <w:divBdr>
        <w:top w:val="none" w:sz="0" w:space="0" w:color="auto"/>
        <w:left w:val="none" w:sz="0" w:space="0" w:color="auto"/>
        <w:bottom w:val="none" w:sz="0" w:space="0" w:color="auto"/>
        <w:right w:val="none" w:sz="0" w:space="0" w:color="auto"/>
      </w:divBdr>
    </w:div>
    <w:div w:id="2012029044">
      <w:marLeft w:val="0"/>
      <w:marRight w:val="0"/>
      <w:marTop w:val="0"/>
      <w:marBottom w:val="0"/>
      <w:divBdr>
        <w:top w:val="none" w:sz="0" w:space="0" w:color="auto"/>
        <w:left w:val="none" w:sz="0" w:space="0" w:color="auto"/>
        <w:bottom w:val="none" w:sz="0" w:space="0" w:color="auto"/>
        <w:right w:val="none" w:sz="0" w:space="0" w:color="auto"/>
      </w:divBdr>
    </w:div>
    <w:div w:id="2013297350">
      <w:marLeft w:val="0"/>
      <w:marRight w:val="0"/>
      <w:marTop w:val="0"/>
      <w:marBottom w:val="0"/>
      <w:divBdr>
        <w:top w:val="none" w:sz="0" w:space="0" w:color="auto"/>
        <w:left w:val="none" w:sz="0" w:space="0" w:color="auto"/>
        <w:bottom w:val="none" w:sz="0" w:space="0" w:color="auto"/>
        <w:right w:val="none" w:sz="0" w:space="0" w:color="auto"/>
      </w:divBdr>
    </w:div>
    <w:div w:id="2013559867">
      <w:marLeft w:val="0"/>
      <w:marRight w:val="0"/>
      <w:marTop w:val="0"/>
      <w:marBottom w:val="0"/>
      <w:divBdr>
        <w:top w:val="none" w:sz="0" w:space="0" w:color="auto"/>
        <w:left w:val="none" w:sz="0" w:space="0" w:color="auto"/>
        <w:bottom w:val="none" w:sz="0" w:space="0" w:color="auto"/>
        <w:right w:val="none" w:sz="0" w:space="0" w:color="auto"/>
      </w:divBdr>
      <w:divsChild>
        <w:div w:id="2038041967">
          <w:marLeft w:val="0"/>
          <w:marRight w:val="0"/>
          <w:marTop w:val="0"/>
          <w:marBottom w:val="0"/>
          <w:divBdr>
            <w:top w:val="none" w:sz="0" w:space="0" w:color="auto"/>
            <w:left w:val="none" w:sz="0" w:space="0" w:color="auto"/>
            <w:bottom w:val="none" w:sz="0" w:space="0" w:color="auto"/>
            <w:right w:val="none" w:sz="0" w:space="0" w:color="auto"/>
          </w:divBdr>
        </w:div>
      </w:divsChild>
    </w:div>
    <w:div w:id="2014723192">
      <w:marLeft w:val="0"/>
      <w:marRight w:val="0"/>
      <w:marTop w:val="0"/>
      <w:marBottom w:val="0"/>
      <w:divBdr>
        <w:top w:val="none" w:sz="0" w:space="0" w:color="auto"/>
        <w:left w:val="none" w:sz="0" w:space="0" w:color="auto"/>
        <w:bottom w:val="none" w:sz="0" w:space="0" w:color="auto"/>
        <w:right w:val="none" w:sz="0" w:space="0" w:color="auto"/>
      </w:divBdr>
      <w:divsChild>
        <w:div w:id="356272827">
          <w:marLeft w:val="0"/>
          <w:marRight w:val="0"/>
          <w:marTop w:val="0"/>
          <w:marBottom w:val="0"/>
          <w:divBdr>
            <w:top w:val="none" w:sz="0" w:space="0" w:color="auto"/>
            <w:left w:val="none" w:sz="0" w:space="0" w:color="auto"/>
            <w:bottom w:val="none" w:sz="0" w:space="0" w:color="auto"/>
            <w:right w:val="none" w:sz="0" w:space="0" w:color="auto"/>
          </w:divBdr>
        </w:div>
      </w:divsChild>
    </w:div>
    <w:div w:id="2015254667">
      <w:marLeft w:val="0"/>
      <w:marRight w:val="0"/>
      <w:marTop w:val="0"/>
      <w:marBottom w:val="160"/>
      <w:divBdr>
        <w:top w:val="none" w:sz="0" w:space="0" w:color="auto"/>
        <w:left w:val="none" w:sz="0" w:space="0" w:color="auto"/>
        <w:bottom w:val="none" w:sz="0" w:space="0" w:color="auto"/>
        <w:right w:val="none" w:sz="0" w:space="0" w:color="auto"/>
      </w:divBdr>
    </w:div>
    <w:div w:id="2015374634">
      <w:marLeft w:val="0"/>
      <w:marRight w:val="0"/>
      <w:marTop w:val="0"/>
      <w:marBottom w:val="0"/>
      <w:divBdr>
        <w:top w:val="none" w:sz="0" w:space="0" w:color="auto"/>
        <w:left w:val="none" w:sz="0" w:space="0" w:color="auto"/>
        <w:bottom w:val="none" w:sz="0" w:space="0" w:color="auto"/>
        <w:right w:val="none" w:sz="0" w:space="0" w:color="auto"/>
      </w:divBdr>
    </w:div>
    <w:div w:id="2020694435">
      <w:marLeft w:val="0"/>
      <w:marRight w:val="0"/>
      <w:marTop w:val="0"/>
      <w:marBottom w:val="0"/>
      <w:divBdr>
        <w:top w:val="none" w:sz="0" w:space="0" w:color="auto"/>
        <w:left w:val="none" w:sz="0" w:space="0" w:color="auto"/>
        <w:bottom w:val="none" w:sz="0" w:space="0" w:color="auto"/>
        <w:right w:val="none" w:sz="0" w:space="0" w:color="auto"/>
      </w:divBdr>
      <w:divsChild>
        <w:div w:id="1721903363">
          <w:marLeft w:val="0"/>
          <w:marRight w:val="0"/>
          <w:marTop w:val="0"/>
          <w:marBottom w:val="0"/>
          <w:divBdr>
            <w:top w:val="none" w:sz="0" w:space="0" w:color="auto"/>
            <w:left w:val="none" w:sz="0" w:space="0" w:color="auto"/>
            <w:bottom w:val="none" w:sz="0" w:space="0" w:color="auto"/>
            <w:right w:val="none" w:sz="0" w:space="0" w:color="auto"/>
          </w:divBdr>
        </w:div>
      </w:divsChild>
    </w:div>
    <w:div w:id="2021538953">
      <w:marLeft w:val="0"/>
      <w:marRight w:val="0"/>
      <w:marTop w:val="0"/>
      <w:marBottom w:val="0"/>
      <w:divBdr>
        <w:top w:val="none" w:sz="0" w:space="0" w:color="auto"/>
        <w:left w:val="none" w:sz="0" w:space="0" w:color="auto"/>
        <w:bottom w:val="none" w:sz="0" w:space="0" w:color="auto"/>
        <w:right w:val="none" w:sz="0" w:space="0" w:color="auto"/>
      </w:divBdr>
    </w:div>
    <w:div w:id="2023510249">
      <w:marLeft w:val="0"/>
      <w:marRight w:val="0"/>
      <w:marTop w:val="200"/>
      <w:marBottom w:val="0"/>
      <w:divBdr>
        <w:top w:val="none" w:sz="0" w:space="0" w:color="auto"/>
        <w:left w:val="none" w:sz="0" w:space="0" w:color="auto"/>
        <w:bottom w:val="none" w:sz="0" w:space="0" w:color="auto"/>
        <w:right w:val="none" w:sz="0" w:space="0" w:color="auto"/>
      </w:divBdr>
    </w:div>
    <w:div w:id="2023701152">
      <w:marLeft w:val="0"/>
      <w:marRight w:val="0"/>
      <w:marTop w:val="0"/>
      <w:marBottom w:val="0"/>
      <w:divBdr>
        <w:top w:val="none" w:sz="0" w:space="0" w:color="auto"/>
        <w:left w:val="none" w:sz="0" w:space="0" w:color="auto"/>
        <w:bottom w:val="none" w:sz="0" w:space="0" w:color="auto"/>
        <w:right w:val="none" w:sz="0" w:space="0" w:color="auto"/>
      </w:divBdr>
    </w:div>
    <w:div w:id="2023966532">
      <w:marLeft w:val="0"/>
      <w:marRight w:val="0"/>
      <w:marTop w:val="0"/>
      <w:marBottom w:val="160"/>
      <w:divBdr>
        <w:top w:val="none" w:sz="0" w:space="0" w:color="auto"/>
        <w:left w:val="none" w:sz="0" w:space="0" w:color="auto"/>
        <w:bottom w:val="none" w:sz="0" w:space="0" w:color="auto"/>
        <w:right w:val="none" w:sz="0" w:space="0" w:color="auto"/>
      </w:divBdr>
    </w:div>
    <w:div w:id="2024629941">
      <w:marLeft w:val="0"/>
      <w:marRight w:val="0"/>
      <w:marTop w:val="0"/>
      <w:marBottom w:val="0"/>
      <w:divBdr>
        <w:top w:val="none" w:sz="0" w:space="0" w:color="auto"/>
        <w:left w:val="none" w:sz="0" w:space="0" w:color="auto"/>
        <w:bottom w:val="none" w:sz="0" w:space="0" w:color="auto"/>
        <w:right w:val="none" w:sz="0" w:space="0" w:color="auto"/>
      </w:divBdr>
      <w:divsChild>
        <w:div w:id="216209406">
          <w:marLeft w:val="0"/>
          <w:marRight w:val="0"/>
          <w:marTop w:val="0"/>
          <w:marBottom w:val="0"/>
          <w:divBdr>
            <w:top w:val="none" w:sz="0" w:space="0" w:color="auto"/>
            <w:left w:val="none" w:sz="0" w:space="0" w:color="auto"/>
            <w:bottom w:val="none" w:sz="0" w:space="0" w:color="auto"/>
            <w:right w:val="none" w:sz="0" w:space="0" w:color="auto"/>
          </w:divBdr>
        </w:div>
      </w:divsChild>
    </w:div>
    <w:div w:id="2026053373">
      <w:marLeft w:val="0"/>
      <w:marRight w:val="0"/>
      <w:marTop w:val="0"/>
      <w:marBottom w:val="0"/>
      <w:divBdr>
        <w:top w:val="none" w:sz="0" w:space="0" w:color="auto"/>
        <w:left w:val="none" w:sz="0" w:space="0" w:color="auto"/>
        <w:bottom w:val="none" w:sz="0" w:space="0" w:color="auto"/>
        <w:right w:val="none" w:sz="0" w:space="0" w:color="auto"/>
      </w:divBdr>
      <w:divsChild>
        <w:div w:id="499393848">
          <w:marLeft w:val="0"/>
          <w:marRight w:val="0"/>
          <w:marTop w:val="0"/>
          <w:marBottom w:val="0"/>
          <w:divBdr>
            <w:top w:val="none" w:sz="0" w:space="0" w:color="auto"/>
            <w:left w:val="none" w:sz="0" w:space="0" w:color="auto"/>
            <w:bottom w:val="none" w:sz="0" w:space="0" w:color="auto"/>
            <w:right w:val="none" w:sz="0" w:space="0" w:color="auto"/>
          </w:divBdr>
        </w:div>
      </w:divsChild>
    </w:div>
    <w:div w:id="2026205353">
      <w:marLeft w:val="0"/>
      <w:marRight w:val="0"/>
      <w:marTop w:val="0"/>
      <w:marBottom w:val="0"/>
      <w:divBdr>
        <w:top w:val="none" w:sz="0" w:space="0" w:color="auto"/>
        <w:left w:val="none" w:sz="0" w:space="0" w:color="auto"/>
        <w:bottom w:val="none" w:sz="0" w:space="0" w:color="auto"/>
        <w:right w:val="none" w:sz="0" w:space="0" w:color="auto"/>
      </w:divBdr>
      <w:divsChild>
        <w:div w:id="398554410">
          <w:marLeft w:val="0"/>
          <w:marRight w:val="0"/>
          <w:marTop w:val="0"/>
          <w:marBottom w:val="0"/>
          <w:divBdr>
            <w:top w:val="none" w:sz="0" w:space="0" w:color="auto"/>
            <w:left w:val="none" w:sz="0" w:space="0" w:color="auto"/>
            <w:bottom w:val="none" w:sz="0" w:space="0" w:color="auto"/>
            <w:right w:val="none" w:sz="0" w:space="0" w:color="auto"/>
          </w:divBdr>
        </w:div>
      </w:divsChild>
    </w:div>
    <w:div w:id="2031250428">
      <w:marLeft w:val="0"/>
      <w:marRight w:val="0"/>
      <w:marTop w:val="200"/>
      <w:marBottom w:val="0"/>
      <w:divBdr>
        <w:top w:val="none" w:sz="0" w:space="0" w:color="auto"/>
        <w:left w:val="none" w:sz="0" w:space="0" w:color="auto"/>
        <w:bottom w:val="none" w:sz="0" w:space="0" w:color="auto"/>
        <w:right w:val="none" w:sz="0" w:space="0" w:color="auto"/>
      </w:divBdr>
    </w:div>
    <w:div w:id="2031444139">
      <w:marLeft w:val="0"/>
      <w:marRight w:val="0"/>
      <w:marTop w:val="0"/>
      <w:marBottom w:val="0"/>
      <w:divBdr>
        <w:top w:val="none" w:sz="0" w:space="0" w:color="auto"/>
        <w:left w:val="none" w:sz="0" w:space="0" w:color="auto"/>
        <w:bottom w:val="none" w:sz="0" w:space="0" w:color="auto"/>
        <w:right w:val="none" w:sz="0" w:space="0" w:color="auto"/>
      </w:divBdr>
      <w:divsChild>
        <w:div w:id="318077807">
          <w:marLeft w:val="0"/>
          <w:marRight w:val="0"/>
          <w:marTop w:val="0"/>
          <w:marBottom w:val="0"/>
          <w:divBdr>
            <w:top w:val="none" w:sz="0" w:space="0" w:color="auto"/>
            <w:left w:val="none" w:sz="0" w:space="0" w:color="auto"/>
            <w:bottom w:val="none" w:sz="0" w:space="0" w:color="auto"/>
            <w:right w:val="none" w:sz="0" w:space="0" w:color="auto"/>
          </w:divBdr>
        </w:div>
      </w:divsChild>
    </w:div>
    <w:div w:id="2031758243">
      <w:marLeft w:val="0"/>
      <w:marRight w:val="0"/>
      <w:marTop w:val="0"/>
      <w:marBottom w:val="0"/>
      <w:divBdr>
        <w:top w:val="none" w:sz="0" w:space="0" w:color="auto"/>
        <w:left w:val="none" w:sz="0" w:space="0" w:color="auto"/>
        <w:bottom w:val="none" w:sz="0" w:space="0" w:color="auto"/>
        <w:right w:val="none" w:sz="0" w:space="0" w:color="auto"/>
      </w:divBdr>
    </w:div>
    <w:div w:id="2033526769">
      <w:marLeft w:val="0"/>
      <w:marRight w:val="0"/>
      <w:marTop w:val="200"/>
      <w:marBottom w:val="0"/>
      <w:divBdr>
        <w:top w:val="none" w:sz="0" w:space="0" w:color="auto"/>
        <w:left w:val="none" w:sz="0" w:space="0" w:color="auto"/>
        <w:bottom w:val="none" w:sz="0" w:space="0" w:color="auto"/>
        <w:right w:val="none" w:sz="0" w:space="0" w:color="auto"/>
      </w:divBdr>
    </w:div>
    <w:div w:id="2035494241">
      <w:marLeft w:val="0"/>
      <w:marRight w:val="0"/>
      <w:marTop w:val="0"/>
      <w:marBottom w:val="100"/>
      <w:divBdr>
        <w:top w:val="none" w:sz="0" w:space="0" w:color="auto"/>
        <w:left w:val="none" w:sz="0" w:space="0" w:color="auto"/>
        <w:bottom w:val="none" w:sz="0" w:space="0" w:color="auto"/>
        <w:right w:val="none" w:sz="0" w:space="0" w:color="auto"/>
      </w:divBdr>
    </w:div>
    <w:div w:id="2041851729">
      <w:marLeft w:val="0"/>
      <w:marRight w:val="0"/>
      <w:marTop w:val="0"/>
      <w:marBottom w:val="200"/>
      <w:divBdr>
        <w:top w:val="none" w:sz="0" w:space="0" w:color="auto"/>
        <w:left w:val="none" w:sz="0" w:space="0" w:color="auto"/>
        <w:bottom w:val="none" w:sz="0" w:space="0" w:color="auto"/>
        <w:right w:val="none" w:sz="0" w:space="0" w:color="auto"/>
      </w:divBdr>
    </w:div>
    <w:div w:id="2043312645">
      <w:marLeft w:val="0"/>
      <w:marRight w:val="0"/>
      <w:marTop w:val="100"/>
      <w:marBottom w:val="0"/>
      <w:divBdr>
        <w:top w:val="none" w:sz="0" w:space="0" w:color="auto"/>
        <w:left w:val="none" w:sz="0" w:space="0" w:color="auto"/>
        <w:bottom w:val="none" w:sz="0" w:space="0" w:color="auto"/>
        <w:right w:val="none" w:sz="0" w:space="0" w:color="auto"/>
      </w:divBdr>
    </w:div>
    <w:div w:id="2045057369">
      <w:marLeft w:val="0"/>
      <w:marRight w:val="0"/>
      <w:marTop w:val="0"/>
      <w:marBottom w:val="0"/>
      <w:divBdr>
        <w:top w:val="none" w:sz="0" w:space="0" w:color="auto"/>
        <w:left w:val="none" w:sz="0" w:space="0" w:color="auto"/>
        <w:bottom w:val="none" w:sz="0" w:space="0" w:color="auto"/>
        <w:right w:val="none" w:sz="0" w:space="0" w:color="auto"/>
      </w:divBdr>
    </w:div>
    <w:div w:id="2045595354">
      <w:marLeft w:val="0"/>
      <w:marRight w:val="0"/>
      <w:marTop w:val="0"/>
      <w:marBottom w:val="0"/>
      <w:divBdr>
        <w:top w:val="none" w:sz="0" w:space="0" w:color="auto"/>
        <w:left w:val="none" w:sz="0" w:space="0" w:color="auto"/>
        <w:bottom w:val="none" w:sz="0" w:space="0" w:color="auto"/>
        <w:right w:val="none" w:sz="0" w:space="0" w:color="auto"/>
      </w:divBdr>
    </w:div>
    <w:div w:id="2046902480">
      <w:marLeft w:val="0"/>
      <w:marRight w:val="0"/>
      <w:marTop w:val="0"/>
      <w:marBottom w:val="0"/>
      <w:divBdr>
        <w:top w:val="none" w:sz="0" w:space="0" w:color="auto"/>
        <w:left w:val="none" w:sz="0" w:space="0" w:color="auto"/>
        <w:bottom w:val="none" w:sz="0" w:space="0" w:color="auto"/>
        <w:right w:val="none" w:sz="0" w:space="0" w:color="auto"/>
      </w:divBdr>
    </w:div>
    <w:div w:id="2048216111">
      <w:marLeft w:val="0"/>
      <w:marRight w:val="0"/>
      <w:marTop w:val="0"/>
      <w:marBottom w:val="0"/>
      <w:divBdr>
        <w:top w:val="none" w:sz="0" w:space="0" w:color="auto"/>
        <w:left w:val="none" w:sz="0" w:space="0" w:color="auto"/>
        <w:bottom w:val="none" w:sz="0" w:space="0" w:color="auto"/>
        <w:right w:val="none" w:sz="0" w:space="0" w:color="auto"/>
      </w:divBdr>
    </w:div>
    <w:div w:id="2051372189">
      <w:marLeft w:val="0"/>
      <w:marRight w:val="0"/>
      <w:marTop w:val="200"/>
      <w:marBottom w:val="0"/>
      <w:divBdr>
        <w:top w:val="none" w:sz="0" w:space="0" w:color="auto"/>
        <w:left w:val="none" w:sz="0" w:space="0" w:color="auto"/>
        <w:bottom w:val="none" w:sz="0" w:space="0" w:color="auto"/>
        <w:right w:val="none" w:sz="0" w:space="0" w:color="auto"/>
      </w:divBdr>
    </w:div>
    <w:div w:id="2052879985">
      <w:marLeft w:val="0"/>
      <w:marRight w:val="0"/>
      <w:marTop w:val="0"/>
      <w:marBottom w:val="0"/>
      <w:divBdr>
        <w:top w:val="none" w:sz="0" w:space="0" w:color="auto"/>
        <w:left w:val="none" w:sz="0" w:space="0" w:color="auto"/>
        <w:bottom w:val="none" w:sz="0" w:space="0" w:color="auto"/>
        <w:right w:val="none" w:sz="0" w:space="0" w:color="auto"/>
      </w:divBdr>
      <w:divsChild>
        <w:div w:id="1479302584">
          <w:marLeft w:val="0"/>
          <w:marRight w:val="0"/>
          <w:marTop w:val="0"/>
          <w:marBottom w:val="0"/>
          <w:divBdr>
            <w:top w:val="none" w:sz="0" w:space="0" w:color="auto"/>
            <w:left w:val="none" w:sz="0" w:space="0" w:color="auto"/>
            <w:bottom w:val="none" w:sz="0" w:space="0" w:color="auto"/>
            <w:right w:val="none" w:sz="0" w:space="0" w:color="auto"/>
          </w:divBdr>
        </w:div>
      </w:divsChild>
    </w:div>
    <w:div w:id="2053067478">
      <w:marLeft w:val="0"/>
      <w:marRight w:val="0"/>
      <w:marTop w:val="0"/>
      <w:marBottom w:val="0"/>
      <w:divBdr>
        <w:top w:val="none" w:sz="0" w:space="0" w:color="auto"/>
        <w:left w:val="none" w:sz="0" w:space="0" w:color="auto"/>
        <w:bottom w:val="none" w:sz="0" w:space="0" w:color="auto"/>
        <w:right w:val="none" w:sz="0" w:space="0" w:color="auto"/>
      </w:divBdr>
      <w:divsChild>
        <w:div w:id="1123811508">
          <w:marLeft w:val="0"/>
          <w:marRight w:val="0"/>
          <w:marTop w:val="0"/>
          <w:marBottom w:val="0"/>
          <w:divBdr>
            <w:top w:val="none" w:sz="0" w:space="0" w:color="auto"/>
            <w:left w:val="none" w:sz="0" w:space="0" w:color="auto"/>
            <w:bottom w:val="none" w:sz="0" w:space="0" w:color="auto"/>
            <w:right w:val="none" w:sz="0" w:space="0" w:color="auto"/>
          </w:divBdr>
        </w:div>
        <w:div w:id="2013143976">
          <w:marLeft w:val="0"/>
          <w:marRight w:val="0"/>
          <w:marTop w:val="0"/>
          <w:marBottom w:val="0"/>
          <w:divBdr>
            <w:top w:val="none" w:sz="0" w:space="0" w:color="auto"/>
            <w:left w:val="none" w:sz="0" w:space="0" w:color="auto"/>
            <w:bottom w:val="none" w:sz="0" w:space="0" w:color="auto"/>
            <w:right w:val="none" w:sz="0" w:space="0" w:color="auto"/>
          </w:divBdr>
        </w:div>
        <w:div w:id="1747454794">
          <w:marLeft w:val="0"/>
          <w:marRight w:val="0"/>
          <w:marTop w:val="0"/>
          <w:marBottom w:val="0"/>
          <w:divBdr>
            <w:top w:val="none" w:sz="0" w:space="0" w:color="auto"/>
            <w:left w:val="none" w:sz="0" w:space="0" w:color="auto"/>
            <w:bottom w:val="none" w:sz="0" w:space="0" w:color="auto"/>
            <w:right w:val="none" w:sz="0" w:space="0" w:color="auto"/>
          </w:divBdr>
        </w:div>
        <w:div w:id="243688888">
          <w:marLeft w:val="0"/>
          <w:marRight w:val="0"/>
          <w:marTop w:val="0"/>
          <w:marBottom w:val="0"/>
          <w:divBdr>
            <w:top w:val="none" w:sz="0" w:space="0" w:color="auto"/>
            <w:left w:val="none" w:sz="0" w:space="0" w:color="auto"/>
            <w:bottom w:val="none" w:sz="0" w:space="0" w:color="auto"/>
            <w:right w:val="none" w:sz="0" w:space="0" w:color="auto"/>
          </w:divBdr>
        </w:div>
      </w:divsChild>
    </w:div>
    <w:div w:id="2053992571">
      <w:marLeft w:val="0"/>
      <w:marRight w:val="0"/>
      <w:marTop w:val="200"/>
      <w:marBottom w:val="0"/>
      <w:divBdr>
        <w:top w:val="none" w:sz="0" w:space="0" w:color="auto"/>
        <w:left w:val="none" w:sz="0" w:space="0" w:color="auto"/>
        <w:bottom w:val="none" w:sz="0" w:space="0" w:color="auto"/>
        <w:right w:val="none" w:sz="0" w:space="0" w:color="auto"/>
      </w:divBdr>
    </w:div>
    <w:div w:id="2055615486">
      <w:marLeft w:val="0"/>
      <w:marRight w:val="0"/>
      <w:marTop w:val="200"/>
      <w:marBottom w:val="0"/>
      <w:divBdr>
        <w:top w:val="none" w:sz="0" w:space="0" w:color="auto"/>
        <w:left w:val="none" w:sz="0" w:space="0" w:color="auto"/>
        <w:bottom w:val="none" w:sz="0" w:space="0" w:color="auto"/>
        <w:right w:val="none" w:sz="0" w:space="0" w:color="auto"/>
      </w:divBdr>
    </w:div>
    <w:div w:id="2055887879">
      <w:marLeft w:val="0"/>
      <w:marRight w:val="0"/>
      <w:marTop w:val="200"/>
      <w:marBottom w:val="0"/>
      <w:divBdr>
        <w:top w:val="none" w:sz="0" w:space="0" w:color="auto"/>
        <w:left w:val="none" w:sz="0" w:space="0" w:color="auto"/>
        <w:bottom w:val="none" w:sz="0" w:space="0" w:color="auto"/>
        <w:right w:val="none" w:sz="0" w:space="0" w:color="auto"/>
      </w:divBdr>
    </w:div>
    <w:div w:id="2057199694">
      <w:marLeft w:val="0"/>
      <w:marRight w:val="0"/>
      <w:marTop w:val="200"/>
      <w:marBottom w:val="0"/>
      <w:divBdr>
        <w:top w:val="none" w:sz="0" w:space="0" w:color="auto"/>
        <w:left w:val="none" w:sz="0" w:space="0" w:color="auto"/>
        <w:bottom w:val="none" w:sz="0" w:space="0" w:color="auto"/>
        <w:right w:val="none" w:sz="0" w:space="0" w:color="auto"/>
      </w:divBdr>
    </w:div>
    <w:div w:id="2060469837">
      <w:marLeft w:val="0"/>
      <w:marRight w:val="0"/>
      <w:marTop w:val="200"/>
      <w:marBottom w:val="0"/>
      <w:divBdr>
        <w:top w:val="none" w:sz="0" w:space="0" w:color="auto"/>
        <w:left w:val="none" w:sz="0" w:space="0" w:color="auto"/>
        <w:bottom w:val="none" w:sz="0" w:space="0" w:color="auto"/>
        <w:right w:val="none" w:sz="0" w:space="0" w:color="auto"/>
      </w:divBdr>
    </w:div>
    <w:div w:id="2063482757">
      <w:marLeft w:val="0"/>
      <w:marRight w:val="0"/>
      <w:marTop w:val="0"/>
      <w:marBottom w:val="0"/>
      <w:divBdr>
        <w:top w:val="none" w:sz="0" w:space="0" w:color="auto"/>
        <w:left w:val="none" w:sz="0" w:space="0" w:color="auto"/>
        <w:bottom w:val="none" w:sz="0" w:space="0" w:color="auto"/>
        <w:right w:val="none" w:sz="0" w:space="0" w:color="auto"/>
      </w:divBdr>
    </w:div>
    <w:div w:id="2067803245">
      <w:marLeft w:val="0"/>
      <w:marRight w:val="0"/>
      <w:marTop w:val="0"/>
      <w:marBottom w:val="0"/>
      <w:divBdr>
        <w:top w:val="none" w:sz="0" w:space="0" w:color="auto"/>
        <w:left w:val="none" w:sz="0" w:space="0" w:color="auto"/>
        <w:bottom w:val="none" w:sz="0" w:space="0" w:color="auto"/>
        <w:right w:val="none" w:sz="0" w:space="0" w:color="auto"/>
      </w:divBdr>
    </w:div>
    <w:div w:id="2068914326">
      <w:marLeft w:val="0"/>
      <w:marRight w:val="0"/>
      <w:marTop w:val="0"/>
      <w:marBottom w:val="0"/>
      <w:divBdr>
        <w:top w:val="none" w:sz="0" w:space="0" w:color="auto"/>
        <w:left w:val="none" w:sz="0" w:space="0" w:color="auto"/>
        <w:bottom w:val="none" w:sz="0" w:space="0" w:color="auto"/>
        <w:right w:val="none" w:sz="0" w:space="0" w:color="auto"/>
      </w:divBdr>
    </w:div>
    <w:div w:id="2070880699">
      <w:marLeft w:val="0"/>
      <w:marRight w:val="0"/>
      <w:marTop w:val="0"/>
      <w:marBottom w:val="0"/>
      <w:divBdr>
        <w:top w:val="none" w:sz="0" w:space="0" w:color="auto"/>
        <w:left w:val="none" w:sz="0" w:space="0" w:color="auto"/>
        <w:bottom w:val="none" w:sz="0" w:space="0" w:color="auto"/>
        <w:right w:val="none" w:sz="0" w:space="0" w:color="auto"/>
      </w:divBdr>
    </w:div>
    <w:div w:id="2073651654">
      <w:marLeft w:val="0"/>
      <w:marRight w:val="0"/>
      <w:marTop w:val="200"/>
      <w:marBottom w:val="0"/>
      <w:divBdr>
        <w:top w:val="none" w:sz="0" w:space="0" w:color="auto"/>
        <w:left w:val="none" w:sz="0" w:space="0" w:color="auto"/>
        <w:bottom w:val="none" w:sz="0" w:space="0" w:color="auto"/>
        <w:right w:val="none" w:sz="0" w:space="0" w:color="auto"/>
      </w:divBdr>
    </w:div>
    <w:div w:id="2073846502">
      <w:marLeft w:val="0"/>
      <w:marRight w:val="0"/>
      <w:marTop w:val="100"/>
      <w:marBottom w:val="0"/>
      <w:divBdr>
        <w:top w:val="none" w:sz="0" w:space="0" w:color="auto"/>
        <w:left w:val="none" w:sz="0" w:space="0" w:color="auto"/>
        <w:bottom w:val="none" w:sz="0" w:space="0" w:color="auto"/>
        <w:right w:val="none" w:sz="0" w:space="0" w:color="auto"/>
      </w:divBdr>
      <w:divsChild>
        <w:div w:id="330446338">
          <w:marLeft w:val="0"/>
          <w:marRight w:val="0"/>
          <w:marTop w:val="0"/>
          <w:marBottom w:val="0"/>
          <w:divBdr>
            <w:top w:val="none" w:sz="0" w:space="0" w:color="auto"/>
            <w:left w:val="none" w:sz="0" w:space="0" w:color="auto"/>
            <w:bottom w:val="none" w:sz="0" w:space="0" w:color="auto"/>
            <w:right w:val="none" w:sz="0" w:space="0" w:color="auto"/>
          </w:divBdr>
        </w:div>
        <w:div w:id="322516475">
          <w:marLeft w:val="0"/>
          <w:marRight w:val="0"/>
          <w:marTop w:val="0"/>
          <w:marBottom w:val="0"/>
          <w:divBdr>
            <w:top w:val="none" w:sz="0" w:space="0" w:color="auto"/>
            <w:left w:val="none" w:sz="0" w:space="0" w:color="auto"/>
            <w:bottom w:val="none" w:sz="0" w:space="0" w:color="auto"/>
            <w:right w:val="none" w:sz="0" w:space="0" w:color="auto"/>
          </w:divBdr>
        </w:div>
        <w:div w:id="2038655021">
          <w:marLeft w:val="0"/>
          <w:marRight w:val="0"/>
          <w:marTop w:val="0"/>
          <w:marBottom w:val="0"/>
          <w:divBdr>
            <w:top w:val="none" w:sz="0" w:space="0" w:color="auto"/>
            <w:left w:val="none" w:sz="0" w:space="0" w:color="auto"/>
            <w:bottom w:val="none" w:sz="0" w:space="0" w:color="auto"/>
            <w:right w:val="none" w:sz="0" w:space="0" w:color="auto"/>
          </w:divBdr>
        </w:div>
      </w:divsChild>
    </w:div>
    <w:div w:id="2073887305">
      <w:marLeft w:val="0"/>
      <w:marRight w:val="0"/>
      <w:marTop w:val="200"/>
      <w:marBottom w:val="0"/>
      <w:divBdr>
        <w:top w:val="none" w:sz="0" w:space="0" w:color="auto"/>
        <w:left w:val="none" w:sz="0" w:space="0" w:color="auto"/>
        <w:bottom w:val="none" w:sz="0" w:space="0" w:color="auto"/>
        <w:right w:val="none" w:sz="0" w:space="0" w:color="auto"/>
      </w:divBdr>
    </w:div>
    <w:div w:id="2074617090">
      <w:marLeft w:val="0"/>
      <w:marRight w:val="0"/>
      <w:marTop w:val="0"/>
      <w:marBottom w:val="0"/>
      <w:divBdr>
        <w:top w:val="none" w:sz="0" w:space="0" w:color="auto"/>
        <w:left w:val="none" w:sz="0" w:space="0" w:color="auto"/>
        <w:bottom w:val="none" w:sz="0" w:space="0" w:color="auto"/>
        <w:right w:val="none" w:sz="0" w:space="0" w:color="auto"/>
      </w:divBdr>
      <w:divsChild>
        <w:div w:id="1103304866">
          <w:marLeft w:val="0"/>
          <w:marRight w:val="0"/>
          <w:marTop w:val="0"/>
          <w:marBottom w:val="0"/>
          <w:divBdr>
            <w:top w:val="none" w:sz="0" w:space="0" w:color="auto"/>
            <w:left w:val="none" w:sz="0" w:space="0" w:color="auto"/>
            <w:bottom w:val="none" w:sz="0" w:space="0" w:color="auto"/>
            <w:right w:val="none" w:sz="0" w:space="0" w:color="auto"/>
          </w:divBdr>
        </w:div>
      </w:divsChild>
    </w:div>
    <w:div w:id="2077893332">
      <w:marLeft w:val="0"/>
      <w:marRight w:val="0"/>
      <w:marTop w:val="0"/>
      <w:marBottom w:val="0"/>
      <w:divBdr>
        <w:top w:val="none" w:sz="0" w:space="0" w:color="auto"/>
        <w:left w:val="none" w:sz="0" w:space="0" w:color="auto"/>
        <w:bottom w:val="none" w:sz="0" w:space="0" w:color="auto"/>
        <w:right w:val="none" w:sz="0" w:space="0" w:color="auto"/>
      </w:divBdr>
      <w:divsChild>
        <w:div w:id="501165218">
          <w:marLeft w:val="0"/>
          <w:marRight w:val="0"/>
          <w:marTop w:val="0"/>
          <w:marBottom w:val="0"/>
          <w:divBdr>
            <w:top w:val="none" w:sz="0" w:space="0" w:color="auto"/>
            <w:left w:val="none" w:sz="0" w:space="0" w:color="auto"/>
            <w:bottom w:val="none" w:sz="0" w:space="0" w:color="auto"/>
            <w:right w:val="none" w:sz="0" w:space="0" w:color="auto"/>
          </w:divBdr>
        </w:div>
        <w:div w:id="1736973561">
          <w:marLeft w:val="0"/>
          <w:marRight w:val="0"/>
          <w:marTop w:val="0"/>
          <w:marBottom w:val="0"/>
          <w:divBdr>
            <w:top w:val="none" w:sz="0" w:space="0" w:color="auto"/>
            <w:left w:val="none" w:sz="0" w:space="0" w:color="auto"/>
            <w:bottom w:val="none" w:sz="0" w:space="0" w:color="auto"/>
            <w:right w:val="none" w:sz="0" w:space="0" w:color="auto"/>
          </w:divBdr>
        </w:div>
        <w:div w:id="2060279749">
          <w:marLeft w:val="0"/>
          <w:marRight w:val="0"/>
          <w:marTop w:val="0"/>
          <w:marBottom w:val="0"/>
          <w:divBdr>
            <w:top w:val="none" w:sz="0" w:space="0" w:color="auto"/>
            <w:left w:val="none" w:sz="0" w:space="0" w:color="auto"/>
            <w:bottom w:val="none" w:sz="0" w:space="0" w:color="auto"/>
            <w:right w:val="none" w:sz="0" w:space="0" w:color="auto"/>
          </w:divBdr>
        </w:div>
        <w:div w:id="1052458272">
          <w:marLeft w:val="0"/>
          <w:marRight w:val="0"/>
          <w:marTop w:val="0"/>
          <w:marBottom w:val="0"/>
          <w:divBdr>
            <w:top w:val="none" w:sz="0" w:space="0" w:color="auto"/>
            <w:left w:val="none" w:sz="0" w:space="0" w:color="auto"/>
            <w:bottom w:val="none" w:sz="0" w:space="0" w:color="auto"/>
            <w:right w:val="none" w:sz="0" w:space="0" w:color="auto"/>
          </w:divBdr>
        </w:div>
      </w:divsChild>
    </w:div>
    <w:div w:id="2082022046">
      <w:marLeft w:val="0"/>
      <w:marRight w:val="0"/>
      <w:marTop w:val="60"/>
      <w:marBottom w:val="0"/>
      <w:divBdr>
        <w:top w:val="none" w:sz="0" w:space="0" w:color="auto"/>
        <w:left w:val="none" w:sz="0" w:space="0" w:color="auto"/>
        <w:bottom w:val="none" w:sz="0" w:space="0" w:color="auto"/>
        <w:right w:val="none" w:sz="0" w:space="0" w:color="auto"/>
      </w:divBdr>
    </w:div>
    <w:div w:id="2088335642">
      <w:marLeft w:val="0"/>
      <w:marRight w:val="0"/>
      <w:marTop w:val="0"/>
      <w:marBottom w:val="0"/>
      <w:divBdr>
        <w:top w:val="none" w:sz="0" w:space="0" w:color="auto"/>
        <w:left w:val="none" w:sz="0" w:space="0" w:color="auto"/>
        <w:bottom w:val="none" w:sz="0" w:space="0" w:color="auto"/>
        <w:right w:val="none" w:sz="0" w:space="0" w:color="auto"/>
      </w:divBdr>
      <w:divsChild>
        <w:div w:id="1292205725">
          <w:marLeft w:val="0"/>
          <w:marRight w:val="0"/>
          <w:marTop w:val="0"/>
          <w:marBottom w:val="0"/>
          <w:divBdr>
            <w:top w:val="none" w:sz="0" w:space="0" w:color="auto"/>
            <w:left w:val="none" w:sz="0" w:space="0" w:color="auto"/>
            <w:bottom w:val="none" w:sz="0" w:space="0" w:color="auto"/>
            <w:right w:val="none" w:sz="0" w:space="0" w:color="auto"/>
          </w:divBdr>
        </w:div>
      </w:divsChild>
    </w:div>
    <w:div w:id="2088650273">
      <w:marLeft w:val="0"/>
      <w:marRight w:val="0"/>
      <w:marTop w:val="200"/>
      <w:marBottom w:val="0"/>
      <w:divBdr>
        <w:top w:val="none" w:sz="0" w:space="0" w:color="auto"/>
        <w:left w:val="none" w:sz="0" w:space="0" w:color="auto"/>
        <w:bottom w:val="none" w:sz="0" w:space="0" w:color="auto"/>
        <w:right w:val="none" w:sz="0" w:space="0" w:color="auto"/>
      </w:divBdr>
    </w:div>
    <w:div w:id="2089570433">
      <w:marLeft w:val="0"/>
      <w:marRight w:val="0"/>
      <w:marTop w:val="0"/>
      <w:marBottom w:val="0"/>
      <w:divBdr>
        <w:top w:val="none" w:sz="0" w:space="0" w:color="auto"/>
        <w:left w:val="none" w:sz="0" w:space="0" w:color="auto"/>
        <w:bottom w:val="none" w:sz="0" w:space="0" w:color="auto"/>
        <w:right w:val="none" w:sz="0" w:space="0" w:color="auto"/>
      </w:divBdr>
      <w:divsChild>
        <w:div w:id="1412239197">
          <w:marLeft w:val="0"/>
          <w:marRight w:val="0"/>
          <w:marTop w:val="0"/>
          <w:marBottom w:val="0"/>
          <w:divBdr>
            <w:top w:val="none" w:sz="0" w:space="0" w:color="auto"/>
            <w:left w:val="none" w:sz="0" w:space="0" w:color="auto"/>
            <w:bottom w:val="none" w:sz="0" w:space="0" w:color="auto"/>
            <w:right w:val="none" w:sz="0" w:space="0" w:color="auto"/>
          </w:divBdr>
        </w:div>
      </w:divsChild>
    </w:div>
    <w:div w:id="2089572315">
      <w:marLeft w:val="0"/>
      <w:marRight w:val="0"/>
      <w:marTop w:val="0"/>
      <w:marBottom w:val="0"/>
      <w:divBdr>
        <w:top w:val="none" w:sz="0" w:space="0" w:color="auto"/>
        <w:left w:val="none" w:sz="0" w:space="0" w:color="auto"/>
        <w:bottom w:val="none" w:sz="0" w:space="0" w:color="auto"/>
        <w:right w:val="none" w:sz="0" w:space="0" w:color="auto"/>
      </w:divBdr>
      <w:divsChild>
        <w:div w:id="914556998">
          <w:marLeft w:val="0"/>
          <w:marRight w:val="0"/>
          <w:marTop w:val="0"/>
          <w:marBottom w:val="0"/>
          <w:divBdr>
            <w:top w:val="none" w:sz="0" w:space="0" w:color="auto"/>
            <w:left w:val="none" w:sz="0" w:space="0" w:color="auto"/>
            <w:bottom w:val="none" w:sz="0" w:space="0" w:color="auto"/>
            <w:right w:val="none" w:sz="0" w:space="0" w:color="auto"/>
          </w:divBdr>
        </w:div>
        <w:div w:id="1661424329">
          <w:marLeft w:val="0"/>
          <w:marRight w:val="0"/>
          <w:marTop w:val="0"/>
          <w:marBottom w:val="0"/>
          <w:divBdr>
            <w:top w:val="none" w:sz="0" w:space="0" w:color="auto"/>
            <w:left w:val="none" w:sz="0" w:space="0" w:color="auto"/>
            <w:bottom w:val="none" w:sz="0" w:space="0" w:color="auto"/>
            <w:right w:val="none" w:sz="0" w:space="0" w:color="auto"/>
          </w:divBdr>
        </w:div>
        <w:div w:id="322120876">
          <w:marLeft w:val="0"/>
          <w:marRight w:val="0"/>
          <w:marTop w:val="0"/>
          <w:marBottom w:val="0"/>
          <w:divBdr>
            <w:top w:val="none" w:sz="0" w:space="0" w:color="auto"/>
            <w:left w:val="none" w:sz="0" w:space="0" w:color="auto"/>
            <w:bottom w:val="none" w:sz="0" w:space="0" w:color="auto"/>
            <w:right w:val="none" w:sz="0" w:space="0" w:color="auto"/>
          </w:divBdr>
        </w:div>
        <w:div w:id="1204903876">
          <w:marLeft w:val="0"/>
          <w:marRight w:val="0"/>
          <w:marTop w:val="0"/>
          <w:marBottom w:val="0"/>
          <w:divBdr>
            <w:top w:val="none" w:sz="0" w:space="0" w:color="auto"/>
            <w:left w:val="none" w:sz="0" w:space="0" w:color="auto"/>
            <w:bottom w:val="none" w:sz="0" w:space="0" w:color="auto"/>
            <w:right w:val="none" w:sz="0" w:space="0" w:color="auto"/>
          </w:divBdr>
        </w:div>
      </w:divsChild>
    </w:div>
    <w:div w:id="2091154019">
      <w:marLeft w:val="0"/>
      <w:marRight w:val="0"/>
      <w:marTop w:val="0"/>
      <w:marBottom w:val="0"/>
      <w:divBdr>
        <w:top w:val="none" w:sz="0" w:space="0" w:color="auto"/>
        <w:left w:val="none" w:sz="0" w:space="0" w:color="auto"/>
        <w:bottom w:val="none" w:sz="0" w:space="0" w:color="auto"/>
        <w:right w:val="none" w:sz="0" w:space="0" w:color="auto"/>
      </w:divBdr>
    </w:div>
    <w:div w:id="2091154492">
      <w:marLeft w:val="0"/>
      <w:marRight w:val="0"/>
      <w:marTop w:val="0"/>
      <w:marBottom w:val="0"/>
      <w:divBdr>
        <w:top w:val="none" w:sz="0" w:space="0" w:color="auto"/>
        <w:left w:val="none" w:sz="0" w:space="0" w:color="auto"/>
        <w:bottom w:val="none" w:sz="0" w:space="0" w:color="auto"/>
        <w:right w:val="none" w:sz="0" w:space="0" w:color="auto"/>
      </w:divBdr>
      <w:divsChild>
        <w:div w:id="161050101">
          <w:marLeft w:val="0"/>
          <w:marRight w:val="0"/>
          <w:marTop w:val="0"/>
          <w:marBottom w:val="0"/>
          <w:divBdr>
            <w:top w:val="none" w:sz="0" w:space="0" w:color="auto"/>
            <w:left w:val="none" w:sz="0" w:space="0" w:color="auto"/>
            <w:bottom w:val="none" w:sz="0" w:space="0" w:color="auto"/>
            <w:right w:val="none" w:sz="0" w:space="0" w:color="auto"/>
          </w:divBdr>
        </w:div>
      </w:divsChild>
    </w:div>
    <w:div w:id="2095666534">
      <w:marLeft w:val="0"/>
      <w:marRight w:val="0"/>
      <w:marTop w:val="0"/>
      <w:marBottom w:val="0"/>
      <w:divBdr>
        <w:top w:val="none" w:sz="0" w:space="0" w:color="auto"/>
        <w:left w:val="none" w:sz="0" w:space="0" w:color="auto"/>
        <w:bottom w:val="none" w:sz="0" w:space="0" w:color="auto"/>
        <w:right w:val="none" w:sz="0" w:space="0" w:color="auto"/>
      </w:divBdr>
      <w:divsChild>
        <w:div w:id="563612753">
          <w:marLeft w:val="0"/>
          <w:marRight w:val="0"/>
          <w:marTop w:val="0"/>
          <w:marBottom w:val="0"/>
          <w:divBdr>
            <w:top w:val="none" w:sz="0" w:space="0" w:color="auto"/>
            <w:left w:val="none" w:sz="0" w:space="0" w:color="auto"/>
            <w:bottom w:val="none" w:sz="0" w:space="0" w:color="auto"/>
            <w:right w:val="none" w:sz="0" w:space="0" w:color="auto"/>
          </w:divBdr>
        </w:div>
      </w:divsChild>
    </w:div>
    <w:div w:id="2102216997">
      <w:marLeft w:val="0"/>
      <w:marRight w:val="0"/>
      <w:marTop w:val="0"/>
      <w:marBottom w:val="0"/>
      <w:divBdr>
        <w:top w:val="none" w:sz="0" w:space="0" w:color="auto"/>
        <w:left w:val="none" w:sz="0" w:space="0" w:color="auto"/>
        <w:bottom w:val="none" w:sz="0" w:space="0" w:color="auto"/>
        <w:right w:val="none" w:sz="0" w:space="0" w:color="auto"/>
      </w:divBdr>
    </w:div>
    <w:div w:id="2104059504">
      <w:marLeft w:val="0"/>
      <w:marRight w:val="0"/>
      <w:marTop w:val="0"/>
      <w:marBottom w:val="240"/>
      <w:divBdr>
        <w:top w:val="none" w:sz="0" w:space="0" w:color="auto"/>
        <w:left w:val="none" w:sz="0" w:space="0" w:color="auto"/>
        <w:bottom w:val="none" w:sz="0" w:space="0" w:color="auto"/>
        <w:right w:val="none" w:sz="0" w:space="0" w:color="auto"/>
      </w:divBdr>
    </w:div>
    <w:div w:id="2104910131">
      <w:marLeft w:val="0"/>
      <w:marRight w:val="0"/>
      <w:marTop w:val="0"/>
      <w:marBottom w:val="0"/>
      <w:divBdr>
        <w:top w:val="none" w:sz="0" w:space="0" w:color="auto"/>
        <w:left w:val="none" w:sz="0" w:space="0" w:color="auto"/>
        <w:bottom w:val="none" w:sz="0" w:space="0" w:color="auto"/>
        <w:right w:val="none" w:sz="0" w:space="0" w:color="auto"/>
      </w:divBdr>
    </w:div>
    <w:div w:id="2107000442">
      <w:marLeft w:val="0"/>
      <w:marRight w:val="0"/>
      <w:marTop w:val="0"/>
      <w:marBottom w:val="0"/>
      <w:divBdr>
        <w:top w:val="none" w:sz="0" w:space="0" w:color="auto"/>
        <w:left w:val="none" w:sz="0" w:space="0" w:color="auto"/>
        <w:bottom w:val="none" w:sz="0" w:space="0" w:color="auto"/>
        <w:right w:val="none" w:sz="0" w:space="0" w:color="auto"/>
      </w:divBdr>
    </w:div>
    <w:div w:id="2107187477">
      <w:marLeft w:val="0"/>
      <w:marRight w:val="0"/>
      <w:marTop w:val="60"/>
      <w:marBottom w:val="0"/>
      <w:divBdr>
        <w:top w:val="none" w:sz="0" w:space="0" w:color="auto"/>
        <w:left w:val="none" w:sz="0" w:space="0" w:color="auto"/>
        <w:bottom w:val="none" w:sz="0" w:space="0" w:color="auto"/>
        <w:right w:val="none" w:sz="0" w:space="0" w:color="auto"/>
      </w:divBdr>
    </w:div>
    <w:div w:id="2107844436">
      <w:marLeft w:val="0"/>
      <w:marRight w:val="0"/>
      <w:marTop w:val="200"/>
      <w:marBottom w:val="0"/>
      <w:divBdr>
        <w:top w:val="none" w:sz="0" w:space="0" w:color="auto"/>
        <w:left w:val="none" w:sz="0" w:space="0" w:color="auto"/>
        <w:bottom w:val="none" w:sz="0" w:space="0" w:color="auto"/>
        <w:right w:val="none" w:sz="0" w:space="0" w:color="auto"/>
      </w:divBdr>
    </w:div>
    <w:div w:id="2107916076">
      <w:marLeft w:val="0"/>
      <w:marRight w:val="0"/>
      <w:marTop w:val="100"/>
      <w:marBottom w:val="0"/>
      <w:divBdr>
        <w:top w:val="none" w:sz="0" w:space="0" w:color="auto"/>
        <w:left w:val="none" w:sz="0" w:space="0" w:color="auto"/>
        <w:bottom w:val="none" w:sz="0" w:space="0" w:color="auto"/>
        <w:right w:val="none" w:sz="0" w:space="0" w:color="auto"/>
      </w:divBdr>
    </w:div>
    <w:div w:id="2108573320">
      <w:marLeft w:val="0"/>
      <w:marRight w:val="0"/>
      <w:marTop w:val="0"/>
      <w:marBottom w:val="0"/>
      <w:divBdr>
        <w:top w:val="none" w:sz="0" w:space="0" w:color="auto"/>
        <w:left w:val="none" w:sz="0" w:space="0" w:color="auto"/>
        <w:bottom w:val="none" w:sz="0" w:space="0" w:color="auto"/>
        <w:right w:val="none" w:sz="0" w:space="0" w:color="auto"/>
      </w:divBdr>
      <w:divsChild>
        <w:div w:id="2105606982">
          <w:marLeft w:val="0"/>
          <w:marRight w:val="0"/>
          <w:marTop w:val="0"/>
          <w:marBottom w:val="0"/>
          <w:divBdr>
            <w:top w:val="none" w:sz="0" w:space="0" w:color="auto"/>
            <w:left w:val="none" w:sz="0" w:space="0" w:color="auto"/>
            <w:bottom w:val="none" w:sz="0" w:space="0" w:color="auto"/>
            <w:right w:val="none" w:sz="0" w:space="0" w:color="auto"/>
          </w:divBdr>
        </w:div>
        <w:div w:id="377704315">
          <w:marLeft w:val="0"/>
          <w:marRight w:val="0"/>
          <w:marTop w:val="0"/>
          <w:marBottom w:val="0"/>
          <w:divBdr>
            <w:top w:val="none" w:sz="0" w:space="0" w:color="auto"/>
            <w:left w:val="none" w:sz="0" w:space="0" w:color="auto"/>
            <w:bottom w:val="none" w:sz="0" w:space="0" w:color="auto"/>
            <w:right w:val="none" w:sz="0" w:space="0" w:color="auto"/>
          </w:divBdr>
        </w:div>
        <w:div w:id="1171675627">
          <w:marLeft w:val="0"/>
          <w:marRight w:val="0"/>
          <w:marTop w:val="0"/>
          <w:marBottom w:val="0"/>
          <w:divBdr>
            <w:top w:val="none" w:sz="0" w:space="0" w:color="auto"/>
            <w:left w:val="none" w:sz="0" w:space="0" w:color="auto"/>
            <w:bottom w:val="none" w:sz="0" w:space="0" w:color="auto"/>
            <w:right w:val="none" w:sz="0" w:space="0" w:color="auto"/>
          </w:divBdr>
        </w:div>
        <w:div w:id="760102539">
          <w:marLeft w:val="0"/>
          <w:marRight w:val="0"/>
          <w:marTop w:val="0"/>
          <w:marBottom w:val="0"/>
          <w:divBdr>
            <w:top w:val="none" w:sz="0" w:space="0" w:color="auto"/>
            <w:left w:val="none" w:sz="0" w:space="0" w:color="auto"/>
            <w:bottom w:val="none" w:sz="0" w:space="0" w:color="auto"/>
            <w:right w:val="none" w:sz="0" w:space="0" w:color="auto"/>
          </w:divBdr>
        </w:div>
      </w:divsChild>
    </w:div>
    <w:div w:id="2109622354">
      <w:marLeft w:val="0"/>
      <w:marRight w:val="0"/>
      <w:marTop w:val="0"/>
      <w:marBottom w:val="0"/>
      <w:divBdr>
        <w:top w:val="none" w:sz="0" w:space="0" w:color="auto"/>
        <w:left w:val="none" w:sz="0" w:space="0" w:color="auto"/>
        <w:bottom w:val="none" w:sz="0" w:space="0" w:color="auto"/>
        <w:right w:val="none" w:sz="0" w:space="0" w:color="auto"/>
      </w:divBdr>
    </w:div>
    <w:div w:id="2117216204">
      <w:marLeft w:val="0"/>
      <w:marRight w:val="0"/>
      <w:marTop w:val="0"/>
      <w:marBottom w:val="0"/>
      <w:divBdr>
        <w:top w:val="none" w:sz="0" w:space="0" w:color="auto"/>
        <w:left w:val="none" w:sz="0" w:space="0" w:color="auto"/>
        <w:bottom w:val="none" w:sz="0" w:space="0" w:color="auto"/>
        <w:right w:val="none" w:sz="0" w:space="0" w:color="auto"/>
      </w:divBdr>
      <w:divsChild>
        <w:div w:id="1114518204">
          <w:marLeft w:val="0"/>
          <w:marRight w:val="0"/>
          <w:marTop w:val="0"/>
          <w:marBottom w:val="0"/>
          <w:divBdr>
            <w:top w:val="none" w:sz="0" w:space="0" w:color="auto"/>
            <w:left w:val="none" w:sz="0" w:space="0" w:color="auto"/>
            <w:bottom w:val="none" w:sz="0" w:space="0" w:color="auto"/>
            <w:right w:val="none" w:sz="0" w:space="0" w:color="auto"/>
          </w:divBdr>
        </w:div>
      </w:divsChild>
    </w:div>
    <w:div w:id="2118332532">
      <w:marLeft w:val="0"/>
      <w:marRight w:val="0"/>
      <w:marTop w:val="0"/>
      <w:marBottom w:val="0"/>
      <w:divBdr>
        <w:top w:val="none" w:sz="0" w:space="0" w:color="auto"/>
        <w:left w:val="none" w:sz="0" w:space="0" w:color="auto"/>
        <w:bottom w:val="none" w:sz="0" w:space="0" w:color="auto"/>
        <w:right w:val="none" w:sz="0" w:space="0" w:color="auto"/>
      </w:divBdr>
    </w:div>
    <w:div w:id="2123919930">
      <w:marLeft w:val="0"/>
      <w:marRight w:val="0"/>
      <w:marTop w:val="0"/>
      <w:marBottom w:val="0"/>
      <w:divBdr>
        <w:top w:val="none" w:sz="0" w:space="0" w:color="auto"/>
        <w:left w:val="none" w:sz="0" w:space="0" w:color="auto"/>
        <w:bottom w:val="none" w:sz="0" w:space="0" w:color="auto"/>
        <w:right w:val="none" w:sz="0" w:space="0" w:color="auto"/>
      </w:divBdr>
    </w:div>
    <w:div w:id="2124684709">
      <w:marLeft w:val="0"/>
      <w:marRight w:val="0"/>
      <w:marTop w:val="200"/>
      <w:marBottom w:val="0"/>
      <w:divBdr>
        <w:top w:val="none" w:sz="0" w:space="0" w:color="auto"/>
        <w:left w:val="none" w:sz="0" w:space="0" w:color="auto"/>
        <w:bottom w:val="none" w:sz="0" w:space="0" w:color="auto"/>
        <w:right w:val="none" w:sz="0" w:space="0" w:color="auto"/>
      </w:divBdr>
    </w:div>
    <w:div w:id="2127851265">
      <w:marLeft w:val="0"/>
      <w:marRight w:val="0"/>
      <w:marTop w:val="0"/>
      <w:marBottom w:val="160"/>
      <w:divBdr>
        <w:top w:val="none" w:sz="0" w:space="0" w:color="auto"/>
        <w:left w:val="none" w:sz="0" w:space="0" w:color="auto"/>
        <w:bottom w:val="none" w:sz="0" w:space="0" w:color="auto"/>
        <w:right w:val="none" w:sz="0" w:space="0" w:color="auto"/>
      </w:divBdr>
    </w:div>
    <w:div w:id="2130125015">
      <w:marLeft w:val="0"/>
      <w:marRight w:val="0"/>
      <w:marTop w:val="200"/>
      <w:marBottom w:val="0"/>
      <w:divBdr>
        <w:top w:val="none" w:sz="0" w:space="0" w:color="auto"/>
        <w:left w:val="none" w:sz="0" w:space="0" w:color="auto"/>
        <w:bottom w:val="none" w:sz="0" w:space="0" w:color="auto"/>
        <w:right w:val="none" w:sz="0" w:space="0" w:color="auto"/>
      </w:divBdr>
    </w:div>
    <w:div w:id="2131781689">
      <w:marLeft w:val="0"/>
      <w:marRight w:val="0"/>
      <w:marTop w:val="0"/>
      <w:marBottom w:val="0"/>
      <w:divBdr>
        <w:top w:val="none" w:sz="0" w:space="0" w:color="auto"/>
        <w:left w:val="none" w:sz="0" w:space="0" w:color="auto"/>
        <w:bottom w:val="none" w:sz="0" w:space="0" w:color="auto"/>
        <w:right w:val="none" w:sz="0" w:space="0" w:color="auto"/>
      </w:divBdr>
    </w:div>
    <w:div w:id="2133160057">
      <w:marLeft w:val="0"/>
      <w:marRight w:val="0"/>
      <w:marTop w:val="0"/>
      <w:marBottom w:val="0"/>
      <w:divBdr>
        <w:top w:val="none" w:sz="0" w:space="0" w:color="auto"/>
        <w:left w:val="none" w:sz="0" w:space="0" w:color="auto"/>
        <w:bottom w:val="none" w:sz="0" w:space="0" w:color="auto"/>
        <w:right w:val="none" w:sz="0" w:space="0" w:color="auto"/>
      </w:divBdr>
      <w:divsChild>
        <w:div w:id="927153248">
          <w:marLeft w:val="0"/>
          <w:marRight w:val="0"/>
          <w:marTop w:val="0"/>
          <w:marBottom w:val="0"/>
          <w:divBdr>
            <w:top w:val="none" w:sz="0" w:space="0" w:color="auto"/>
            <w:left w:val="none" w:sz="0" w:space="0" w:color="auto"/>
            <w:bottom w:val="none" w:sz="0" w:space="0" w:color="auto"/>
            <w:right w:val="none" w:sz="0" w:space="0" w:color="auto"/>
          </w:divBdr>
        </w:div>
        <w:div w:id="1511094801">
          <w:marLeft w:val="0"/>
          <w:marRight w:val="0"/>
          <w:marTop w:val="0"/>
          <w:marBottom w:val="0"/>
          <w:divBdr>
            <w:top w:val="none" w:sz="0" w:space="0" w:color="auto"/>
            <w:left w:val="none" w:sz="0" w:space="0" w:color="auto"/>
            <w:bottom w:val="none" w:sz="0" w:space="0" w:color="auto"/>
            <w:right w:val="none" w:sz="0" w:space="0" w:color="auto"/>
          </w:divBdr>
        </w:div>
        <w:div w:id="496262333">
          <w:marLeft w:val="0"/>
          <w:marRight w:val="0"/>
          <w:marTop w:val="0"/>
          <w:marBottom w:val="0"/>
          <w:divBdr>
            <w:top w:val="none" w:sz="0" w:space="0" w:color="auto"/>
            <w:left w:val="none" w:sz="0" w:space="0" w:color="auto"/>
            <w:bottom w:val="none" w:sz="0" w:space="0" w:color="auto"/>
            <w:right w:val="none" w:sz="0" w:space="0" w:color="auto"/>
          </w:divBdr>
        </w:div>
        <w:div w:id="1752197084">
          <w:marLeft w:val="0"/>
          <w:marRight w:val="0"/>
          <w:marTop w:val="0"/>
          <w:marBottom w:val="0"/>
          <w:divBdr>
            <w:top w:val="none" w:sz="0" w:space="0" w:color="auto"/>
            <w:left w:val="none" w:sz="0" w:space="0" w:color="auto"/>
            <w:bottom w:val="none" w:sz="0" w:space="0" w:color="auto"/>
            <w:right w:val="none" w:sz="0" w:space="0" w:color="auto"/>
          </w:divBdr>
        </w:div>
      </w:divsChild>
    </w:div>
    <w:div w:id="2133206664">
      <w:marLeft w:val="0"/>
      <w:marRight w:val="0"/>
      <w:marTop w:val="0"/>
      <w:marBottom w:val="160"/>
      <w:divBdr>
        <w:top w:val="none" w:sz="0" w:space="0" w:color="auto"/>
        <w:left w:val="none" w:sz="0" w:space="0" w:color="auto"/>
        <w:bottom w:val="none" w:sz="0" w:space="0" w:color="auto"/>
        <w:right w:val="none" w:sz="0" w:space="0" w:color="auto"/>
      </w:divBdr>
    </w:div>
    <w:div w:id="2134205525">
      <w:marLeft w:val="0"/>
      <w:marRight w:val="0"/>
      <w:marTop w:val="80"/>
      <w:marBottom w:val="0"/>
      <w:divBdr>
        <w:top w:val="none" w:sz="0" w:space="0" w:color="auto"/>
        <w:left w:val="none" w:sz="0" w:space="0" w:color="auto"/>
        <w:bottom w:val="none" w:sz="0" w:space="0" w:color="auto"/>
        <w:right w:val="none" w:sz="0" w:space="0" w:color="auto"/>
      </w:divBdr>
    </w:div>
    <w:div w:id="2134402001">
      <w:marLeft w:val="0"/>
      <w:marRight w:val="0"/>
      <w:marTop w:val="100"/>
      <w:marBottom w:val="0"/>
      <w:divBdr>
        <w:top w:val="none" w:sz="0" w:space="0" w:color="auto"/>
        <w:left w:val="none" w:sz="0" w:space="0" w:color="auto"/>
        <w:bottom w:val="none" w:sz="0" w:space="0" w:color="auto"/>
        <w:right w:val="none" w:sz="0" w:space="0" w:color="auto"/>
      </w:divBdr>
    </w:div>
    <w:div w:id="2135706740">
      <w:marLeft w:val="0"/>
      <w:marRight w:val="0"/>
      <w:marTop w:val="0"/>
      <w:marBottom w:val="0"/>
      <w:divBdr>
        <w:top w:val="none" w:sz="0" w:space="0" w:color="auto"/>
        <w:left w:val="none" w:sz="0" w:space="0" w:color="auto"/>
        <w:bottom w:val="none" w:sz="0" w:space="0" w:color="auto"/>
        <w:right w:val="none" w:sz="0" w:space="0" w:color="auto"/>
      </w:divBdr>
    </w:div>
    <w:div w:id="2136480904">
      <w:marLeft w:val="0"/>
      <w:marRight w:val="0"/>
      <w:marTop w:val="0"/>
      <w:marBottom w:val="0"/>
      <w:divBdr>
        <w:top w:val="none" w:sz="0" w:space="0" w:color="auto"/>
        <w:left w:val="none" w:sz="0" w:space="0" w:color="auto"/>
        <w:bottom w:val="none" w:sz="0" w:space="0" w:color="auto"/>
        <w:right w:val="none" w:sz="0" w:space="0" w:color="auto"/>
      </w:divBdr>
    </w:div>
    <w:div w:id="2142797565">
      <w:marLeft w:val="0"/>
      <w:marRight w:val="0"/>
      <w:marTop w:val="0"/>
      <w:marBottom w:val="0"/>
      <w:divBdr>
        <w:top w:val="none" w:sz="0" w:space="0" w:color="auto"/>
        <w:left w:val="none" w:sz="0" w:space="0" w:color="auto"/>
        <w:bottom w:val="none" w:sz="0" w:space="0" w:color="auto"/>
        <w:right w:val="none" w:sz="0" w:space="0" w:color="auto"/>
      </w:divBdr>
    </w:div>
    <w:div w:id="2142914311">
      <w:marLeft w:val="0"/>
      <w:marRight w:val="0"/>
      <w:marTop w:val="0"/>
      <w:marBottom w:val="0"/>
      <w:divBdr>
        <w:top w:val="none" w:sz="0" w:space="0" w:color="auto"/>
        <w:left w:val="none" w:sz="0" w:space="0" w:color="auto"/>
        <w:bottom w:val="none" w:sz="0" w:space="0" w:color="auto"/>
        <w:right w:val="none" w:sz="0" w:space="0" w:color="auto"/>
      </w:divBdr>
    </w:div>
    <w:div w:id="2146240680">
      <w:marLeft w:val="0"/>
      <w:marRight w:val="0"/>
      <w:marTop w:val="0"/>
      <w:marBottom w:val="0"/>
      <w:divBdr>
        <w:top w:val="none" w:sz="0" w:space="0" w:color="auto"/>
        <w:left w:val="none" w:sz="0" w:space="0" w:color="auto"/>
        <w:bottom w:val="none" w:sz="0" w:space="0" w:color="auto"/>
        <w:right w:val="none" w:sz="0" w:space="0" w:color="auto"/>
      </w:divBdr>
      <w:divsChild>
        <w:div w:id="11818170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0000884614/000119312521172483/d186296dex41.htm" TargetMode="External"/><Relationship Id="rId117" Type="http://schemas.openxmlformats.org/officeDocument/2006/relationships/theme" Target="theme/theme1.xml"/><Relationship Id="rId21" Type="http://schemas.openxmlformats.org/officeDocument/2006/relationships/hyperlink" Target="https://www.sec.gov/Archives/edgar/data/0000884614/000119312521155082/d95230dex41.htm" TargetMode="External"/><Relationship Id="rId42" Type="http://schemas.openxmlformats.org/officeDocument/2006/relationships/hyperlink" Target="http://www.sec.gov/Archives/edgar/data/884614/000088461417000023/ugicorpq363017ex101.htm" TargetMode="External"/><Relationship Id="rId47" Type="http://schemas.openxmlformats.org/officeDocument/2006/relationships/hyperlink" Target="http://www.sec.gov/Archives/edgar/data/884614/000088461419000016/ugicorpex107.htm" TargetMode="External"/><Relationship Id="rId63" Type="http://schemas.openxmlformats.org/officeDocument/2006/relationships/hyperlink" Target="https://www.sec.gov/Archives/edgar/data/932628/000093262819000006/ex101apuq112312018.htm" TargetMode="External"/><Relationship Id="rId68" Type="http://schemas.openxmlformats.org/officeDocument/2006/relationships/hyperlink" Target="https://www.sec.gov/Archives/edgar/data/884614/000088461420000052/ugiex1028cic-beardform.htm" TargetMode="External"/><Relationship Id="rId84" Type="http://schemas.openxmlformats.org/officeDocument/2006/relationships/hyperlink" Target="https://www.sec.gov/Archives/edgar/data/884614/000119312521311261/d251656dex101.htm" TargetMode="External"/><Relationship Id="rId89" Type="http://schemas.openxmlformats.org/officeDocument/2006/relationships/hyperlink" Target="https://www.sec.gov/Archives/edgar/data/884614/000088461420000052/ugiex10xxamendmenttoga.htm" TargetMode="External"/><Relationship Id="rId112" Type="http://schemas.openxmlformats.org/officeDocument/2006/relationships/hyperlink" Target="a2021ugicorp10kex23.htm" TargetMode="External"/><Relationship Id="rId16" Type="http://schemas.openxmlformats.org/officeDocument/2006/relationships/hyperlink" Target="http://www.sec.gov/Archives/edgar/data/932628/000119312516804811/d262286dex41.htm" TargetMode="External"/><Relationship Id="rId107" Type="http://schemas.openxmlformats.org/officeDocument/2006/relationships/hyperlink" Target="ex1031ndazagorski.htm" TargetMode="External"/><Relationship Id="rId11" Type="http://schemas.openxmlformats.org/officeDocument/2006/relationships/hyperlink" Target="http://www.sec.gov/Archives/edgar/data/100548/000129993306006020/exhibit1.htm" TargetMode="External"/><Relationship Id="rId32" Type="http://schemas.openxmlformats.org/officeDocument/2006/relationships/hyperlink" Target="https://www.sec.gov/Archives/edgar/data/0000884614/000119312521172483/d186296dex41.htm" TargetMode="External"/><Relationship Id="rId37" Type="http://schemas.openxmlformats.org/officeDocument/2006/relationships/hyperlink" Target="exhibit422-descriptionofse.htm" TargetMode="External"/><Relationship Id="rId53" Type="http://schemas.openxmlformats.org/officeDocument/2006/relationships/hyperlink" Target="https://www.sec.gov/Archives/edgar/data/884614/000088461421000026/exhibit102-formof21uspeas.htm" TargetMode="External"/><Relationship Id="rId58" Type="http://schemas.openxmlformats.org/officeDocument/2006/relationships/hyperlink" Target="https://www.sec.gov/Archives/edgar/data/884614/000088461421000048/ex102formofugiperformanceu.htm" TargetMode="External"/><Relationship Id="rId74" Type="http://schemas.openxmlformats.org/officeDocument/2006/relationships/hyperlink" Target="http://www.sec.gov/Archives/edgar/data/932628/000093262815000023/apu201510kex1040.htm" TargetMode="External"/><Relationship Id="rId79" Type="http://schemas.openxmlformats.org/officeDocument/2006/relationships/hyperlink" Target="https://www.sec.gov/Archives/edgar/data/884614/000119312520281049/d83991dex101.htm" TargetMode="External"/><Relationship Id="rId102" Type="http://schemas.openxmlformats.org/officeDocument/2006/relationships/hyperlink" Target="a2021ugicorp10kex23.htm" TargetMode="External"/><Relationship Id="rId5" Type="http://schemas.openxmlformats.org/officeDocument/2006/relationships/image" Target="file:///E:\projects\LLMs\new_data_collection\data_new\htm\UGI%20CORP\ugi-20210930_g2.jpg" TargetMode="External"/><Relationship Id="rId90" Type="http://schemas.openxmlformats.org/officeDocument/2006/relationships/hyperlink" Target="https://www.sec.gov/Archives/edgar/data/884614/000088461420000052/ugiex1042gassupply.htm" TargetMode="External"/><Relationship Id="rId95" Type="http://schemas.openxmlformats.org/officeDocument/2006/relationships/hyperlink" Target="http://www.sec.gov/Archives/edgar/data/884614/000110465918063953/a18-36615_3ex4d2.htm" TargetMode="External"/><Relationship Id="rId22" Type="http://schemas.openxmlformats.org/officeDocument/2006/relationships/hyperlink" Target="https://www.sec.gov/Archives/edgar/data/0000884614/000119312521172483/d186296dex41.htm" TargetMode="External"/><Relationship Id="rId27" Type="http://schemas.openxmlformats.org/officeDocument/2006/relationships/hyperlink" Target="https://www.sec.gov/Archives/edgar/data/0000884614/000119312521172483/d186296dex41.htm" TargetMode="External"/><Relationship Id="rId43" Type="http://schemas.openxmlformats.org/officeDocument/2006/relationships/hyperlink" Target="https://www.sec.gov/Archives/edgar/data/932628/000093262817000016/ex101apuq363017.htm" TargetMode="External"/><Relationship Id="rId48" Type="http://schemas.openxmlformats.org/officeDocument/2006/relationships/hyperlink" Target="https://www.sec.gov/Archives/edgar/data/884614/000088461419000016/ugicorpex1010.htm" TargetMode="External"/><Relationship Id="rId64" Type="http://schemas.openxmlformats.org/officeDocument/2006/relationships/hyperlink" Target="https://www.sec.gov/Archives/edgar/data/884614/000088461421000048/ex104formofrpnda.htm" TargetMode="External"/><Relationship Id="rId69" Type="http://schemas.openxmlformats.org/officeDocument/2006/relationships/hyperlink" Target="ex1031ndazagorski.htm" TargetMode="External"/><Relationship Id="rId113" Type="http://schemas.openxmlformats.org/officeDocument/2006/relationships/hyperlink" Target="a2021ugicorp10kex311.htm" TargetMode="External"/><Relationship Id="rId80" Type="http://schemas.openxmlformats.org/officeDocument/2006/relationships/hyperlink" Target="https://www.sec.gov/Archives/edgar/data/884614/000119312521311261/d251656dex101.htm" TargetMode="External"/><Relationship Id="rId85" Type="http://schemas.openxmlformats.org/officeDocument/2006/relationships/hyperlink" Target="http://www.sec.gov/Archives/edgar/data/884614/000088461417000029/a2017ugicorp10kex1039.htm" TargetMode="External"/><Relationship Id="rId12" Type="http://schemas.openxmlformats.org/officeDocument/2006/relationships/hyperlink" Target="http://www.sec.gov/Archives/edgar/data/100548/000010054813000013/exhibit41.htm" TargetMode="External"/><Relationship Id="rId17" Type="http://schemas.openxmlformats.org/officeDocument/2006/relationships/hyperlink" Target="http://www.sec.gov/Archives/edgar/data/932628/000119312517040517/d315984dex41.htm" TargetMode="External"/><Relationship Id="rId33" Type="http://schemas.openxmlformats.org/officeDocument/2006/relationships/hyperlink" Target="https://www.sec.gov/Archives/edgar/data/0000884614/000119312521172483/d186296dex41.htm" TargetMode="External"/><Relationship Id="rId38" Type="http://schemas.openxmlformats.org/officeDocument/2006/relationships/hyperlink" Target="https://www.sec.gov/Archives/edgar/data/932628/000093262814000011/apuq23312014ex104.htm" TargetMode="External"/><Relationship Id="rId59" Type="http://schemas.openxmlformats.org/officeDocument/2006/relationships/hyperlink" Target="https://www.sec.gov/Archives/edgar/data/884614/000088461421000048/ex103formofugiannualrestri.htm" TargetMode="External"/><Relationship Id="rId103" Type="http://schemas.openxmlformats.org/officeDocument/2006/relationships/hyperlink" Target="a2021ugicorp10kex311.htm" TargetMode="External"/><Relationship Id="rId108" Type="http://schemas.openxmlformats.org/officeDocument/2006/relationships/hyperlink" Target="ex1032ciczagorski.htm" TargetMode="External"/><Relationship Id="rId54" Type="http://schemas.openxmlformats.org/officeDocument/2006/relationships/hyperlink" Target="https://www.sec.gov/Archives/edgar/data/884614/000088461421000026/exhibit103-formof21usreas.htm" TargetMode="External"/><Relationship Id="rId70" Type="http://schemas.openxmlformats.org/officeDocument/2006/relationships/hyperlink" Target="ex1032ciczagorski.htm" TargetMode="External"/><Relationship Id="rId75" Type="http://schemas.openxmlformats.org/officeDocument/2006/relationships/hyperlink" Target="http://www.sec.gov/Archives/edgar/data/932628/000095012311009247/c10783exv10w1.htm" TargetMode="External"/><Relationship Id="rId91" Type="http://schemas.openxmlformats.org/officeDocument/2006/relationships/hyperlink" Target="ex1047gassupplyanddelivery.htm" TargetMode="External"/><Relationship Id="rId96" Type="http://schemas.openxmlformats.org/officeDocument/2006/relationships/hyperlink" Target="http://www.sec.gov/Archives/edgar/data/884614/000119312519220456/d764256dex101.htm" TargetMode="External"/><Relationship Id="rId1" Type="http://schemas.openxmlformats.org/officeDocument/2006/relationships/styles" Target="styles.xml"/><Relationship Id="rId6" Type="http://schemas.openxmlformats.org/officeDocument/2006/relationships/hyperlink" Target="http://www.sec.gov/Archives/edgar/data/884614/000089322005001873/w11244exv3w1.txt" TargetMode="External"/><Relationship Id="rId23" Type="http://schemas.openxmlformats.org/officeDocument/2006/relationships/hyperlink" Target="https://www.sec.gov/Archives/edgar/data/0000884614/000119312521172483/d186296dex41.htm" TargetMode="External"/><Relationship Id="rId28" Type="http://schemas.openxmlformats.org/officeDocument/2006/relationships/hyperlink" Target="https://www.sec.gov/Archives/edgar/data/0000884614/000119312521172483/d186296dex41.htm" TargetMode="External"/><Relationship Id="rId49" Type="http://schemas.openxmlformats.org/officeDocument/2006/relationships/hyperlink" Target="https://www.sec.gov/Archives/edgar/data/0000884614/000119312521028892/d12597dex44.htm" TargetMode="External"/><Relationship Id="rId114" Type="http://schemas.openxmlformats.org/officeDocument/2006/relationships/hyperlink" Target="a2021ugicorp10kex312.htm" TargetMode="External"/><Relationship Id="rId10" Type="http://schemas.openxmlformats.org/officeDocument/2006/relationships/hyperlink" Target="https://www.sec.gov/Archives/edgar/data/0000884614/000119312521172483/d186296dex32.htm" TargetMode="External"/><Relationship Id="rId31" Type="http://schemas.openxmlformats.org/officeDocument/2006/relationships/hyperlink" Target="https://www.sec.gov/Archives/edgar/data/0000884614/000119312521172483/d186296dex41.htm" TargetMode="External"/><Relationship Id="rId44" Type="http://schemas.openxmlformats.org/officeDocument/2006/relationships/hyperlink" Target="http://www.sec.gov/Archives/edgar/data/884614/000088461416000067/a2016ugicorp10kex1030.htm" TargetMode="External"/><Relationship Id="rId52" Type="http://schemas.openxmlformats.org/officeDocument/2006/relationships/hyperlink" Target="https://www.sec.gov/Archives/edgar/data/884614/000088461421000026/exhibit101-formof21usoeas.htm" TargetMode="External"/><Relationship Id="rId60" Type="http://schemas.openxmlformats.org/officeDocument/2006/relationships/hyperlink" Target="http://www.sec.gov/Archives/edgar/data/884614/000088461412000005/ugicorpq36302012ex101.htm" TargetMode="External"/><Relationship Id="rId65" Type="http://schemas.openxmlformats.org/officeDocument/2006/relationships/hyperlink" Target="https://www.sec.gov/Archives/edgar/data/932628/000093262819000006/ex102apuq112312018.htm" TargetMode="External"/><Relationship Id="rId73" Type="http://schemas.openxmlformats.org/officeDocument/2006/relationships/hyperlink" Target="http://www.sec.gov/Archives/edgar/data/884614/000095012310107459/c06632exv10w37.htm" TargetMode="External"/><Relationship Id="rId78" Type="http://schemas.openxmlformats.org/officeDocument/2006/relationships/hyperlink" Target="http://www.sec.gov/Archives/edgar/data/884614/000088461419000042/exhibit101-2019rpa.htm" TargetMode="External"/><Relationship Id="rId81" Type="http://schemas.openxmlformats.org/officeDocument/2006/relationships/hyperlink" Target="https://www.sec.gov/Archives/edgar/data/884614/000119312521311261/d251656dex101.htm" TargetMode="External"/><Relationship Id="rId86" Type="http://schemas.openxmlformats.org/officeDocument/2006/relationships/hyperlink" Target="https://www.sec.gov/Archives/edgar/data/884614/000088461419000059/a2019ugicorp10kex1040.htm" TargetMode="External"/><Relationship Id="rId94" Type="http://schemas.openxmlformats.org/officeDocument/2006/relationships/hyperlink" Target="https://www.sec.gov/Archives/edgar/data/884614/000088461420000008/ugicorpq12020ex103.htm" TargetMode="External"/><Relationship Id="rId99" Type="http://schemas.openxmlformats.org/officeDocument/2006/relationships/hyperlink" Target="https://www.sec.gov/Archives/edgar/data/884614/000088461421000048/ex106conformedugi2021first.htm" TargetMode="External"/><Relationship Id="rId101" Type="http://schemas.openxmlformats.org/officeDocument/2006/relationships/hyperlink" Target="a2021ugicorp10kex21.htm" TargetMode="External"/><Relationship Id="rId4" Type="http://schemas.openxmlformats.org/officeDocument/2006/relationships/image" Target="file:///E:\projects\LLMs\new_data_collection\data_new\htm\UGI%20CORP\ugi-20210930_g1.jpg" TargetMode="External"/><Relationship Id="rId9" Type="http://schemas.openxmlformats.org/officeDocument/2006/relationships/hyperlink" Target="https://www.sec.gov/Archives/edgar/data/0000884614/000119312521172483/d186296dex31.htm" TargetMode="External"/><Relationship Id="rId13" Type="http://schemas.openxmlformats.org/officeDocument/2006/relationships/hyperlink" Target="http://www.sec.gov/Archives/edgar/data/100548/000129993316002367/exhibit1.htm" TargetMode="External"/><Relationship Id="rId18" Type="http://schemas.openxmlformats.org/officeDocument/2006/relationships/hyperlink" Target="http://www.sec.gov/Archives/edgar/data/884614/000110465918063953/a18-36615_3ex4d1.htm" TargetMode="External"/><Relationship Id="rId39" Type="http://schemas.openxmlformats.org/officeDocument/2006/relationships/hyperlink" Target="http://www.sec.gov/Archives/edgar/data/884614/000088461416000067/a2016ugicorp10kex1025.htm" TargetMode="External"/><Relationship Id="rId109" Type="http://schemas.openxmlformats.org/officeDocument/2006/relationships/hyperlink" Target="ex1047gassupplyanddelivery.htm" TargetMode="External"/><Relationship Id="rId34" Type="http://schemas.openxmlformats.org/officeDocument/2006/relationships/hyperlink" Target="https://www.sec.gov/Archives/edgar/data/0000884614/000119312521172483/d186296dex41.htm" TargetMode="External"/><Relationship Id="rId50" Type="http://schemas.openxmlformats.org/officeDocument/2006/relationships/hyperlink" Target="https://www.sec.gov/Archives/edgar/data/0000884614/000119312521028892/d12597dex44.htm" TargetMode="External"/><Relationship Id="rId55" Type="http://schemas.openxmlformats.org/officeDocument/2006/relationships/hyperlink" Target="https://www.sec.gov/Archives/edgar/data/884614/000088461421000026/exhibit104-nonxemployeedir.htm" TargetMode="External"/><Relationship Id="rId76" Type="http://schemas.openxmlformats.org/officeDocument/2006/relationships/hyperlink" Target="http://www.sec.gov/Archives/edgar/data/884614/000088461417000029/a2017ugicorp10kex1038.htm" TargetMode="External"/><Relationship Id="rId97" Type="http://schemas.openxmlformats.org/officeDocument/2006/relationships/hyperlink" Target="https://www.sec.gov/Archives/edgar/data/884614/000088461420000015/ex101ugiescreditagree.htm" TargetMode="External"/><Relationship Id="rId104" Type="http://schemas.openxmlformats.org/officeDocument/2006/relationships/hyperlink" Target="a2021ugicorp10kex312.htm" TargetMode="External"/><Relationship Id="rId7" Type="http://schemas.openxmlformats.org/officeDocument/2006/relationships/hyperlink" Target="http://www.sec.gov/Archives/edgar/data/884614/000129993314001194/exhibit1.htm" TargetMode="External"/><Relationship Id="rId71" Type="http://schemas.openxmlformats.org/officeDocument/2006/relationships/hyperlink" Target="ex1032ciczagorski.htm" TargetMode="External"/><Relationship Id="rId92" Type="http://schemas.openxmlformats.org/officeDocument/2006/relationships/hyperlink" Target="https://www.sec.gov/Archives/edgar/data/100548/000119312519188747/d736386dex101.htm" TargetMode="External"/><Relationship Id="rId2" Type="http://schemas.openxmlformats.org/officeDocument/2006/relationships/settings" Target="settings.xml"/><Relationship Id="rId29" Type="http://schemas.openxmlformats.org/officeDocument/2006/relationships/hyperlink" Target="https://www.sec.gov/Archives/edgar/data/0000884614/000119312521172483/d186296dex41.htm" TargetMode="External"/><Relationship Id="rId24" Type="http://schemas.openxmlformats.org/officeDocument/2006/relationships/hyperlink" Target="https://www.sec.gov/Archives/edgar/data/0000884614/000119312521172483/d186296dex41.htm" TargetMode="External"/><Relationship Id="rId40" Type="http://schemas.openxmlformats.org/officeDocument/2006/relationships/hyperlink" Target="http://www.sec.gov/Archives/edgar/data/884614/000088461416000067/a2016ugicorp10kex1026.htm" TargetMode="External"/><Relationship Id="rId45" Type="http://schemas.openxmlformats.org/officeDocument/2006/relationships/hyperlink" Target="http://www.sec.gov/Archives/edgar/data/884614/000088461419000016/ugicorpex106.htm" TargetMode="External"/><Relationship Id="rId66" Type="http://schemas.openxmlformats.org/officeDocument/2006/relationships/hyperlink" Target="https://www.sec.gov/Archives/edgar/data/884614/000088461421000048/ex105formofrpchangeincontr.htm" TargetMode="External"/><Relationship Id="rId87" Type="http://schemas.openxmlformats.org/officeDocument/2006/relationships/hyperlink" Target="https://www.sec.gov/Archives/edgar/data/884614/000088461419000059/a2019ugicorp10kex1041.htm" TargetMode="External"/><Relationship Id="rId110" Type="http://schemas.openxmlformats.org/officeDocument/2006/relationships/hyperlink" Target="a2021ugicorp10kex14.htm" TargetMode="External"/><Relationship Id="rId115" Type="http://schemas.openxmlformats.org/officeDocument/2006/relationships/hyperlink" Target="a2021ugicorp10kex32.htm" TargetMode="External"/><Relationship Id="rId61" Type="http://schemas.openxmlformats.org/officeDocument/2006/relationships/hyperlink" Target="https://www.sec.gov/Archives/edgar/data/884614/000088461420000008/ugicorpq12020ex101.htm" TargetMode="External"/><Relationship Id="rId82" Type="http://schemas.openxmlformats.org/officeDocument/2006/relationships/hyperlink" Target="https://www.sec.gov/Archives/edgar/data/884614/000119312521311261/d251656dex101.htm" TargetMode="External"/><Relationship Id="rId19" Type="http://schemas.openxmlformats.org/officeDocument/2006/relationships/hyperlink" Target="http://www.sec.gov/Archives/edgar/data/100548/000156459018031504/ugi-ex41_6.htm" TargetMode="External"/><Relationship Id="rId14" Type="http://schemas.openxmlformats.org/officeDocument/2006/relationships/hyperlink" Target="http://www.sec.gov/Archives/edgar/data/932628/000119312516633096/d340712dex41.htm" TargetMode="External"/><Relationship Id="rId30" Type="http://schemas.openxmlformats.org/officeDocument/2006/relationships/hyperlink" Target="https://www.sec.gov/Archives/edgar/data/0000884614/000119312521172483/d186296dex41.htm" TargetMode="External"/><Relationship Id="rId35" Type="http://schemas.openxmlformats.org/officeDocument/2006/relationships/hyperlink" Target="https://www.sec.gov/Archives/edgar/data/0000884614/000119312521172483/d186296dex45.htm" TargetMode="External"/><Relationship Id="rId56" Type="http://schemas.openxmlformats.org/officeDocument/2006/relationships/hyperlink" Target="https://www.sec.gov/Archives/edgar/data/884614/000088461421000026/exhibit105-nonxemployeedir.htm" TargetMode="External"/><Relationship Id="rId77" Type="http://schemas.openxmlformats.org/officeDocument/2006/relationships/hyperlink" Target="http://www.sec.gov/Archives/edgar/data/884614/000156459018026267/ugi-ex101_6.htm" TargetMode="External"/><Relationship Id="rId100" Type="http://schemas.openxmlformats.org/officeDocument/2006/relationships/hyperlink" Target="a2021ugicorp10kex14.htm" TargetMode="External"/><Relationship Id="rId105" Type="http://schemas.openxmlformats.org/officeDocument/2006/relationships/hyperlink" Target="a2021ugicorp10kex32.htm" TargetMode="External"/><Relationship Id="rId8" Type="http://schemas.openxmlformats.org/officeDocument/2006/relationships/hyperlink" Target="http://www.sec.gov/Archives/edgar/data/884614/000129993317000782/exhibit1.htm" TargetMode="External"/><Relationship Id="rId51" Type="http://schemas.openxmlformats.org/officeDocument/2006/relationships/hyperlink" Target="https://www.sec.gov/Archives/edgar/data/884614/000088461421000056/exhibit101-executivesevera.htm" TargetMode="External"/><Relationship Id="rId72" Type="http://schemas.openxmlformats.org/officeDocument/2006/relationships/hyperlink" Target="ex1032ciczagorski.htm" TargetMode="External"/><Relationship Id="rId93" Type="http://schemas.openxmlformats.org/officeDocument/2006/relationships/hyperlink" Target="http://www.sec.gov/Archives/edgar/data/932628/000129993317001267/exhibit1.htm" TargetMode="External"/><Relationship Id="rId98" Type="http://schemas.openxmlformats.org/officeDocument/2006/relationships/hyperlink" Target="https://www.sec.gov/Archives/edgar/data/0000884614/000119312521155082/d95230dex101.htm" TargetMode="External"/><Relationship Id="rId3" Type="http://schemas.openxmlformats.org/officeDocument/2006/relationships/webSettings" Target="webSettings.xml"/><Relationship Id="rId25" Type="http://schemas.openxmlformats.org/officeDocument/2006/relationships/hyperlink" Target="https://www.sec.gov/Archives/edgar/data/0000884614/000119312521172483/d186296dex41.htm" TargetMode="External"/><Relationship Id="rId46" Type="http://schemas.openxmlformats.org/officeDocument/2006/relationships/hyperlink" Target="http://www.sec.gov/Archives/edgar/data/884614/000088461417000029/a2017ugicorp10kex1026.htm" TargetMode="External"/><Relationship Id="rId67" Type="http://schemas.openxmlformats.org/officeDocument/2006/relationships/hyperlink" Target="https://www.sec.gov/Archives/edgar/data/884614/000088461420000052/ugiex1027snda-beardfor.htm" TargetMode="External"/><Relationship Id="rId116" Type="http://schemas.openxmlformats.org/officeDocument/2006/relationships/fontTable" Target="fontTable.xml"/><Relationship Id="rId20" Type="http://schemas.openxmlformats.org/officeDocument/2006/relationships/hyperlink" Target="https://www.sec.gov/Archives/edgar/data/884614/000088461420000018/ex41npa.htm" TargetMode="External"/><Relationship Id="rId41" Type="http://schemas.openxmlformats.org/officeDocument/2006/relationships/hyperlink" Target="http://www.sec.gov/Archives/edgar/data/884614/000088461417000023/ugicorpq363017ex106.htm" TargetMode="External"/><Relationship Id="rId62" Type="http://schemas.openxmlformats.org/officeDocument/2006/relationships/hyperlink" Target="http://www.sec.gov/Archives/edgar/data/884614/000088461418000028/ugicorpq36302018ex101.htm" TargetMode="External"/><Relationship Id="rId83" Type="http://schemas.openxmlformats.org/officeDocument/2006/relationships/hyperlink" Target="https://www.sec.gov/Archives/edgar/data/884614/000119312521311261/d251656dex101.htm" TargetMode="External"/><Relationship Id="rId88" Type="http://schemas.openxmlformats.org/officeDocument/2006/relationships/hyperlink" Target="http://www.sec.gov/Archives/edgar/data/100548/000010054816000045/ex10192016ugiutilities10-k.htm" TargetMode="External"/><Relationship Id="rId111" Type="http://schemas.openxmlformats.org/officeDocument/2006/relationships/hyperlink" Target="a2021ugicorp10kex21.htm" TargetMode="External"/><Relationship Id="rId15" Type="http://schemas.openxmlformats.org/officeDocument/2006/relationships/hyperlink" Target="http://www.sec.gov/Archives/edgar/data/932628/000119312516633096/d340712dex42.htm" TargetMode="External"/><Relationship Id="rId36" Type="http://schemas.openxmlformats.org/officeDocument/2006/relationships/hyperlink" Target="https://www.sec.gov/Archives/edgar/data/0000884614/000119312521172483/d186296dex46.htm" TargetMode="External"/><Relationship Id="rId57" Type="http://schemas.openxmlformats.org/officeDocument/2006/relationships/hyperlink" Target="https://www.sec.gov/Archives/edgar/data/884614/000088461421000048/ex101formofnqsoagmtforallu.htm" TargetMode="External"/><Relationship Id="rId106" Type="http://schemas.openxmlformats.org/officeDocument/2006/relationships/hyperlink" Target="exhibit422-descriptionofs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103855</Words>
  <Characters>591974</Characters>
  <Application>Microsoft Office Word</Application>
  <DocSecurity>0</DocSecurity>
  <Lines>4933</Lines>
  <Paragraphs>1388</Paragraphs>
  <ScaleCrop>false</ScaleCrop>
  <Company/>
  <LinksUpToDate>false</LinksUpToDate>
  <CharactersWithSpaces>694441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ugi-20210930</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