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44BCF">
      <w:pPr>
        <w:divId w:val="1140733606"/>
        <w:rPr>
          <w:rFonts w:eastAsia="Times New Roman"/>
          <w:vanish/>
        </w:rPr>
      </w:pPr>
      <w:r>
        <w:rPr>
          <w:rFonts w:eastAsia="Times New Roman"/>
          <w:vanish/>
        </w:rPr>
        <w:t>0000884614FALSE2022Q29/3000008846142021-10-012022-03-310000884614us-gaap:CommonStockMember2021-10-012022-03-310000884614us-gaap:CapitalUnitsMember2021-10-012022-03-3100008846142022-04-30xbrli:shares00008846142022-03-31iso4217:USD0000884614</w:t>
      </w:r>
      <w:r>
        <w:rPr>
          <w:rFonts w:eastAsia="Times New Roman"/>
          <w:vanish/>
        </w:rPr>
        <w:t>2021-09-3000008846142021-03-3100008846142022-01-012022-03-3100008846142021-01-012021-03-3100008846142020-10-012021-03-31iso4217:USDxbrli:shares00008846142020-09-300000884614us-gaap:PreferredStockMember2021-12-310000884614us-gaap:PreferredStockMember2020-12</w:t>
      </w:r>
      <w:r>
        <w:rPr>
          <w:rFonts w:eastAsia="Times New Roman"/>
          <w:vanish/>
        </w:rPr>
        <w:t>-310000884614us-gaap:PreferredStockMember2021-09-300000884614us-gaap:PreferredStockMember2020-09-300000884614us-gaap:PreferredStockMember2022-01-012022-03-310000884614us-gaap:PreferredStockMember2021-10-012022-03-310000884614us-gaap:PreferredStockMember202</w:t>
      </w:r>
      <w:r>
        <w:rPr>
          <w:rFonts w:eastAsia="Times New Roman"/>
          <w:vanish/>
        </w:rPr>
        <w:t>2-03-310000884614us-gaap:PreferredStockMember2021-03-310000884614us-gaap:CommonStockIncludingAdditionalPaidInCapitalMember2021-12-310000884614us-gaap:CommonStockIncludingAdditionalPaidInCapitalMember2020-12-310000884614us-gaap:CommonStockIncludingAdditiona</w:t>
      </w:r>
      <w:r>
        <w:rPr>
          <w:rFonts w:eastAsia="Times New Roman"/>
          <w:vanish/>
        </w:rPr>
        <w:t>lPaidInCapitalMember2021-09-300000884614us-gaap:CommonStockIncludingAdditionalPaidInCapitalMember2020-09-300000884614us-gaap:CommonStockIncludingAdditionalPaidInCapitalMember2022-01-012022-03-310000884614us-gaap:CommonStockIncludingAdditionalPaidInCapitalM</w:t>
      </w:r>
      <w:r>
        <w:rPr>
          <w:rFonts w:eastAsia="Times New Roman"/>
          <w:vanish/>
        </w:rPr>
        <w:t>ember2021-01-012021-03-310000884614us-gaap:CommonStockIncludingAdditionalPaidInCapitalMember2021-10-012022-03-310000884614us-gaap:CommonStockIncludingAdditionalPaidInCapitalMember2020-10-012021-03-310000884614us-gaap:CommonStockIncludingAdditionalPaidInCap</w:t>
      </w:r>
      <w:r>
        <w:rPr>
          <w:rFonts w:eastAsia="Times New Roman"/>
          <w:vanish/>
        </w:rPr>
        <w:t>italMember2022-03-310000884614us-gaap:CommonStockIncludingAdditionalPaidInCapitalMember2021-03-310000884614us-gaap:RetainedEarningsMember2021-12-310000884614us-gaap:RetainedEarningsMember2020-12-310000884614us-gaap:RetainedEarningsMember2021-09-30000088461</w:t>
      </w:r>
      <w:r>
        <w:rPr>
          <w:rFonts w:eastAsia="Times New Roman"/>
          <w:vanish/>
        </w:rPr>
        <w:t>4us-gaap:RetainedEarningsMember2020-09-300000884614us-gaap:RetainedEarningsMember2022-01-012022-03-310000884614us-gaap:RetainedEarningsMember2021-01-012021-03-310000884614us-gaap:RetainedEarningsMember2021-10-012022-03-310000884614us-gaap:RetainedEarningsM</w:t>
      </w:r>
      <w:r>
        <w:rPr>
          <w:rFonts w:eastAsia="Times New Roman"/>
          <w:vanish/>
        </w:rPr>
        <w:t>ember2020-10-012021-03-310000884614us-gaap:RetainedEarningsMember2022-03-310000884614us-gaap:RetainedEarningsMember2021-03-310000884614us-gaap:AociIncludingPortionAttributableToNoncontrollingInterestMember2021-12-310000884614us-gaap:AociIncludingPortionAtt</w:t>
      </w:r>
      <w:r>
        <w:rPr>
          <w:rFonts w:eastAsia="Times New Roman"/>
          <w:vanish/>
        </w:rPr>
        <w:t>ributableToNoncontrollingInterestMember2020-12-310000884614us-gaap:AociIncludingPortionAttributableToNoncontrollingInterestMember2021-09-300000884614us-gaap:AociIncludingPortionAttributableToNoncontrollingInterestMember2020-09-300000884614us-gaap:AociInclu</w:t>
      </w:r>
      <w:r>
        <w:rPr>
          <w:rFonts w:eastAsia="Times New Roman"/>
          <w:vanish/>
        </w:rPr>
        <w:t>dingPortionAttributableToNoncontrollingInterestMember2022-01-012022-03-310000884614us-gaap:AociIncludingPortionAttributableToNoncontrollingInterestMember2021-01-012021-03-310000884614us-gaap:AociIncludingPortionAttributableToNoncontrollingInterestMember202</w:t>
      </w:r>
      <w:r>
        <w:rPr>
          <w:rFonts w:eastAsia="Times New Roman"/>
          <w:vanish/>
        </w:rPr>
        <w:t>1-10-012022-03-310000884614us-gaap:AociIncludingPortionAttributableToNoncontrollingInterestMember2020-10-012021-03-310000884614us-gaap:AociIncludingPortionAttributableToNoncontrollingInterestMember2022-03-310000884614us-gaap:AociIncludingPortionAttributabl</w:t>
      </w:r>
      <w:r>
        <w:rPr>
          <w:rFonts w:eastAsia="Times New Roman"/>
          <w:vanish/>
        </w:rPr>
        <w:t>eToNoncontrollingInterestMember2021-03-310000884614us-gaap:TreasuryStockMember2021-12-310000884614us-gaap:TreasuryStockMember2020-12-310000884614us-gaap:TreasuryStockMember2021-09-300000884614us-gaap:TreasuryStockMember2020-09-300000884614us-gaap:TreasuryS</w:t>
      </w:r>
      <w:r>
        <w:rPr>
          <w:rFonts w:eastAsia="Times New Roman"/>
          <w:vanish/>
        </w:rPr>
        <w:t>tockMember2022-01-012022-03-310000884614us-gaap:TreasuryStockMember2021-01-012021-03-310000884614us-gaap:TreasuryStockMember2021-10-012022-03-310000884614us-gaap:TreasuryStockMember2020-10-012021-03-310000884614us-gaap:TreasuryStockMember2022-03-3100008846</w:t>
      </w:r>
      <w:r>
        <w:rPr>
          <w:rFonts w:eastAsia="Times New Roman"/>
          <w:vanish/>
        </w:rPr>
        <w:t>14us-gaap:TreasuryStockMember2021-03-310000884614us-gaap:ParentMember2022-03-310000884614us-gaap:ParentMember2021-03-310000884614us-gaap:NoncontrollingInterestMember2021-12-310000884614us-gaap:NoncontrollingInterestMember2020-12-310000884614us-gaap:Noncont</w:t>
      </w:r>
      <w:r>
        <w:rPr>
          <w:rFonts w:eastAsia="Times New Roman"/>
          <w:vanish/>
        </w:rPr>
        <w:t>rollingInterestMember2021-09-300000884614us-gaap:NoncontrollingInterestMember2020-09-300000884614us-gaap:NoncontrollingInterestMember2022-01-012022-03-310000884614us-gaap:NoncontrollingInterestMember2021-10-012022-03-310000884614us-gaap:NoncontrollingInter</w:t>
      </w:r>
      <w:r>
        <w:rPr>
          <w:rFonts w:eastAsia="Times New Roman"/>
          <w:vanish/>
        </w:rPr>
        <w:t>estMember2022-03-310000884614us-gaap:NoncontrollingInterestMember2021-03-310000884614ugi:MountaineerMember2021-09-012021-09-01ugi:customerugi:county0000884614us-gaap:EmployeeStockOptionMember2021-10-012022-03-310000884614us-gaap:EmployeeStockOptionMember20</w:t>
      </w:r>
      <w:r>
        <w:rPr>
          <w:rFonts w:eastAsia="Times New Roman"/>
          <w:vanish/>
        </w:rPr>
        <w:t>22-01-012022-03-310000884614us-gaap:EmployeeStockOptionMember2020-10-012021-03-310000884614us-gaap:EmployeeStockOptionMember2021-01-012021-03-310000884614ugi:ResidentialMember2022-01-012022-03-310000884614ugi:ResidentialMemberus-gaap:IntersegmentEliminatio</w:t>
      </w:r>
      <w:r>
        <w:rPr>
          <w:rFonts w:eastAsia="Times New Roman"/>
          <w:vanish/>
        </w:rPr>
        <w:t>nMember2022-01-012022-03-310000884614ugi:AmerigasPropaneMemberugi:ResidentialMemberus-gaap:OperatingSegmentsMember2022-01-012022-03-310000884614ugi:UGIInternationalLLCMemberugi:ResidentialMemberus-gaap:OperatingSegmentsMember2022-01-012022-03-310000884614u</w:t>
      </w:r>
      <w:r>
        <w:rPr>
          <w:rFonts w:eastAsia="Times New Roman"/>
          <w:vanish/>
        </w:rPr>
        <w:t>gi:ResidentialMemberus-gaap:OperatingSegmentsMemberugi:MidstreamAndMarketingMember2022-01-012022-03-310000884614ugi:UGIUtilitiesIncMemberugi:ResidentialMemberus-gaap:OperatingSegmentsMember2022-01-012022-03-310000884614ugi:ResidentialMemberus-gaap:Corporat</w:t>
      </w:r>
      <w:r>
        <w:rPr>
          <w:rFonts w:eastAsia="Times New Roman"/>
          <w:vanish/>
        </w:rPr>
        <w:t>eNonSegmentMember2022-01-012022-03-310000884614ugi:CommercialandIndustrialMember2022-01-012022-03-310000884614ugi:CommercialandIndustrialMemberus-gaap:IntersegmentEliminationMember2022-01-012022-03-310000884614ugi:AmerigasPropaneMemberugi:CommercialandIndu</w:t>
      </w:r>
      <w:r>
        <w:rPr>
          <w:rFonts w:eastAsia="Times New Roman"/>
          <w:vanish/>
        </w:rPr>
        <w:t>strialMemberus-gaap:OperatingSegmentsMember2022-01-012022-03-310000884614ugi:UGIInternationalLLCMemberugi:CommercialandIndustrialMemberus-gaap:OperatingSegmentsMember2022-01-012022-03-310000884614ugi:CommercialandIndustrialMemberus-gaap:OperatingSegmentsMe</w:t>
      </w:r>
      <w:r>
        <w:rPr>
          <w:rFonts w:eastAsia="Times New Roman"/>
          <w:vanish/>
        </w:rPr>
        <w:t>mberugi:MidstreamAndMarketingMember2022-01-012022-03-310000884614ugi:UGIUtilitiesIncMemberugi:CommercialandIndustrialMemberus-gaap:OperatingSegmentsMember2022-01-012022-03-310000884614ugi:CommercialandIndustrialMemberus-gaap:CorporateNonSegmentMember2022-0</w:t>
      </w:r>
      <w:r>
        <w:rPr>
          <w:rFonts w:eastAsia="Times New Roman"/>
          <w:vanish/>
        </w:rPr>
        <w:t>1-012022-03-310000884614ugi:LargeDeliveryServiceMember2022-01-012022-03-310000884614ugi:LargeDeliveryServiceMemberus-gaap:IntersegmentEliminationMember2022-01-012022-03-310000884614ugi:AmerigasPropaneMemberugi:LargeDeliveryServiceMemberus-gaap:OperatingSeg</w:t>
      </w:r>
      <w:r>
        <w:rPr>
          <w:rFonts w:eastAsia="Times New Roman"/>
          <w:vanish/>
        </w:rPr>
        <w:t>mentsMember2022-01-012022-03-310000884614ugi:UGIInternationalLLCMemberugi:LargeDeliveryServiceMemberus-gaap:OperatingSegmentsMember2022-01-012022-03-310000884614ugi:LargeDeliveryServiceMemberus-gaap:OperatingSegmentsMemberugi:MidstreamAndMarketingMember202</w:t>
      </w:r>
      <w:r>
        <w:rPr>
          <w:rFonts w:eastAsia="Times New Roman"/>
          <w:vanish/>
        </w:rPr>
        <w:t>2-01-012022-03-310000884614ugi:UGIUtilitiesIncMemberugi:LargeDeliveryServiceMemberus-gaap:OperatingSegmentsMember2022-01-012022-03-310000884614ugi:LargeDeliveryServiceMemberus-gaap:CorporateNonSegmentMember2022-01-012022-03-310000884614ugi:OffSystemSalesan</w:t>
      </w:r>
      <w:r>
        <w:rPr>
          <w:rFonts w:eastAsia="Times New Roman"/>
          <w:vanish/>
        </w:rPr>
        <w:t>dCapacityReleasesMember2022-01-012022-03-310000884614ugi:OffSystemSalesandCapacityReleasesMemberus-gaap:IntersegmentEliminationMember2022-01-012022-03-310000884614ugi:AmerigasPropaneMemberugi:OffSystemSalesandCapacityReleasesMemberus-gaap:OperatingSegments</w:t>
      </w:r>
      <w:r>
        <w:rPr>
          <w:rFonts w:eastAsia="Times New Roman"/>
          <w:vanish/>
        </w:rPr>
        <w:t>Member2022-01-012022-03-310000884614ugi:UGIInternationalLLCMemberugi:OffSystemSalesandCapacityReleasesMemberus-gaap:OperatingSegmentsMember2022-01-012022-03-310000884614ugi:OffSystemSalesandCapacityReleasesMemberus-gaap:OperatingSegmentsMemberugi:Midstream</w:t>
      </w:r>
      <w:r>
        <w:rPr>
          <w:rFonts w:eastAsia="Times New Roman"/>
          <w:vanish/>
        </w:rPr>
        <w:t>AndMarketingMember2022-01-012022-03-310000884614ugi:UGIUtilitiesIncMemberugi:OffSystemSalesandCapacityReleasesMemberus-gaap:OperatingSegmentsMember2022-01-012022-03-310000884614us-gaap:CorporateNonSegmentMemberugi:OffSystemSalesandCapacityReleasesMember202</w:t>
      </w:r>
      <w:r>
        <w:rPr>
          <w:rFonts w:eastAsia="Times New Roman"/>
          <w:vanish/>
        </w:rPr>
        <w:t>2-01-012022-03-310000884614ugi:UtilityOtherMember2022-01-012022-03-310000884614ugi:UtilityOtherMemberus-gaap:IntersegmentEliminationMember2022-01-012022-03-310000884614ugi:UtilityOtherMemberugi:AmerigasPropaneMemberus-gaap:OperatingSegmentsMember2022-01-01</w:t>
      </w:r>
      <w:r>
        <w:rPr>
          <w:rFonts w:eastAsia="Times New Roman"/>
          <w:vanish/>
        </w:rPr>
        <w:t>2022-03-310000884614ugi:UGIInternationalLLCMemberugi:UtilityOtherMemberus-gaap:OperatingSegmentsMember2022-01-012022-03-310000884614ugi:UtilityOtherMemberus-gaap:OperatingSegmentsMemberugi:MidstreamAndMarketingMember2022-01-012022-03-310000884614ugi:Utilit</w:t>
      </w:r>
      <w:r>
        <w:rPr>
          <w:rFonts w:eastAsia="Times New Roman"/>
          <w:vanish/>
        </w:rPr>
        <w:t>yOtherMemberugi:UGIUtilitiesIncMemberus-gaap:OperatingSegmentsMember2022-01-012022-03-310000884614ugi:UtilityOtherMemberus-gaap:CorporateNonSegmentMember2022-01-012022-03-310000884614ugi:UtilityMember2022-01-012022-03-310000884614us-gaap:IntersegmentElimin</w:t>
      </w:r>
      <w:r>
        <w:rPr>
          <w:rFonts w:eastAsia="Times New Roman"/>
          <w:vanish/>
        </w:rPr>
        <w:t>ationMemberugi:UtilityMember2022-01-012022-03-310000884614ugi:AmerigasPropaneMemberugi:UtilityMemberus-gaap:OperatingSegmentsMember2022-01-012022-03-310000884614ugi:UGIInternationalLLCMemberugi:UtilityMemberus-gaap:OperatingSegmentsMember2022-01-012022-03-</w:t>
      </w:r>
      <w:r>
        <w:rPr>
          <w:rFonts w:eastAsia="Times New Roman"/>
          <w:vanish/>
        </w:rPr>
        <w:t>310000884614ugi:UtilityMemberus-gaap:OperatingSegmentsMemberugi:MidstreamAndMarketingMember2022-01-012022-03-310000884614ugi:UGIUtilitiesIncMemberugi:UtilityMemberus-gaap:OperatingSegmentsMember2022-01-012022-03-310000884614us-gaap:CorporateNonSegmentMembe</w:t>
      </w:r>
      <w:r>
        <w:rPr>
          <w:rFonts w:eastAsia="Times New Roman"/>
          <w:vanish/>
        </w:rPr>
        <w:t>rugi:UtilityMember2022-01-012022-03-310000884614us-gaap:RetailMember2022-01-012022-03-310000884614us-gaap:RetailMemberus-gaap:IntersegmentEliminationMember2022-01-012022-03-310000884614us-gaap:RetailMemberugi:AmerigasPropaneMemberus-gaap:OperatingSegmentsM</w:t>
      </w:r>
      <w:r>
        <w:rPr>
          <w:rFonts w:eastAsia="Times New Roman"/>
          <w:vanish/>
        </w:rPr>
        <w:t>ember2022-01-012022-03-310000884614us-gaap:RetailMemberugi:UGIInternationalLLCMemberus-gaap:OperatingSegmentsMember2022-01-012022-03-310000884614us-gaap:RetailMemberus-gaap:OperatingSegmentsMemberugi:MidstreamAndMarketingMember2022-01-012022-03-31000088461</w:t>
      </w:r>
      <w:r>
        <w:rPr>
          <w:rFonts w:eastAsia="Times New Roman"/>
          <w:vanish/>
        </w:rPr>
        <w:t>4us-gaap:RetailMemberugi:UGIUtilitiesIncMemberus-gaap:OperatingSegmentsMember2022-01-012022-03-310000884614us-gaap:RetailMemberus-gaap:CorporateNonSegmentMember2022-01-012022-03-310000884614ugi:WholesaleMember2022-01-012022-03-310000884614us-gaap:Intersegm</w:t>
      </w:r>
      <w:r>
        <w:rPr>
          <w:rFonts w:eastAsia="Times New Roman"/>
          <w:vanish/>
        </w:rPr>
        <w:t>entEliminationMemberugi:WholesaleMember2022-01-012022-03-310000884614ugi:AmerigasPropaneMemberus-gaap:OperatingSegmentsMemberugi:WholesaleMember2022-01-012022-03-310000884614ugi:UGIInternationalLLCMemberus-gaap:OperatingSegmentsMemberugi:WholesaleMember202</w:t>
      </w:r>
      <w:r>
        <w:rPr>
          <w:rFonts w:eastAsia="Times New Roman"/>
          <w:vanish/>
        </w:rPr>
        <w:t>2-01-012022-03-310000884614us-gaap:OperatingSegmentsMemberugi:MidstreamAndMarketingMemberugi:WholesaleMember2022-01-012022-03-310000884614ugi:UGIUtilitiesIncMemberus-gaap:OperatingSegmentsMemberugi:WholesaleMember2022-01-012022-03-310000884614us-gaap:Corpo</w:t>
      </w:r>
      <w:r>
        <w:rPr>
          <w:rFonts w:eastAsia="Times New Roman"/>
          <w:vanish/>
        </w:rPr>
        <w:t>rateNonSegmentMemberugi:WholesaleMember2022-01-012022-03-310000884614ugi:EnergyMarketingMember2022-01-012022-03-310000884614ugi:EnergyMarketingMemberus-gaap:IntersegmentEliminationMember2022-01-012022-03-310000884614ugi:AmerigasPropaneMemberugi:EnergyMarke</w:t>
      </w:r>
      <w:r>
        <w:rPr>
          <w:rFonts w:eastAsia="Times New Roman"/>
          <w:vanish/>
        </w:rPr>
        <w:t>tingMemberus-gaap:OperatingSegmentsMember2022-01-012022-03-310000884614ugi:UGIInternationalLLCMemberugi:EnergyMarketingMemberus-gaap:OperatingSegmentsMember2022-01-012022-03-310000884614ugi:EnergyMarketingMemberus-gaap:OperatingSegmentsMemberugi:MidstreamA</w:t>
      </w:r>
      <w:r>
        <w:rPr>
          <w:rFonts w:eastAsia="Times New Roman"/>
          <w:vanish/>
        </w:rPr>
        <w:t>ndMarketingMember2022-01-012022-03-310000884614ugi:UGIUtilitiesIncMemberugi:EnergyMarketingMemberus-gaap:OperatingSegmentsMember2022-01-012022-03-310000884614ugi:EnergyMarketingMemberus-gaap:CorporateNonSegmentMember2022-01-012022-03-310000884614ugi:Pipeli</w:t>
      </w:r>
      <w:r>
        <w:rPr>
          <w:rFonts w:eastAsia="Times New Roman"/>
          <w:vanish/>
        </w:rPr>
        <w:t>neMember2022-01-012022-03-310000884614ugi:PipelineMemberus-gaap:IntersegmentEliminationMember2022-01-012022-03-310000884614ugi:AmerigasPropaneMemberugi:PipelineMemberus-gaap:OperatingSegmentsMember2022-01-012022-03-310000884614ugi:UGIInternationalLLCMember</w:t>
      </w:r>
      <w:r>
        <w:rPr>
          <w:rFonts w:eastAsia="Times New Roman"/>
          <w:vanish/>
        </w:rPr>
        <w:t>ugi:PipelineMemberus-gaap:OperatingSegmentsMember2022-01-012022-03-310000884614ugi:PipelineMemberus-gaap:OperatingSegmentsMemberugi:MidstreamAndMarketingMember2022-01-012022-03-310000884614ugi:UGIUtilitiesIncMemberugi:PipelineMemberus-gaap:OperatingSegment</w:t>
      </w:r>
      <w:r>
        <w:rPr>
          <w:rFonts w:eastAsia="Times New Roman"/>
          <w:vanish/>
        </w:rPr>
        <w:t>sMember2022-01-012022-03-310000884614ugi:PipelineMemberus-gaap:CorporateNonSegmentMember2022-01-012022-03-310000884614ugi:PeakingMember2022-01-012022-03-310000884614ugi:PeakingMemberus-gaap:IntersegmentEliminationMember2022-01-012022-03-310000884614ugi:Pea</w:t>
      </w:r>
      <w:r>
        <w:rPr>
          <w:rFonts w:eastAsia="Times New Roman"/>
          <w:vanish/>
        </w:rPr>
        <w:t>kingMemberugi:AmerigasPropaneMemberus-gaap:OperatingSegmentsMember2022-01-012022-03-310000884614ugi:PeakingMemberugi:UGIInternationalLLCMemberus-gaap:OperatingSegmentsMember2022-01-012022-03-310000884614ugi:PeakingMemberus-gaap:OperatingSegmentsMemberugi:M</w:t>
      </w:r>
      <w:r>
        <w:rPr>
          <w:rFonts w:eastAsia="Times New Roman"/>
          <w:vanish/>
        </w:rPr>
        <w:t>idstreamAndMarketingMember2022-01-012022-03-310000884614ugi:PeakingMemberugi:UGIUtilitiesIncMemberus-gaap:OperatingSegmentsMember2022-01-012022-03-310000884614ugi:PeakingMemberus-gaap:CorporateNonSegmentMember2022-01-012022-03-310000884614ugi:MidstreamOthe</w:t>
      </w:r>
      <w:r>
        <w:rPr>
          <w:rFonts w:eastAsia="Times New Roman"/>
          <w:vanish/>
        </w:rPr>
        <w:t>rMember2022-01-012022-03-310000884614us-gaap:IntersegmentEliminationMemberugi:MidstreamOtherMember2022-01-012022-03-310000884614ugi:AmerigasPropaneMemberus-gaap:OperatingSegmentsMemberugi:MidstreamOtherMember2022-01-012022-03-310000884614ugi:UGIInternation</w:t>
      </w:r>
      <w:r>
        <w:rPr>
          <w:rFonts w:eastAsia="Times New Roman"/>
          <w:vanish/>
        </w:rPr>
        <w:t>alLLCMemberus-gaap:OperatingSegmentsMemberugi:MidstreamOtherMember2022-01-012022-03-310000884614us-gaap:OperatingSegmentsMemberugi:MidstreamOtherMemberugi:MidstreamAndMarketingMember2022-01-012022-03-310000884614ugi:UGIUtilitiesIncMemberus-gaap:OperatingSe</w:t>
      </w:r>
      <w:r>
        <w:rPr>
          <w:rFonts w:eastAsia="Times New Roman"/>
          <w:vanish/>
        </w:rPr>
        <w:t>gmentsMemberugi:MidstreamOtherMember2022-01-012022-03-310000884614us-gaap:CorporateNonSegmentMemberugi:MidstreamOtherMember2022-01-012022-03-310000884614us-gaap:ElectricityGenerationMember2022-01-012022-03-310000884614us-gaap:IntersegmentEliminationMemberu</w:t>
      </w:r>
      <w:r>
        <w:rPr>
          <w:rFonts w:eastAsia="Times New Roman"/>
          <w:vanish/>
        </w:rPr>
        <w:t>s-gaap:ElectricityGenerationMember2022-01-012022-03-310000884614ugi:AmerigasPropaneMemberus-gaap:ElectricityGenerationMemberus-gaap:OperatingSegmentsMember2022-01-012022-03-310000884614ugi:UGIInternationalLLCMemberus-gaap:ElectricityGenerationMemberus-gaap</w:t>
      </w:r>
      <w:r>
        <w:rPr>
          <w:rFonts w:eastAsia="Times New Roman"/>
          <w:vanish/>
        </w:rPr>
        <w:t>:OperatingSegmentsMember2022-01-012022-03-310000884614us-gaap:ElectricityGenerationMemberus-gaap:OperatingSegmentsMemberugi:MidstreamAndMarketingMember2022-01-012022-03-310000884614ugi:UGIUtilitiesIncMemberus-gaap:ElectricityGenerationMemberus-gaap:Operati</w:t>
      </w:r>
      <w:r>
        <w:rPr>
          <w:rFonts w:eastAsia="Times New Roman"/>
          <w:vanish/>
        </w:rPr>
        <w:t>ngSegmentsMember2022-01-012022-03-310000884614us-gaap:CorporateNonSegmentMemberus-gaap:ElectricityGenerationMember2022-01-012022-03-310000884614ugi:NonutilityOtherMember2022-01-012022-03-310000884614us-gaap:IntersegmentEliminationMemberugi:NonutilityOtherM</w:t>
      </w:r>
      <w:r>
        <w:rPr>
          <w:rFonts w:eastAsia="Times New Roman"/>
          <w:vanish/>
        </w:rPr>
        <w:t>ember2022-01-012022-03-310000884614ugi:AmerigasPropaneMemberugi:NonutilityOtherMemberus-gaap:OperatingSegmentsMember2022-01-012022-03-310000884614ugi:UGIInternationalLLCMemberugi:NonutilityOtherMemberus-gaap:OperatingSegmentsMember2022-01-012022-03-3100008</w:t>
      </w:r>
      <w:r>
        <w:rPr>
          <w:rFonts w:eastAsia="Times New Roman"/>
          <w:vanish/>
        </w:rPr>
        <w:t>84614ugi:NonutilityOtherMemberus-gaap:OperatingSegmentsMemberugi:MidstreamAndMarketingMember2022-01-012022-03-310000884614ugi:UGIUtilitiesIncMemberugi:NonutilityOtherMemberus-gaap:OperatingSegmentsMember2022-01-012022-03-310000884614us-gaap:CorporateNonSeg</w:t>
      </w:r>
      <w:r>
        <w:rPr>
          <w:rFonts w:eastAsia="Times New Roman"/>
          <w:vanish/>
        </w:rPr>
        <w:t>mentMemberugi:NonutilityOtherMember2022-01-012022-03-310000884614ugi:NonutilityMember2022-01-012022-03-310000884614ugi:NonutilityMemberus-gaap:IntersegmentEliminationMember2022-01-012022-03-310000884614ugi:AmerigasPropaneMemberugi:NonutilityMemberus-gaap:O</w:t>
      </w:r>
      <w:r>
        <w:rPr>
          <w:rFonts w:eastAsia="Times New Roman"/>
          <w:vanish/>
        </w:rPr>
        <w:t>peratingSegmentsMember2022-01-012022-03-310000884614ugi:UGIInternationalLLCMemberugi:NonutilityMemberus-gaap:OperatingSegmentsMember2022-01-012022-03-310000884614ugi:NonutilityMemberus-gaap:OperatingSegmentsMemberugi:MidstreamAndMarketingMember2022-01-0120</w:t>
      </w:r>
      <w:r>
        <w:rPr>
          <w:rFonts w:eastAsia="Times New Roman"/>
          <w:vanish/>
        </w:rPr>
        <w:t>22-03-310000884614ugi:UGIUtilitiesIncMemberugi:NonutilityMemberus-gaap:OperatingSegmentsMember2022-01-012022-03-310000884614us-gaap:CorporateNonSegmentMemberugi:NonutilityMember2022-01-012022-03-310000884614us-gaap:IntersegmentEliminationMember2022-01-0120</w:t>
      </w:r>
      <w:r>
        <w:rPr>
          <w:rFonts w:eastAsia="Times New Roman"/>
          <w:vanish/>
        </w:rPr>
        <w:t>22-03-310000884614ugi:AmerigasPropaneMemberus-gaap:OperatingSegmentsMember2022-01-012022-03-310000884614ugi:UGIInternationalLLCMemberus-gaap:OperatingSegmentsMember2022-01-012022-03-310000884614us-gaap:OperatingSegmentsMemberugi:MidstreamAndMarketingMember</w:t>
      </w:r>
      <w:r>
        <w:rPr>
          <w:rFonts w:eastAsia="Times New Roman"/>
          <w:vanish/>
        </w:rPr>
        <w:t>2022-01-012022-03-310000884614ugi:UGIUtilitiesIncMemberus-gaap:OperatingSegmentsMember2022-01-012022-03-310000884614us-gaap:CorporateNonSegmentMember2022-01-012022-03-310000884614ugi:ResidentialMember2021-01-012021-03-310000884614ugi:ResidentialMemberus-ga</w:t>
      </w:r>
      <w:r>
        <w:rPr>
          <w:rFonts w:eastAsia="Times New Roman"/>
          <w:vanish/>
        </w:rPr>
        <w:t>ap:IntersegmentEliminationMember2021-01-012021-03-310000884614ugi:AmerigasPropaneMemberugi:ResidentialMemberus-gaap:OperatingSegmentsMember2021-01-012021-03-310000884614ugi:UGIInternationalLLCMemberugi:ResidentialMemberus-gaap:OperatingSegmentsMember2021-0</w:t>
      </w:r>
      <w:r>
        <w:rPr>
          <w:rFonts w:eastAsia="Times New Roman"/>
          <w:vanish/>
        </w:rPr>
        <w:t>1-012021-03-310000884614ugi:ResidentialMemberus-gaap:OperatingSegmentsMemberugi:MidstreamAndMarketingMember2021-01-012021-03-310000884614ugi:UGIUtilitiesIncMemberugi:ResidentialMemberus-gaap:OperatingSegmentsMember2021-01-012021-03-310000884614ugi:Resident</w:t>
      </w:r>
      <w:r>
        <w:rPr>
          <w:rFonts w:eastAsia="Times New Roman"/>
          <w:vanish/>
        </w:rPr>
        <w:t>ialMemberus-gaap:CorporateNonSegmentMember2021-01-012021-03-310000884614ugi:CommercialandIndustrialMember2021-01-012021-03-310000884614ugi:CommercialandIndustrialMemberus-gaap:IntersegmentEliminationMember2021-01-012021-03-310000884614ugi:AmerigasPropaneMe</w:t>
      </w:r>
      <w:r>
        <w:rPr>
          <w:rFonts w:eastAsia="Times New Roman"/>
          <w:vanish/>
        </w:rPr>
        <w:t>mberugi:CommercialandIndustrialMemberus-gaap:OperatingSegmentsMember2021-01-012021-03-310000884614ugi:UGIInternationalLLCMemberugi:CommercialandIndustrialMemberus-gaap:OperatingSegmentsMember2021-01-012021-03-310000884614ugi:CommercialandIndustrialMemberus</w:t>
      </w:r>
      <w:r>
        <w:rPr>
          <w:rFonts w:eastAsia="Times New Roman"/>
          <w:vanish/>
        </w:rPr>
        <w:t>-gaap:OperatingSegmentsMemberugi:MidstreamAndMarketingMember2021-01-012021-03-310000884614ugi:UGIUtilitiesIncMemberugi:CommercialandIndustrialMemberus-gaap:OperatingSegmentsMember2021-01-012021-03-310000884614ugi:CommercialandIndustrialMemberus-gaap:Corpor</w:t>
      </w:r>
      <w:r>
        <w:rPr>
          <w:rFonts w:eastAsia="Times New Roman"/>
          <w:vanish/>
        </w:rPr>
        <w:t>ateNonSegmentMember2021-01-012021-03-310000884614ugi:LargeDeliveryServiceMember2021-01-012021-03-310000884614ugi:LargeDeliveryServiceMemberus-gaap:IntersegmentEliminationMember2021-01-012021-03-310000884614ugi:AmerigasPropaneMemberugi:LargeDeliveryServiceM</w:t>
      </w:r>
      <w:r>
        <w:rPr>
          <w:rFonts w:eastAsia="Times New Roman"/>
          <w:vanish/>
        </w:rPr>
        <w:t>emberus-gaap:OperatingSegmentsMember2021-01-012021-03-310000884614ugi:UGIInternationalLLCMemberugi:LargeDeliveryServiceMemberus-gaap:OperatingSegmentsMember2021-01-012021-03-310000884614ugi:LargeDeliveryServiceMemberus-gaap:OperatingSegmentsMemberugi:Midst</w:t>
      </w:r>
      <w:r>
        <w:rPr>
          <w:rFonts w:eastAsia="Times New Roman"/>
          <w:vanish/>
        </w:rPr>
        <w:t>reamAndMarketingMember2021-01-012021-03-310000884614ugi:UGIUtilitiesIncMemberugi:LargeDeliveryServiceMemberus-gaap:OperatingSegmentsMember2021-01-012021-03-310000884614ugi:LargeDeliveryServiceMemberus-gaap:CorporateNonSegmentMember2021-01-012021-03-3100008</w:t>
      </w:r>
      <w:r>
        <w:rPr>
          <w:rFonts w:eastAsia="Times New Roman"/>
          <w:vanish/>
        </w:rPr>
        <w:t>84614ugi:OffSystemSalesandCapacityReleasesMember2021-01-012021-03-310000884614ugi:OffSystemSalesandCapacityReleasesMemberus-gaap:IntersegmentEliminationMember2021-01-012021-03-310000884614ugi:AmerigasPropaneMemberugi:OffSystemSalesandCapacityReleasesMember</w:t>
      </w:r>
      <w:r>
        <w:rPr>
          <w:rFonts w:eastAsia="Times New Roman"/>
          <w:vanish/>
        </w:rPr>
        <w:t>us-gaap:OperatingSegmentsMember2021-01-012021-03-310000884614ugi:UGIInternationalLLCMemberugi:OffSystemSalesandCapacityReleasesMemberus-gaap:OperatingSegmentsMember2021-01-012021-03-310000884614ugi:OffSystemSalesandCapacityReleasesMemberus-gaap:OperatingSe</w:t>
      </w:r>
      <w:r>
        <w:rPr>
          <w:rFonts w:eastAsia="Times New Roman"/>
          <w:vanish/>
        </w:rPr>
        <w:t>gmentsMemberugi:MidstreamAndMarketingMember2021-01-012021-03-310000884614ugi:UGIUtilitiesIncMemberugi:OffSystemSalesandCapacityReleasesMemberus-gaap:OperatingSegmentsMember2021-01-012021-03-310000884614us-gaap:CorporateNonSegmentMemberugi:OffSystemSalesand</w:t>
      </w:r>
      <w:r>
        <w:rPr>
          <w:rFonts w:eastAsia="Times New Roman"/>
          <w:vanish/>
        </w:rPr>
        <w:t>CapacityReleasesMember2021-01-012021-03-310000884614ugi:UtilityOtherMember2021-01-012021-03-310000884614ugi:UtilityOtherMemberus-gaap:IntersegmentEliminationMember2021-01-012021-03-310000884614ugi:UtilityOtherMemberugi:AmerigasPropaneMemberus-gaap:Operatin</w:t>
      </w:r>
      <w:r>
        <w:rPr>
          <w:rFonts w:eastAsia="Times New Roman"/>
          <w:vanish/>
        </w:rPr>
        <w:t>gSegmentsMember2021-01-012021-03-310000884614ugi:UGIInternationalLLCMemberugi:UtilityOtherMemberus-gaap:OperatingSegmentsMember2021-01-012021-03-310000884614ugi:UtilityOtherMemberus-gaap:OperatingSegmentsMemberugi:MidstreamAndMarketingMember2021-01-012021-</w:t>
      </w:r>
      <w:r>
        <w:rPr>
          <w:rFonts w:eastAsia="Times New Roman"/>
          <w:vanish/>
        </w:rPr>
        <w:t>03-310000884614ugi:UtilityOtherMemberugi:UGIUtilitiesIncMemberus-gaap:OperatingSegmentsMember2021-01-012021-03-310000884614ugi:UtilityOtherMemberus-gaap:CorporateNonSegmentMember2021-01-012021-03-310000884614ugi:UtilityMember2021-01-012021-03-310000884614u</w:t>
      </w:r>
      <w:r>
        <w:rPr>
          <w:rFonts w:eastAsia="Times New Roman"/>
          <w:vanish/>
        </w:rPr>
        <w:t>s-gaap:IntersegmentEliminationMemberugi:UtilityMember2021-01-012021-03-310000884614ugi:AmerigasPropaneMemberugi:UtilityMemberus-gaap:OperatingSegmentsMember2021-01-012021-03-310000884614ugi:UGIInternationalLLCMemberugi:UtilityMemberus-gaap:OperatingSegment</w:t>
      </w:r>
      <w:r>
        <w:rPr>
          <w:rFonts w:eastAsia="Times New Roman"/>
          <w:vanish/>
        </w:rPr>
        <w:t>sMember2021-01-012021-03-310000884614ugi:UtilityMemberus-gaap:OperatingSegmentsMemberugi:MidstreamAndMarketingMember2021-01-012021-03-310000884614ugi:UGIUtilitiesIncMemberugi:UtilityMemberus-gaap:OperatingSegmentsMember2021-01-012021-03-310000884614us-gaap</w:t>
      </w:r>
      <w:r>
        <w:rPr>
          <w:rFonts w:eastAsia="Times New Roman"/>
          <w:vanish/>
        </w:rPr>
        <w:t>:CorporateNonSegmentMemberugi:UtilityMember2021-01-012021-03-310000884614us-gaap:RetailMember2021-01-012021-03-310000884614us-gaap:RetailMemberus-gaap:IntersegmentEliminationMember2021-01-012021-03-310000884614us-gaap:RetailMemberugi:AmerigasPropaneMemberu</w:t>
      </w:r>
      <w:r>
        <w:rPr>
          <w:rFonts w:eastAsia="Times New Roman"/>
          <w:vanish/>
        </w:rPr>
        <w:t>s-gaap:OperatingSegmentsMember2021-01-012021-03-310000884614us-gaap:RetailMemberugi:UGIInternationalLLCMemberus-gaap:OperatingSegmentsMember2021-01-012021-03-310000884614us-gaap:RetailMemberus-gaap:OperatingSegmentsMemberugi:MidstreamAndMarketingMember2021</w:t>
      </w:r>
      <w:r>
        <w:rPr>
          <w:rFonts w:eastAsia="Times New Roman"/>
          <w:vanish/>
        </w:rPr>
        <w:t>-01-012021-03-310000884614us-gaap:RetailMemberugi:UGIUtilitiesIncMemberus-gaap:OperatingSegmentsMember2021-01-012021-03-310000884614us-gaap:RetailMemberus-gaap:CorporateNonSegmentMember2021-01-012021-03-310000884614ugi:WholesaleMember2021-01-012021-03-3100</w:t>
      </w:r>
      <w:r>
        <w:rPr>
          <w:rFonts w:eastAsia="Times New Roman"/>
          <w:vanish/>
        </w:rPr>
        <w:t>00884614us-gaap:IntersegmentEliminationMemberugi:WholesaleMember2021-01-012021-03-310000884614ugi:AmerigasPropaneMemberus-gaap:OperatingSegmentsMemberugi:WholesaleMember2021-01-012021-03-310000884614ugi:UGIInternationalLLCMemberus-gaap:OperatingSegmentsMem</w:t>
      </w:r>
      <w:r>
        <w:rPr>
          <w:rFonts w:eastAsia="Times New Roman"/>
          <w:vanish/>
        </w:rPr>
        <w:t>berugi:WholesaleMember2021-01-012021-03-310000884614us-gaap:OperatingSegmentsMemberugi:MidstreamAndMarketingMemberugi:WholesaleMember2021-01-012021-03-310000884614ugi:UGIUtilitiesIncMemberus-gaap:OperatingSegmentsMemberugi:WholesaleMember2021-01-012021-03-</w:t>
      </w:r>
      <w:r>
        <w:rPr>
          <w:rFonts w:eastAsia="Times New Roman"/>
          <w:vanish/>
        </w:rPr>
        <w:t>310000884614us-gaap:CorporateNonSegmentMemberugi:WholesaleMember2021-01-012021-03-310000884614ugi:EnergyMarketingMember2021-01-012021-03-310000884614ugi:EnergyMarketingMemberus-gaap:IntersegmentEliminationMember2021-01-012021-03-310000884614ugi:AmerigasPro</w:t>
      </w:r>
      <w:r>
        <w:rPr>
          <w:rFonts w:eastAsia="Times New Roman"/>
          <w:vanish/>
        </w:rPr>
        <w:t>paneMemberugi:EnergyMarketingMemberus-gaap:OperatingSegmentsMember2021-01-012021-03-310000884614ugi:UGIInternationalLLCMemberugi:EnergyMarketingMemberus-gaap:OperatingSegmentsMember2021-01-012021-03-310000884614ugi:EnergyMarketingMemberus-gaap:OperatingSeg</w:t>
      </w:r>
      <w:r>
        <w:rPr>
          <w:rFonts w:eastAsia="Times New Roman"/>
          <w:vanish/>
        </w:rPr>
        <w:t>mentsMemberugi:MidstreamAndMarketingMember2021-01-012021-03-310000884614ugi:UGIUtilitiesIncMemberugi:EnergyMarketingMemberus-gaap:OperatingSegmentsMember2021-01-012021-03-310000884614ugi:EnergyMarketingMemberus-gaap:CorporateNonSegmentMember2021-01-012021-</w:t>
      </w:r>
      <w:r>
        <w:rPr>
          <w:rFonts w:eastAsia="Times New Roman"/>
          <w:vanish/>
        </w:rPr>
        <w:t>03-310000884614ugi:PipelineMember2021-01-012021-03-310000884614ugi:PipelineMemberus-gaap:IntersegmentEliminationMember2021-01-012021-03-310000884614ugi:AmerigasPropaneMemberugi:PipelineMemberus-gaap:OperatingSegmentsMember2021-01-012021-03-310000884614ugi:</w:t>
      </w:r>
      <w:r>
        <w:rPr>
          <w:rFonts w:eastAsia="Times New Roman"/>
          <w:vanish/>
        </w:rPr>
        <w:t>UGIInternationalLLCMemberugi:PipelineMemberus-gaap:OperatingSegmentsMember2021-01-012021-03-310000884614ugi:PipelineMemberus-gaap:OperatingSegmentsMemberugi:MidstreamAndMarketingMember2021-01-012021-03-310000884614ugi:UGIUtilitiesIncMemberugi:PipelineMembe</w:t>
      </w:r>
      <w:r>
        <w:rPr>
          <w:rFonts w:eastAsia="Times New Roman"/>
          <w:vanish/>
        </w:rPr>
        <w:t>rus-gaap:OperatingSegmentsMember2021-01-012021-03-310000884614ugi:PipelineMemberus-gaap:CorporateNonSegmentMember2021-01-012021-03-310000884614ugi:PeakingMember2021-01-012021-03-310000884614ugi:PeakingMemberus-gaap:IntersegmentEliminationMember2021-01-0120</w:t>
      </w:r>
      <w:r>
        <w:rPr>
          <w:rFonts w:eastAsia="Times New Roman"/>
          <w:vanish/>
        </w:rPr>
        <w:t>21-03-310000884614ugi:PeakingMemberugi:AmerigasPropaneMemberus-gaap:OperatingSegmentsMember2021-01-012021-03-310000884614ugi:PeakingMemberugi:UGIInternationalLLCMemberus-gaap:OperatingSegmentsMember2021-01-012021-03-310000884614ugi:PeakingMemberus-gaap:Ope</w:t>
      </w:r>
      <w:r>
        <w:rPr>
          <w:rFonts w:eastAsia="Times New Roman"/>
          <w:vanish/>
        </w:rPr>
        <w:t>ratingSegmentsMemberugi:MidstreamAndMarketingMember2021-01-012021-03-310000884614ugi:PeakingMemberugi:UGIUtilitiesIncMemberus-gaap:OperatingSegmentsMember2021-01-012021-03-310000884614ugi:PeakingMemberus-gaap:CorporateNonSegmentMember2021-01-012021-03-3100</w:t>
      </w:r>
      <w:r>
        <w:rPr>
          <w:rFonts w:eastAsia="Times New Roman"/>
          <w:vanish/>
        </w:rPr>
        <w:t>00884614ugi:MidstreamOtherMember2021-01-012021-03-310000884614us-gaap:IntersegmentEliminationMemberugi:MidstreamOtherMember2021-01-012021-03-310000884614ugi:AmerigasPropaneMemberus-gaap:OperatingSegmentsMemberugi:MidstreamOtherMember2021-01-012021-03-31000</w:t>
      </w:r>
      <w:r>
        <w:rPr>
          <w:rFonts w:eastAsia="Times New Roman"/>
          <w:vanish/>
        </w:rPr>
        <w:t>0884614ugi:UGIInternationalLLCMemberus-gaap:OperatingSegmentsMemberugi:MidstreamOtherMember2021-01-012021-03-310000884614us-gaap:OperatingSegmentsMemberugi:MidstreamOtherMemberugi:MidstreamAndMarketingMember2021-01-012021-03-310000884614ugi:UGIUtilitiesInc</w:t>
      </w:r>
      <w:r>
        <w:rPr>
          <w:rFonts w:eastAsia="Times New Roman"/>
          <w:vanish/>
        </w:rPr>
        <w:t>Memberus-gaap:OperatingSegmentsMemberugi:MidstreamOtherMember2021-01-012021-03-310000884614us-gaap:CorporateNonSegmentMemberugi:MidstreamOtherMember2021-01-012021-03-310000884614us-gaap:ElectricityGenerationMember2021-01-012021-03-310000884614us-gaap:Inter</w:t>
      </w:r>
      <w:r>
        <w:rPr>
          <w:rFonts w:eastAsia="Times New Roman"/>
          <w:vanish/>
        </w:rPr>
        <w:t>segmentEliminationMemberus-gaap:ElectricityGenerationMember2021-01-012021-03-310000884614ugi:AmerigasPropaneMemberus-gaap:ElectricityGenerationMemberus-gaap:OperatingSegmentsMember2021-01-012021-03-310000884614ugi:UGIInternationalLLCMemberus-gaap:Electrici</w:t>
      </w:r>
      <w:r>
        <w:rPr>
          <w:rFonts w:eastAsia="Times New Roman"/>
          <w:vanish/>
        </w:rPr>
        <w:t>tyGenerationMemberus-gaap:OperatingSegmentsMember2021-01-012021-03-310000884614us-gaap:ElectricityGenerationMemberus-gaap:OperatingSegmentsMemberugi:MidstreamAndMarketingMember2021-01-012021-03-310000884614ugi:UGIUtilitiesIncMemberus-gaap:ElectricityGenera</w:t>
      </w:r>
      <w:r>
        <w:rPr>
          <w:rFonts w:eastAsia="Times New Roman"/>
          <w:vanish/>
        </w:rPr>
        <w:t>tionMemberus-gaap:OperatingSegmentsMember2021-01-012021-03-310000884614us-gaap:CorporateNonSegmentMemberus-gaap:ElectricityGenerationMember2021-01-012021-03-310000884614ugi:NonutilityOtherMember2021-01-012021-03-310000884614us-gaap:IntersegmentEliminationM</w:t>
      </w:r>
      <w:r>
        <w:rPr>
          <w:rFonts w:eastAsia="Times New Roman"/>
          <w:vanish/>
        </w:rPr>
        <w:t>emberugi:NonutilityOtherMember2021-01-012021-03-310000884614ugi:AmerigasPropaneMemberugi:NonutilityOtherMemberus-gaap:OperatingSegmentsMember2021-01-012021-03-310000884614ugi:UGIInternationalLLCMemberugi:NonutilityOtherMemberus-gaap:OperatingSegmentsMember</w:t>
      </w:r>
      <w:r>
        <w:rPr>
          <w:rFonts w:eastAsia="Times New Roman"/>
          <w:vanish/>
        </w:rPr>
        <w:t>2021-01-012021-03-310000884614ugi:NonutilityOtherMemberus-gaap:OperatingSegmentsMemberugi:MidstreamAndMarketingMember2021-01-012021-03-310000884614ugi:UGIUtilitiesIncMemberugi:NonutilityOtherMemberus-gaap:OperatingSegmentsMember2021-01-012021-03-3100008846</w:t>
      </w:r>
      <w:r>
        <w:rPr>
          <w:rFonts w:eastAsia="Times New Roman"/>
          <w:vanish/>
        </w:rPr>
        <w:t>14us-gaap:CorporateNonSegmentMemberugi:NonutilityOtherMember2021-01-012021-03-310000884614ugi:NonutilityMember2021-01-012021-03-310000884614ugi:NonutilityMemberus-gaap:IntersegmentEliminationMember2021-01-012021-03-310000884614ugi:AmerigasPropaneMemberugi:</w:t>
      </w:r>
      <w:r>
        <w:rPr>
          <w:rFonts w:eastAsia="Times New Roman"/>
          <w:vanish/>
        </w:rPr>
        <w:t>NonutilityMemberus-gaap:OperatingSegmentsMember2021-01-012021-03-310000884614ugi:UGIInternationalLLCMemberugi:NonutilityMemberus-gaap:OperatingSegmentsMember2021-01-012021-03-310000884614ugi:NonutilityMemberus-gaap:OperatingSegmentsMemberugi:MidstreamAndMa</w:t>
      </w:r>
      <w:r>
        <w:rPr>
          <w:rFonts w:eastAsia="Times New Roman"/>
          <w:vanish/>
        </w:rPr>
        <w:t>rketingMember2021-01-012021-03-310000884614ugi:UGIUtilitiesIncMemberugi:NonutilityMemberus-gaap:OperatingSegmentsMember2021-01-012021-03-310000884614us-gaap:CorporateNonSegmentMemberugi:NonutilityMember2021-01-012021-03-310000884614us-gaap:IntersegmentElim</w:t>
      </w:r>
      <w:r>
        <w:rPr>
          <w:rFonts w:eastAsia="Times New Roman"/>
          <w:vanish/>
        </w:rPr>
        <w:t>inationMember2021-01-012021-03-310000884614ugi:AmerigasPropaneMemberus-gaap:OperatingSegmentsMember2021-01-012021-03-310000884614ugi:UGIInternationalLLCMemberus-gaap:OperatingSegmentsMember2021-01-012021-03-310000884614us-gaap:OperatingSegmentsMemberugi:Mi</w:t>
      </w:r>
      <w:r>
        <w:rPr>
          <w:rFonts w:eastAsia="Times New Roman"/>
          <w:vanish/>
        </w:rPr>
        <w:t>dstreamAndMarketingMember2021-01-012021-03-310000884614ugi:UGIUtilitiesIncMemberus-gaap:OperatingSegmentsMember2021-01-012021-03-310000884614us-gaap:CorporateNonSegmentMember2021-01-012021-03-310000884614ugi:ResidentialMember2021-10-012022-03-310000884614u</w:t>
      </w:r>
      <w:r>
        <w:rPr>
          <w:rFonts w:eastAsia="Times New Roman"/>
          <w:vanish/>
        </w:rPr>
        <w:t>gi:ResidentialMemberus-gaap:IntersegmentEliminationMember2021-10-012022-03-310000884614ugi:AmerigasPropaneMemberugi:ResidentialMemberus-gaap:OperatingSegmentsMember2021-10-012022-03-310000884614ugi:UGIInternationalLLCMemberugi:ResidentialMemberus-gaap:Oper</w:t>
      </w:r>
      <w:r>
        <w:rPr>
          <w:rFonts w:eastAsia="Times New Roman"/>
          <w:vanish/>
        </w:rPr>
        <w:t>atingSegmentsMember2021-10-012022-03-310000884614ugi:ResidentialMemberus-gaap:OperatingSegmentsMemberugi:MidstreamAndMarketingMember2021-10-012022-03-310000884614ugi:UGIUtilitiesIncMemberugi:ResidentialMemberus-gaap:OperatingSegmentsMember2021-10-012022-03</w:t>
      </w:r>
      <w:r>
        <w:rPr>
          <w:rFonts w:eastAsia="Times New Roman"/>
          <w:vanish/>
        </w:rPr>
        <w:t>-310000884614ugi:ResidentialMemberus-gaap:CorporateNonSegmentMember2021-10-012022-03-310000884614ugi:CommercialandIndustrialMember2021-10-012022-03-310000884614ugi:CommercialandIndustrialMemberus-gaap:IntersegmentEliminationMember2021-10-012022-03-31000088</w:t>
      </w:r>
      <w:r>
        <w:rPr>
          <w:rFonts w:eastAsia="Times New Roman"/>
          <w:vanish/>
        </w:rPr>
        <w:t>4614ugi:AmerigasPropaneMemberugi:CommercialandIndustrialMemberus-gaap:OperatingSegmentsMember2021-10-012022-03-310000884614ugi:UGIInternationalLLCMemberugi:CommercialandIndustrialMemberus-gaap:OperatingSegmentsMember2021-10-012022-03-310000884614ugi:Commer</w:t>
      </w:r>
      <w:r>
        <w:rPr>
          <w:rFonts w:eastAsia="Times New Roman"/>
          <w:vanish/>
        </w:rPr>
        <w:t>cialandIndustrialMemberus-gaap:OperatingSegmentsMemberugi:MidstreamAndMarketingMember2021-10-012022-03-310000884614ugi:UGIUtilitiesIncMemberugi:CommercialandIndustrialMemberus-gaap:OperatingSegmentsMember2021-10-012022-03-310000884614ugi:CommercialandIndus</w:t>
      </w:r>
      <w:r>
        <w:rPr>
          <w:rFonts w:eastAsia="Times New Roman"/>
          <w:vanish/>
        </w:rPr>
        <w:t>trialMemberus-gaap:CorporateNonSegmentMember2021-10-012022-03-310000884614ugi:LargeDeliveryServiceMember2021-10-012022-03-310000884614ugi:LargeDeliveryServiceMemberus-gaap:IntersegmentEliminationMember2021-10-012022-03-310000884614ugi:AmerigasPropaneMember</w:t>
      </w:r>
      <w:r>
        <w:rPr>
          <w:rFonts w:eastAsia="Times New Roman"/>
          <w:vanish/>
        </w:rPr>
        <w:t>ugi:LargeDeliveryServiceMemberus-gaap:OperatingSegmentsMember2021-10-012022-03-310000884614ugi:UGIInternationalLLCMemberugi:LargeDeliveryServiceMemberus-gaap:OperatingSegmentsMember2021-10-012022-03-310000884614ugi:LargeDeliveryServiceMemberus-gaap:Operati</w:t>
      </w:r>
      <w:r>
        <w:rPr>
          <w:rFonts w:eastAsia="Times New Roman"/>
          <w:vanish/>
        </w:rPr>
        <w:t>ngSegmentsMemberugi:MidstreamAndMarketingMember2021-10-012022-03-310000884614ugi:UGIUtilitiesIncMemberugi:LargeDeliveryServiceMemberus-gaap:OperatingSegmentsMember2021-10-012022-03-310000884614ugi:LargeDeliveryServiceMemberus-gaap:CorporateNonSegmentMember</w:t>
      </w:r>
      <w:r>
        <w:rPr>
          <w:rFonts w:eastAsia="Times New Roman"/>
          <w:vanish/>
        </w:rPr>
        <w:t>2021-10-012022-03-310000884614ugi:OffSystemSalesandCapacityReleasesMember2021-10-012022-03-310000884614ugi:OffSystemSalesandCapacityReleasesMemberus-gaap:IntersegmentEliminationMember2021-10-012022-03-310000884614ugi:AmerigasPropaneMemberugi:OffSystemSales</w:t>
      </w:r>
      <w:r>
        <w:rPr>
          <w:rFonts w:eastAsia="Times New Roman"/>
          <w:vanish/>
        </w:rPr>
        <w:t>andCapacityReleasesMemberus-gaap:OperatingSegmentsMember2021-10-012022-03-310000884614ugi:UGIInternationalLLCMemberugi:OffSystemSalesandCapacityReleasesMemberus-gaap:OperatingSegmentsMember2021-10-012022-03-310000884614ugi:OffSystemSalesandCapacityReleases</w:t>
      </w:r>
      <w:r>
        <w:rPr>
          <w:rFonts w:eastAsia="Times New Roman"/>
          <w:vanish/>
        </w:rPr>
        <w:t>Memberus-gaap:OperatingSegmentsMemberugi:MidstreamAndMarketingMember2021-10-012022-03-310000884614ugi:UGIUtilitiesIncMemberugi:OffSystemSalesandCapacityReleasesMemberus-gaap:OperatingSegmentsMember2021-10-012022-03-310000884614us-gaap:CorporateNonSegmentMe</w:t>
      </w:r>
      <w:r>
        <w:rPr>
          <w:rFonts w:eastAsia="Times New Roman"/>
          <w:vanish/>
        </w:rPr>
        <w:t>mberugi:OffSystemSalesandCapacityReleasesMember2021-10-012022-03-310000884614ugi:UtilityOtherMember2021-10-012022-03-310000884614ugi:UtilityOtherMemberus-gaap:IntersegmentEliminationMember2021-10-012022-03-310000884614ugi:UtilityOtherMemberugi:AmerigasProp</w:t>
      </w:r>
      <w:r>
        <w:rPr>
          <w:rFonts w:eastAsia="Times New Roman"/>
          <w:vanish/>
        </w:rPr>
        <w:t>aneMemberus-gaap:OperatingSegmentsMember2021-10-012022-03-310000884614ugi:UGIInternationalLLCMemberugi:UtilityOtherMemberus-gaap:OperatingSegmentsMember2021-10-012022-03-310000884614ugi:UtilityOtherMemberus-gaap:OperatingSegmentsMemberugi:MidstreamAndMarke</w:t>
      </w:r>
      <w:r>
        <w:rPr>
          <w:rFonts w:eastAsia="Times New Roman"/>
          <w:vanish/>
        </w:rPr>
        <w:t>tingMember2021-10-012022-03-310000884614ugi:UtilityOtherMemberugi:UGIUtilitiesIncMemberus-gaap:OperatingSegmentsMember2021-10-012022-03-310000884614ugi:UtilityOtherMemberus-gaap:CorporateNonSegmentMember2021-10-012022-03-310000884614ugi:UtilityMember2021-1</w:t>
      </w:r>
      <w:r>
        <w:rPr>
          <w:rFonts w:eastAsia="Times New Roman"/>
          <w:vanish/>
        </w:rPr>
        <w:t>0-012022-03-310000884614us-gaap:IntersegmentEliminationMemberugi:UtilityMember2021-10-012022-03-310000884614ugi:AmerigasPropaneMemberugi:UtilityMemberus-gaap:OperatingSegmentsMember2021-10-012022-03-310000884614ugi:UGIInternationalLLCMemberugi:UtilityMembe</w:t>
      </w:r>
      <w:r>
        <w:rPr>
          <w:rFonts w:eastAsia="Times New Roman"/>
          <w:vanish/>
        </w:rPr>
        <w:t>rus-gaap:OperatingSegmentsMember2021-10-012022-03-310000884614ugi:UtilityMemberus-gaap:OperatingSegmentsMemberugi:MidstreamAndMarketingMember2021-10-012022-03-310000884614ugi:UGIUtilitiesIncMemberugi:UtilityMemberus-gaap:OperatingSegmentsMember2021-10-0120</w:t>
      </w:r>
      <w:r>
        <w:rPr>
          <w:rFonts w:eastAsia="Times New Roman"/>
          <w:vanish/>
        </w:rPr>
        <w:t>22-03-310000884614us-gaap:CorporateNonSegmentMemberugi:UtilityMember2021-10-012022-03-310000884614us-gaap:RetailMember2021-10-012022-03-310000884614us-gaap:RetailMemberus-gaap:IntersegmentEliminationMember2021-10-012022-03-310000884614us-gaap:RetailMemberu</w:t>
      </w:r>
      <w:r>
        <w:rPr>
          <w:rFonts w:eastAsia="Times New Roman"/>
          <w:vanish/>
        </w:rPr>
        <w:t>gi:AmerigasPropaneMemberus-gaap:OperatingSegmentsMember2021-10-012022-03-310000884614us-gaap:RetailMemberugi:UGIInternationalLLCMemberus-gaap:OperatingSegmentsMember2021-10-012022-03-310000884614us-gaap:RetailMemberus-gaap:OperatingSegmentsMemberugi:Midstr</w:t>
      </w:r>
      <w:r>
        <w:rPr>
          <w:rFonts w:eastAsia="Times New Roman"/>
          <w:vanish/>
        </w:rPr>
        <w:t>eamAndMarketingMember2021-10-012022-03-310000884614us-gaap:RetailMemberugi:UGIUtilitiesIncMemberus-gaap:OperatingSegmentsMember2021-10-012022-03-310000884614us-gaap:RetailMemberus-gaap:CorporateNonSegmentMember2021-10-012022-03-310000884614ugi:WholesaleMem</w:t>
      </w:r>
      <w:r>
        <w:rPr>
          <w:rFonts w:eastAsia="Times New Roman"/>
          <w:vanish/>
        </w:rPr>
        <w:t>ber2021-10-012022-03-310000884614us-gaap:IntersegmentEliminationMemberugi:WholesaleMember2021-10-012022-03-310000884614ugi:AmerigasPropaneMemberus-gaap:OperatingSegmentsMemberugi:WholesaleMember2021-10-012022-03-310000884614ugi:UGIInternationalLLCMemberus-</w:t>
      </w:r>
      <w:r>
        <w:rPr>
          <w:rFonts w:eastAsia="Times New Roman"/>
          <w:vanish/>
        </w:rPr>
        <w:t>gaap:OperatingSegmentsMemberugi:WholesaleMember2021-10-012022-03-310000884614us-gaap:OperatingSegmentsMemberugi:MidstreamAndMarketingMemberugi:WholesaleMember2021-10-012022-03-310000884614ugi:UGIUtilitiesIncMemberus-gaap:OperatingSegmentsMemberugi:Wholesal</w:t>
      </w:r>
      <w:r>
        <w:rPr>
          <w:rFonts w:eastAsia="Times New Roman"/>
          <w:vanish/>
        </w:rPr>
        <w:t>eMember2021-10-012022-03-310000884614us-gaap:CorporateNonSegmentMemberugi:WholesaleMember2021-10-012022-03-310000884614ugi:EnergyMarketingMember2021-10-012022-03-310000884614ugi:EnergyMarketingMemberus-gaap:IntersegmentEliminationMember2021-10-012022-03-31</w:t>
      </w:r>
      <w:r>
        <w:rPr>
          <w:rFonts w:eastAsia="Times New Roman"/>
          <w:vanish/>
        </w:rPr>
        <w:t>0000884614ugi:AmerigasPropaneMemberugi:EnergyMarketingMemberus-gaap:OperatingSegmentsMember2021-10-012022-03-310000884614ugi:UGIInternationalLLCMemberugi:EnergyMarketingMemberus-gaap:OperatingSegmentsMember2021-10-012022-03-310000884614ugi:EnergyMarketingM</w:t>
      </w:r>
      <w:r>
        <w:rPr>
          <w:rFonts w:eastAsia="Times New Roman"/>
          <w:vanish/>
        </w:rPr>
        <w:t>emberus-gaap:OperatingSegmentsMemberugi:MidstreamAndMarketingMember2021-10-012022-03-310000884614ugi:UGIUtilitiesIncMemberugi:EnergyMarketingMemberus-gaap:OperatingSegmentsMember2021-10-012022-03-310000884614ugi:EnergyMarketingMemberus-gaap:CorporateNonSeg</w:t>
      </w:r>
      <w:r>
        <w:rPr>
          <w:rFonts w:eastAsia="Times New Roman"/>
          <w:vanish/>
        </w:rPr>
        <w:t>mentMember2021-10-012022-03-310000884614ugi:PipelineMember2021-10-012022-03-310000884614ugi:PipelineMemberus-gaap:IntersegmentEliminationMember2021-10-012022-03-310000884614ugi:AmerigasPropaneMemberugi:PipelineMemberus-gaap:OperatingSegmentsMember2021-10-0</w:t>
      </w:r>
      <w:r>
        <w:rPr>
          <w:rFonts w:eastAsia="Times New Roman"/>
          <w:vanish/>
        </w:rPr>
        <w:t>12022-03-310000884614ugi:UGIInternationalLLCMemberugi:PipelineMemberus-gaap:OperatingSegmentsMember2021-10-012022-03-310000884614ugi:PipelineMemberus-gaap:OperatingSegmentsMemberugi:MidstreamAndMarketingMember2021-10-012022-03-310000884614ugi:UGIUtilitiesI</w:t>
      </w:r>
      <w:r>
        <w:rPr>
          <w:rFonts w:eastAsia="Times New Roman"/>
          <w:vanish/>
        </w:rPr>
        <w:t>ncMemberugi:PipelineMemberus-gaap:OperatingSegmentsMember2021-10-012022-03-310000884614ugi:PipelineMemberus-gaap:CorporateNonSegmentMember2021-10-012022-03-310000884614ugi:PeakingMember2021-10-012022-03-310000884614ugi:PeakingMemberus-gaap:IntersegmentElim</w:t>
      </w:r>
      <w:r>
        <w:rPr>
          <w:rFonts w:eastAsia="Times New Roman"/>
          <w:vanish/>
        </w:rPr>
        <w:t>inationMember2021-10-012022-03-310000884614ugi:PeakingMemberugi:AmerigasPropaneMemberus-gaap:OperatingSegmentsMember2021-10-012022-03-310000884614ugi:PeakingMemberugi:UGIInternationalLLCMemberus-gaap:OperatingSegmentsMember2021-10-012022-03-310000884614ugi</w:t>
      </w:r>
      <w:r>
        <w:rPr>
          <w:rFonts w:eastAsia="Times New Roman"/>
          <w:vanish/>
        </w:rPr>
        <w:t>:PeakingMemberus-gaap:OperatingSegmentsMemberugi:MidstreamAndMarketingMember2021-10-012022-03-310000884614ugi:PeakingMemberugi:UGIUtilitiesIncMemberus-gaap:OperatingSegmentsMember2021-10-012022-03-310000884614ugi:PeakingMemberus-gaap:CorporateNonSegmentMem</w:t>
      </w:r>
      <w:r>
        <w:rPr>
          <w:rFonts w:eastAsia="Times New Roman"/>
          <w:vanish/>
        </w:rPr>
        <w:t>ber2021-10-012022-03-310000884614ugi:MidstreamOtherMember2021-10-012022-03-310000884614us-gaap:IntersegmentEliminationMemberugi:MidstreamOtherMember2021-10-012022-03-310000884614ugi:AmerigasPropaneMemberus-gaap:OperatingSegmentsMemberugi:MidstreamOtherMemb</w:t>
      </w:r>
      <w:r>
        <w:rPr>
          <w:rFonts w:eastAsia="Times New Roman"/>
          <w:vanish/>
        </w:rPr>
        <w:t>er2021-10-012022-03-310000884614ugi:UGIInternationalLLCMemberus-gaap:OperatingSegmentsMemberugi:MidstreamOtherMember2021-10-012022-03-310000884614us-gaap:OperatingSegmentsMemberugi:MidstreamOtherMemberugi:MidstreamAndMarketingMember2021-10-012022-03-310000</w:t>
      </w:r>
      <w:r>
        <w:rPr>
          <w:rFonts w:eastAsia="Times New Roman"/>
          <w:vanish/>
        </w:rPr>
        <w:t>884614ugi:UGIUtilitiesIncMemberus-gaap:OperatingSegmentsMemberugi:MidstreamOtherMember2021-10-012022-03-310000884614us-gaap:CorporateNonSegmentMemberugi:MidstreamOtherMember2021-10-012022-03-310000884614us-gaap:ElectricityGenerationMember2021-10-012022-03-</w:t>
      </w:r>
      <w:r>
        <w:rPr>
          <w:rFonts w:eastAsia="Times New Roman"/>
          <w:vanish/>
        </w:rPr>
        <w:t>310000884614us-gaap:IntersegmentEliminationMemberus-gaap:ElectricityGenerationMember2021-10-012022-03-310000884614ugi:AmerigasPropaneMemberus-gaap:ElectricityGenerationMemberus-gaap:OperatingSegmentsMember2021-10-012022-03-310000884614ugi:UGIInternationalL</w:t>
      </w:r>
      <w:r>
        <w:rPr>
          <w:rFonts w:eastAsia="Times New Roman"/>
          <w:vanish/>
        </w:rPr>
        <w:t>LCMemberus-gaap:ElectricityGenerationMemberus-gaap:OperatingSegmentsMember2021-10-012022-03-310000884614us-gaap:ElectricityGenerationMemberus-gaap:OperatingSegmentsMemberugi:MidstreamAndMarketingMember2021-10-012022-03-310000884614ugi:UGIUtilitiesIncMember</w:t>
      </w:r>
      <w:r>
        <w:rPr>
          <w:rFonts w:eastAsia="Times New Roman"/>
          <w:vanish/>
        </w:rPr>
        <w:t>us-gaap:ElectricityGenerationMemberus-gaap:OperatingSegmentsMember2021-10-012022-03-310000884614us-gaap:CorporateNonSegmentMemberus-gaap:ElectricityGenerationMember2021-10-012022-03-310000884614ugi:NonutilityOtherMember2021-10-012022-03-310000884614us-gaap</w:t>
      </w:r>
      <w:r>
        <w:rPr>
          <w:rFonts w:eastAsia="Times New Roman"/>
          <w:vanish/>
        </w:rPr>
        <w:t>:IntersegmentEliminationMemberugi:NonutilityOtherMember2021-10-012022-03-310000884614ugi:AmerigasPropaneMemberugi:NonutilityOtherMemberus-gaap:OperatingSegmentsMember2021-10-012022-03-310000884614ugi:UGIInternationalLLCMemberugi:NonutilityOtherMemberus-gaa</w:t>
      </w:r>
      <w:r>
        <w:rPr>
          <w:rFonts w:eastAsia="Times New Roman"/>
          <w:vanish/>
        </w:rPr>
        <w:t>p:OperatingSegmentsMember2021-10-012022-03-310000884614ugi:NonutilityOtherMemberus-gaap:OperatingSegmentsMemberugi:MidstreamAndMarketingMember2021-10-012022-03-310000884614ugi:UGIUtilitiesIncMemberugi:NonutilityOtherMemberus-gaap:OperatingSegmentsMember202</w:t>
      </w:r>
      <w:r>
        <w:rPr>
          <w:rFonts w:eastAsia="Times New Roman"/>
          <w:vanish/>
        </w:rPr>
        <w:t>1-10-012022-03-310000884614us-gaap:CorporateNonSegmentMemberugi:NonutilityOtherMember2021-10-012022-03-310000884614ugi:NonutilityMember2021-10-012022-03-310000884614ugi:NonutilityMemberus-gaap:IntersegmentEliminationMember2021-10-012022-03-310000884614ugi:</w:t>
      </w:r>
      <w:r>
        <w:rPr>
          <w:rFonts w:eastAsia="Times New Roman"/>
          <w:vanish/>
        </w:rPr>
        <w:t>AmerigasPropaneMemberugi:NonutilityMemberus-gaap:OperatingSegmentsMember2021-10-012022-03-310000884614ugi:UGIInternationalLLCMemberugi:NonutilityMemberus-gaap:OperatingSegmentsMember2021-10-012022-03-310000884614ugi:NonutilityMemberus-gaap:OperatingSegment</w:t>
      </w:r>
      <w:r>
        <w:rPr>
          <w:rFonts w:eastAsia="Times New Roman"/>
          <w:vanish/>
        </w:rPr>
        <w:t>sMemberugi:MidstreamAndMarketingMember2021-10-012022-03-310000884614ugi:UGIUtilitiesIncMemberugi:NonutilityMemberus-gaap:OperatingSegmentsMember2021-10-012022-03-310000884614us-gaap:CorporateNonSegmentMemberugi:NonutilityMember2021-10-012022-03-31000088461</w:t>
      </w:r>
      <w:r>
        <w:rPr>
          <w:rFonts w:eastAsia="Times New Roman"/>
          <w:vanish/>
        </w:rPr>
        <w:t>4us-gaap:IntersegmentEliminationMember2021-10-012022-03-310000884614ugi:AmerigasPropaneMemberus-gaap:OperatingSegmentsMember2021-10-012022-03-310000884614ugi:UGIInternationalLLCMemberus-gaap:OperatingSegmentsMember2021-10-012022-03-310000884614us-gaap:Oper</w:t>
      </w:r>
      <w:r>
        <w:rPr>
          <w:rFonts w:eastAsia="Times New Roman"/>
          <w:vanish/>
        </w:rPr>
        <w:t>atingSegmentsMemberugi:MidstreamAndMarketingMember2021-10-012022-03-310000884614ugi:UGIUtilitiesIncMemberus-gaap:OperatingSegmentsMember2021-10-012022-03-310000884614us-gaap:CorporateNonSegmentMember2021-10-012022-03-310000884614ugi:ResidentialMember2020-1</w:t>
      </w:r>
      <w:r>
        <w:rPr>
          <w:rFonts w:eastAsia="Times New Roman"/>
          <w:vanish/>
        </w:rPr>
        <w:t>0-012021-03-310000884614ugi:ResidentialMemberus-gaap:IntersegmentEliminationMember2020-10-012021-03-310000884614ugi:AmerigasPropaneMemberugi:ResidentialMemberus-gaap:OperatingSegmentsMember2020-10-012021-03-310000884614ugi:UGIInternationalLLCMemberugi:Resi</w:t>
      </w:r>
      <w:r>
        <w:rPr>
          <w:rFonts w:eastAsia="Times New Roman"/>
          <w:vanish/>
        </w:rPr>
        <w:t>dentialMemberus-gaap:OperatingSegmentsMember2020-10-012021-03-310000884614ugi:ResidentialMemberus-gaap:OperatingSegmentsMemberugi:MidstreamAndMarketingMember2020-10-012021-03-310000884614ugi:UGIUtilitiesIncMemberugi:ResidentialMemberus-gaap:OperatingSegmen</w:t>
      </w:r>
      <w:r>
        <w:rPr>
          <w:rFonts w:eastAsia="Times New Roman"/>
          <w:vanish/>
        </w:rPr>
        <w:t>tsMember2020-10-012021-03-310000884614ugi:ResidentialMemberus-gaap:CorporateNonSegmentMember2020-10-012021-03-310000884614ugi:CommercialandIndustrialMember2020-10-012021-03-310000884614ugi:CommercialandIndustrialMemberus-gaap:IntersegmentEliminationMember2</w:t>
      </w:r>
      <w:r>
        <w:rPr>
          <w:rFonts w:eastAsia="Times New Roman"/>
          <w:vanish/>
        </w:rPr>
        <w:t>020-10-012021-03-310000884614ugi:AmerigasPropaneMemberugi:CommercialandIndustrialMemberus-gaap:OperatingSegmentsMember2020-10-012021-03-310000884614ugi:UGIInternationalLLCMemberugi:CommercialandIndustrialMemberus-gaap:OperatingSegmentsMember2020-10-012021-</w:t>
      </w:r>
      <w:r>
        <w:rPr>
          <w:rFonts w:eastAsia="Times New Roman"/>
          <w:vanish/>
        </w:rPr>
        <w:t>03-310000884614ugi:CommercialandIndustrialMemberus-gaap:OperatingSegmentsMemberugi:MidstreamAndMarketingMember2020-10-012021-03-310000884614ugi:UGIUtilitiesIncMemberugi:CommercialandIndustrialMemberus-gaap:OperatingSegmentsMember2020-10-012021-03-310000884</w:t>
      </w:r>
      <w:r>
        <w:rPr>
          <w:rFonts w:eastAsia="Times New Roman"/>
          <w:vanish/>
        </w:rPr>
        <w:t>614ugi:CommercialandIndustrialMemberus-gaap:CorporateNonSegmentMember2020-10-012021-03-310000884614ugi:LargeDeliveryServiceMember2020-10-012021-03-310000884614ugi:LargeDeliveryServiceMemberus-gaap:IntersegmentEliminationMember2020-10-012021-03-310000884614</w:t>
      </w:r>
      <w:r>
        <w:rPr>
          <w:rFonts w:eastAsia="Times New Roman"/>
          <w:vanish/>
        </w:rPr>
        <w:t>ugi:AmerigasPropaneMemberugi:LargeDeliveryServiceMemberus-gaap:OperatingSegmentsMember2020-10-012021-03-310000884614ugi:UGIInternationalLLCMemberugi:LargeDeliveryServiceMemberus-gaap:OperatingSegmentsMember2020-10-012021-03-310000884614ugi:LargeDeliverySer</w:t>
      </w:r>
      <w:r>
        <w:rPr>
          <w:rFonts w:eastAsia="Times New Roman"/>
          <w:vanish/>
        </w:rPr>
        <w:t>viceMemberus-gaap:OperatingSegmentsMemberugi:MidstreamAndMarketingMember2020-10-012021-03-310000884614ugi:UGIUtilitiesIncMemberugi:LargeDeliveryServiceMemberus-gaap:OperatingSegmentsMember2020-10-012021-03-310000884614ugi:LargeDeliveryServiceMemberus-gaap:</w:t>
      </w:r>
      <w:r>
        <w:rPr>
          <w:rFonts w:eastAsia="Times New Roman"/>
          <w:vanish/>
        </w:rPr>
        <w:t>CorporateNonSegmentMember2020-10-012021-03-310000884614ugi:OffSystemSalesandCapacityReleasesMember2020-10-012021-03-310000884614ugi:OffSystemSalesandCapacityReleasesMemberus-gaap:IntersegmentEliminationMember2020-10-012021-03-310000884614ugi:AmerigasPropan</w:t>
      </w:r>
      <w:r>
        <w:rPr>
          <w:rFonts w:eastAsia="Times New Roman"/>
          <w:vanish/>
        </w:rPr>
        <w:t>eMemberugi:OffSystemSalesandCapacityReleasesMemberus-gaap:OperatingSegmentsMember2020-10-012021-03-310000884614ugi:UGIInternationalLLCMemberugi:OffSystemSalesandCapacityReleasesMemberus-gaap:OperatingSegmentsMember2020-10-012021-03-310000884614ugi:OffSyste</w:t>
      </w:r>
      <w:r>
        <w:rPr>
          <w:rFonts w:eastAsia="Times New Roman"/>
          <w:vanish/>
        </w:rPr>
        <w:t>mSalesandCapacityReleasesMemberus-gaap:OperatingSegmentsMemberugi:MidstreamAndMarketingMember2020-10-012021-03-310000884614ugi:UGIUtilitiesIncMemberugi:OffSystemSalesandCapacityReleasesMemberus-gaap:OperatingSegmentsMember2020-10-012021-03-310000884614us-g</w:t>
      </w:r>
      <w:r>
        <w:rPr>
          <w:rFonts w:eastAsia="Times New Roman"/>
          <w:vanish/>
        </w:rPr>
        <w:t>aap:CorporateNonSegmentMemberugi:OffSystemSalesandCapacityReleasesMember2020-10-012021-03-310000884614ugi:UtilityOtherMember2020-10-012021-03-310000884614ugi:UtilityOtherMemberus-gaap:IntersegmentEliminationMember2020-10-012021-03-310000884614ugi:UtilityOt</w:t>
      </w:r>
      <w:r>
        <w:rPr>
          <w:rFonts w:eastAsia="Times New Roman"/>
          <w:vanish/>
        </w:rPr>
        <w:t>herMemberugi:AmerigasPropaneMemberus-gaap:OperatingSegmentsMember2020-10-012021-03-310000884614ugi:UGIInternationalLLCMemberugi:UtilityOtherMemberus-gaap:OperatingSegmentsMember2020-10-012021-03-310000884614ugi:UtilityOtherMemberus-gaap:OperatingSegmentsMe</w:t>
      </w:r>
      <w:r>
        <w:rPr>
          <w:rFonts w:eastAsia="Times New Roman"/>
          <w:vanish/>
        </w:rPr>
        <w:t>mberugi:MidstreamAndMarketingMember2020-10-012021-03-310000884614ugi:UtilityOtherMemberugi:UGIUtilitiesIncMemberus-gaap:OperatingSegmentsMember2020-10-012021-03-310000884614ugi:UtilityOtherMemberus-gaap:CorporateNonSegmentMember2020-10-012021-03-3100008846</w:t>
      </w:r>
      <w:r>
        <w:rPr>
          <w:rFonts w:eastAsia="Times New Roman"/>
          <w:vanish/>
        </w:rPr>
        <w:t>14ugi:UtilityMember2020-10-012021-03-310000884614us-gaap:IntersegmentEliminationMemberugi:UtilityMember2020-10-012021-03-310000884614ugi:AmerigasPropaneMemberugi:UtilityMemberus-gaap:OperatingSegmentsMember2020-10-012021-03-310000884614ugi:UGIInternational</w:t>
      </w:r>
      <w:r>
        <w:rPr>
          <w:rFonts w:eastAsia="Times New Roman"/>
          <w:vanish/>
        </w:rPr>
        <w:t>LLCMemberugi:UtilityMemberus-gaap:OperatingSegmentsMember2020-10-012021-03-310000884614ugi:UtilityMemberus-gaap:OperatingSegmentsMemberugi:MidstreamAndMarketingMember2020-10-012021-03-310000884614ugi:UGIUtilitiesIncMemberugi:UtilityMemberus-gaap:OperatingS</w:t>
      </w:r>
      <w:r>
        <w:rPr>
          <w:rFonts w:eastAsia="Times New Roman"/>
          <w:vanish/>
        </w:rPr>
        <w:t>egmentsMember2020-10-012021-03-310000884614us-gaap:CorporateNonSegmentMemberugi:UtilityMember2020-10-012021-03-310000884614us-gaap:RetailMember2020-10-012021-03-310000884614us-gaap:RetailMemberus-gaap:IntersegmentEliminationMember2020-10-012021-03-31000088</w:t>
      </w:r>
      <w:r>
        <w:rPr>
          <w:rFonts w:eastAsia="Times New Roman"/>
          <w:vanish/>
        </w:rPr>
        <w:t>4614us-gaap:RetailMemberugi:AmerigasPropaneMemberus-gaap:OperatingSegmentsMember2020-10-012021-03-310000884614us-gaap:RetailMemberugi:UGIInternationalLLCMemberus-gaap:OperatingSegmentsMember2020-10-012021-03-310000884614us-gaap:RetailMemberus-gaap:Operatin</w:t>
      </w:r>
      <w:r>
        <w:rPr>
          <w:rFonts w:eastAsia="Times New Roman"/>
          <w:vanish/>
        </w:rPr>
        <w:t>gSegmentsMemberugi:MidstreamAndMarketingMember2020-10-012021-03-310000884614us-gaap:RetailMemberugi:UGIUtilitiesIncMemberus-gaap:OperatingSegmentsMember2020-10-012021-03-310000884614us-gaap:RetailMemberus-gaap:CorporateNonSegmentMember2020-10-012021-03-310</w:t>
      </w:r>
      <w:r>
        <w:rPr>
          <w:rFonts w:eastAsia="Times New Roman"/>
          <w:vanish/>
        </w:rPr>
        <w:t>000884614ugi:WholesaleMember2020-10-012021-03-310000884614us-gaap:IntersegmentEliminationMemberugi:WholesaleMember2020-10-012021-03-310000884614ugi:AmerigasPropaneMemberus-gaap:OperatingSegmentsMemberugi:WholesaleMember2020-10-012021-03-310000884614ugi:UGI</w:t>
      </w:r>
      <w:r>
        <w:rPr>
          <w:rFonts w:eastAsia="Times New Roman"/>
          <w:vanish/>
        </w:rPr>
        <w:t>InternationalLLCMemberus-gaap:OperatingSegmentsMemberugi:WholesaleMember2020-10-012021-03-310000884614us-gaap:OperatingSegmentsMemberugi:MidstreamAndMarketingMemberugi:WholesaleMember2020-10-012021-03-310000884614ugi:UGIUtilitiesIncMemberus-gaap:OperatingS</w:t>
      </w:r>
      <w:r>
        <w:rPr>
          <w:rFonts w:eastAsia="Times New Roman"/>
          <w:vanish/>
        </w:rPr>
        <w:t>egmentsMemberugi:WholesaleMember2020-10-012021-03-310000884614us-gaap:CorporateNonSegmentMemberugi:WholesaleMember2020-10-012021-03-310000884614ugi:EnergyMarketingMember2020-10-012021-03-310000884614ugi:EnergyMarketingMemberus-gaap:IntersegmentEliminationM</w:t>
      </w:r>
      <w:r>
        <w:rPr>
          <w:rFonts w:eastAsia="Times New Roman"/>
          <w:vanish/>
        </w:rPr>
        <w:t>ember2020-10-012021-03-310000884614ugi:AmerigasPropaneMemberugi:EnergyMarketingMemberus-gaap:OperatingSegmentsMember2020-10-012021-03-310000884614ugi:UGIInternationalLLCMemberugi:EnergyMarketingMemberus-gaap:OperatingSegmentsMember2020-10-012021-03-3100008</w:t>
      </w:r>
      <w:r>
        <w:rPr>
          <w:rFonts w:eastAsia="Times New Roman"/>
          <w:vanish/>
        </w:rPr>
        <w:t>84614ugi:EnergyMarketingMemberus-gaap:OperatingSegmentsMemberugi:MidstreamAndMarketingMember2020-10-012021-03-310000884614ugi:UGIUtilitiesIncMemberugi:EnergyMarketingMemberus-gaap:OperatingSegmentsMember2020-10-012021-03-310000884614ugi:EnergyMarketingMemb</w:t>
      </w:r>
      <w:r>
        <w:rPr>
          <w:rFonts w:eastAsia="Times New Roman"/>
          <w:vanish/>
        </w:rPr>
        <w:t>erus-gaap:CorporateNonSegmentMember2020-10-012021-03-310000884614ugi:PipelineMember2020-10-012021-03-310000884614ugi:PipelineMemberus-gaap:IntersegmentEliminationMember2020-10-012021-03-310000884614ugi:AmerigasPropaneMemberugi:PipelineMemberus-gaap:Operati</w:t>
      </w:r>
      <w:r>
        <w:rPr>
          <w:rFonts w:eastAsia="Times New Roman"/>
          <w:vanish/>
        </w:rPr>
        <w:t>ngSegmentsMember2020-10-012021-03-310000884614ugi:UGIInternationalLLCMemberugi:PipelineMemberus-gaap:OperatingSegmentsMember2020-10-012021-03-310000884614ugi:PipelineMemberus-gaap:OperatingSegmentsMemberugi:MidstreamAndMarketingMember2020-10-012021-03-3100</w:t>
      </w:r>
      <w:r>
        <w:rPr>
          <w:rFonts w:eastAsia="Times New Roman"/>
          <w:vanish/>
        </w:rPr>
        <w:t>00884614ugi:UGIUtilitiesIncMemberugi:PipelineMemberus-gaap:OperatingSegmentsMember2020-10-012021-03-310000884614ugi:PipelineMemberus-gaap:CorporateNonSegmentMember2020-10-012021-03-310000884614ugi:PeakingMember2020-10-012021-03-310000884614ugi:PeakingMembe</w:t>
      </w:r>
      <w:r>
        <w:rPr>
          <w:rFonts w:eastAsia="Times New Roman"/>
          <w:vanish/>
        </w:rPr>
        <w:t>rus-gaap:IntersegmentEliminationMember2020-10-012021-03-310000884614ugi:PeakingMemberugi:AmerigasPropaneMemberus-gaap:OperatingSegmentsMember2020-10-012021-03-310000884614ugi:PeakingMemberugi:UGIInternationalLLCMemberus-gaap:OperatingSegmentsMember2020-10-</w:t>
      </w:r>
      <w:r>
        <w:rPr>
          <w:rFonts w:eastAsia="Times New Roman"/>
          <w:vanish/>
        </w:rPr>
        <w:t>012021-03-310000884614ugi:PeakingMemberus-gaap:OperatingSegmentsMemberugi:MidstreamAndMarketingMember2020-10-012021-03-310000884614ugi:PeakingMemberugi:UGIUtilitiesIncMemberus-gaap:OperatingSegmentsMember2020-10-012021-03-310000884614ugi:PeakingMemberus-ga</w:t>
      </w:r>
      <w:r>
        <w:rPr>
          <w:rFonts w:eastAsia="Times New Roman"/>
          <w:vanish/>
        </w:rPr>
        <w:t>ap:CorporateNonSegmentMember2020-10-012021-03-310000884614ugi:MidstreamOtherMember2020-10-012021-03-310000884614us-gaap:IntersegmentEliminationMemberugi:MidstreamOtherMember2020-10-012021-03-310000884614ugi:AmerigasPropaneMemberus-gaap:OperatingSegmentsMem</w:t>
      </w:r>
      <w:r>
        <w:rPr>
          <w:rFonts w:eastAsia="Times New Roman"/>
          <w:vanish/>
        </w:rPr>
        <w:t>berugi:MidstreamOtherMember2020-10-012021-03-310000884614ugi:UGIInternationalLLCMemberus-gaap:OperatingSegmentsMemberugi:MidstreamOtherMember2020-10-012021-03-310000884614us-gaap:OperatingSegmentsMemberugi:MidstreamOtherMemberugi:MidstreamAndMarketingMembe</w:t>
      </w:r>
      <w:r>
        <w:rPr>
          <w:rFonts w:eastAsia="Times New Roman"/>
          <w:vanish/>
        </w:rPr>
        <w:t>r2020-10-012021-03-310000884614ugi:UGIUtilitiesIncMemberus-gaap:OperatingSegmentsMemberugi:MidstreamOtherMember2020-10-012021-03-310000884614us-gaap:CorporateNonSegmentMemberugi:MidstreamOtherMember2020-10-012021-03-310000884614us-gaap:ElectricityGeneratio</w:t>
      </w:r>
      <w:r>
        <w:rPr>
          <w:rFonts w:eastAsia="Times New Roman"/>
          <w:vanish/>
        </w:rPr>
        <w:t>nMember2020-10-012021-03-310000884614us-gaap:IntersegmentEliminationMemberus-gaap:ElectricityGenerationMember2020-10-012021-03-310000884614ugi:AmerigasPropaneMemberus-gaap:ElectricityGenerationMemberus-gaap:OperatingSegmentsMember2020-10-012021-03-31000088</w:t>
      </w:r>
      <w:r>
        <w:rPr>
          <w:rFonts w:eastAsia="Times New Roman"/>
          <w:vanish/>
        </w:rPr>
        <w:t>4614ugi:UGIInternationalLLCMemberus-gaap:ElectricityGenerationMemberus-gaap:OperatingSegmentsMember2020-10-012021-03-310000884614us-gaap:ElectricityGenerationMemberus-gaap:OperatingSegmentsMemberugi:MidstreamAndMarketingMember2020-10-012021-03-310000884614</w:t>
      </w:r>
      <w:r>
        <w:rPr>
          <w:rFonts w:eastAsia="Times New Roman"/>
          <w:vanish/>
        </w:rPr>
        <w:t>ugi:UGIUtilitiesIncMemberus-gaap:ElectricityGenerationMemberus-gaap:OperatingSegmentsMember2020-10-012021-03-310000884614us-gaap:CorporateNonSegmentMemberus-gaap:ElectricityGenerationMember2020-10-012021-03-310000884614ugi:NonutilityOtherMember2020-10-0120</w:t>
      </w:r>
      <w:r>
        <w:rPr>
          <w:rFonts w:eastAsia="Times New Roman"/>
          <w:vanish/>
        </w:rPr>
        <w:t>21-03-310000884614us-gaap:IntersegmentEliminationMemberugi:NonutilityOtherMember2020-10-012021-03-310000884614ugi:AmerigasPropaneMemberugi:NonutilityOtherMemberus-gaap:OperatingSegmentsMember2020-10-012021-03-310000884614ugi:UGIInternationalLLCMemberugi:No</w:t>
      </w:r>
      <w:r>
        <w:rPr>
          <w:rFonts w:eastAsia="Times New Roman"/>
          <w:vanish/>
        </w:rPr>
        <w:t>nutilityOtherMemberus-gaap:OperatingSegmentsMember2020-10-012021-03-310000884614ugi:NonutilityOtherMemberus-gaap:OperatingSegmentsMemberugi:MidstreamAndMarketingMember2020-10-012021-03-310000884614ugi:UGIUtilitiesIncMemberugi:NonutilityOtherMemberus-gaap:O</w:t>
      </w:r>
      <w:r>
        <w:rPr>
          <w:rFonts w:eastAsia="Times New Roman"/>
          <w:vanish/>
        </w:rPr>
        <w:t>peratingSegmentsMember2020-10-012021-03-310000884614us-gaap:CorporateNonSegmentMemberugi:NonutilityOtherMember2020-10-012021-03-310000884614ugi:NonutilityMember2020-10-012021-03-310000884614ugi:NonutilityMemberus-gaap:IntersegmentEliminationMember2020-10-0</w:t>
      </w:r>
      <w:r>
        <w:rPr>
          <w:rFonts w:eastAsia="Times New Roman"/>
          <w:vanish/>
        </w:rPr>
        <w:t>12021-03-310000884614ugi:AmerigasPropaneMemberugi:NonutilityMemberus-gaap:OperatingSegmentsMember2020-10-012021-03-310000884614ugi:UGIInternationalLLCMemberugi:NonutilityMemberus-gaap:OperatingSegmentsMember2020-10-012021-03-310000884614ugi:NonutilityMembe</w:t>
      </w:r>
      <w:r>
        <w:rPr>
          <w:rFonts w:eastAsia="Times New Roman"/>
          <w:vanish/>
        </w:rPr>
        <w:t>rus-gaap:OperatingSegmentsMemberugi:MidstreamAndMarketingMember2020-10-012021-03-310000884614ugi:UGIUtilitiesIncMemberugi:NonutilityMemberus-gaap:OperatingSegmentsMember2020-10-012021-03-310000884614us-gaap:CorporateNonSegmentMemberugi:NonutilityMember2020</w:t>
      </w:r>
      <w:r>
        <w:rPr>
          <w:rFonts w:eastAsia="Times New Roman"/>
          <w:vanish/>
        </w:rPr>
        <w:t>-10-012021-03-310000884614us-gaap:IntersegmentEliminationMember2020-10-012021-03-310000884614ugi:AmerigasPropaneMemberus-gaap:OperatingSegmentsMember2020-10-012021-03-310000884614ugi:UGIInternationalLLCMemberus-gaap:OperatingSegmentsMember2020-10-012021-03</w:t>
      </w:r>
      <w:r>
        <w:rPr>
          <w:rFonts w:eastAsia="Times New Roman"/>
          <w:vanish/>
        </w:rPr>
        <w:t>-310000884614us-gaap:OperatingSegmentsMemberugi:MidstreamAndMarketingMember2020-10-012021-03-310000884614ugi:UGIUtilitiesIncMemberus-gaap:OperatingSegmentsMember2020-10-012021-03-310000884614us-gaap:CorporateNonSegmentMember2020-10-012021-03-310000884614ug</w:t>
      </w:r>
      <w:r>
        <w:rPr>
          <w:rFonts w:eastAsia="Times New Roman"/>
          <w:vanish/>
        </w:rPr>
        <w:t>i:MidstreamAndMarketingMember2022-03-310000884614ugi:UGIUtilitiesIncMember2022-03-310000884614ugi:StonehengeMember2022-01-272022-01-270000884614ugi:UGICorporationSeniorCreditFacilityMember2021-09-012021-09-010000884614ugi:MountaineerMember2021-10-012022-03</w:t>
      </w:r>
      <w:r>
        <w:rPr>
          <w:rFonts w:eastAsia="Times New Roman"/>
          <w:vanish/>
        </w:rPr>
        <w:t>-310000884614ugi:MountaineerMember2021-09-010000884614ugi:NonUtilityLpgAndNaturalGasMember2022-03-310000884614ugi:NonUtilityLpgAndNaturalGasMember2021-09-300000884614ugi:NonUtilityLpgAndNaturalGasMember2021-03-310000884614ugi:GasUtilityNaturalGasMember2022</w:t>
      </w:r>
      <w:r>
        <w:rPr>
          <w:rFonts w:eastAsia="Times New Roman"/>
          <w:vanish/>
        </w:rPr>
        <w:t>-03-310000884614ugi:GasUtilityNaturalGasMember2021-09-300000884614ugi:GasUtilityNaturalGasMember2021-03-310000884614ugi:EnergyCertificatesMember2022-03-310000884614ugi:EnergyCertificatesMember2021-09-300000884614ugi:EnergyCertificatesMember2021-03-31000088</w:t>
      </w:r>
      <w:r>
        <w:rPr>
          <w:rFonts w:eastAsia="Times New Roman"/>
          <w:vanish/>
        </w:rPr>
        <w:t>4614ugi:MaterialsSuppliesAndOtherMember2022-03-310000884614ugi:MaterialsSuppliesAndOtherMember2021-09-300000884614ugi:MaterialsSuppliesAndOtherMember2021-03-310000884614ugi:UGIUtilitiesIncMemberugi:IncomeTaxesRecoverableMember2022-03-310000884614ugi:UGIUti</w:t>
      </w:r>
      <w:r>
        <w:rPr>
          <w:rFonts w:eastAsia="Times New Roman"/>
          <w:vanish/>
        </w:rPr>
        <w:t>litiesIncMemberugi:IncomeTaxesRecoverableMember2021-09-300000884614ugi:UGIUtilitiesIncMemberugi:IncomeTaxesRecoverableMember2021-03-310000884614ugi:UGIUtilitiesIncMemberus-gaap:PensionCostsMember2022-03-310000884614ugi:UGIUtilitiesIncMemberus-gaap:PensionC</w:t>
      </w:r>
      <w:r>
        <w:rPr>
          <w:rFonts w:eastAsia="Times New Roman"/>
          <w:vanish/>
        </w:rPr>
        <w:t>ostsMember2021-09-300000884614ugi:UGIUtilitiesIncMemberus-gaap:PensionCostsMember2021-03-310000884614ugi:UGIUtilitiesIncMemberus-gaap:EnvironmentalRestorationCostsMember2022-03-310000884614ugi:UGIUtilitiesIncMemberus-gaap:EnvironmentalRestorationCostsMembe</w:t>
      </w:r>
      <w:r>
        <w:rPr>
          <w:rFonts w:eastAsia="Times New Roman"/>
          <w:vanish/>
        </w:rPr>
        <w:t>r2021-09-300000884614ugi:UGIUtilitiesIncMemberus-gaap:EnvironmentalRestorationCostsMember2021-03-310000884614us-gaap:DeferredFuelCostsMemberugi:UGIUtilitiesIncMember2022-03-310000884614us-gaap:DeferredFuelCostsMemberugi:UGIUtilitiesIncMember2021-09-3000008</w:t>
      </w:r>
      <w:r>
        <w:rPr>
          <w:rFonts w:eastAsia="Times New Roman"/>
          <w:vanish/>
        </w:rPr>
        <w:t>84614us-gaap:DeferredFuelCostsMemberugi:UGIUtilitiesIncMember2021-03-310000884614ugi:UGIUtilitiesIncMemberugi:RemovalCostsNetMember2022-03-310000884614ugi:UGIUtilitiesIncMemberugi:RemovalCostsNetMember2021-09-300000884614ugi:UGIUtilitiesIncMemberugi:Remova</w:t>
      </w:r>
      <w:r>
        <w:rPr>
          <w:rFonts w:eastAsia="Times New Roman"/>
          <w:vanish/>
        </w:rPr>
        <w:t>lCostsNetMember2021-03-310000884614ugi:UGIUtilitiesIncMemberugi:OtherRegulatoryAssetsMember2022-03-310000884614ugi:UGIUtilitiesIncMemberugi:OtherRegulatoryAssetsMember2021-09-300000884614ugi:UGIUtilitiesIncMemberugi:OtherRegulatoryAssetsMember2021-03-31000</w:t>
      </w:r>
      <w:r>
        <w:rPr>
          <w:rFonts w:eastAsia="Times New Roman"/>
          <w:vanish/>
        </w:rPr>
        <w:t>0884614ugi:UGIUtilitiesIncMember2022-03-310000884614ugi:UGIUtilitiesIncMember2021-09-300000884614ugi:UGIUtilitiesIncMember2021-03-310000884614ugi:UGIUtilitiesIncMemberus-gaap:PostretirementBenefitCostsMember2022-03-310000884614ugi:UGIUtilitiesIncMemberus-g</w:t>
      </w:r>
      <w:r>
        <w:rPr>
          <w:rFonts w:eastAsia="Times New Roman"/>
          <w:vanish/>
        </w:rPr>
        <w:t>aap:PostretirementBenefitCostsMember2021-09-300000884614ugi:UGIUtilitiesIncMemberus-gaap:PostretirementBenefitCostsMember2021-03-310000884614ugi:UGIUtilitiesIncMemberugi:DeferredFuelAndPowerRefundsMember2022-03-310000884614ugi:UGIUtilitiesIncMemberugi:Defe</w:t>
      </w:r>
      <w:r>
        <w:rPr>
          <w:rFonts w:eastAsia="Times New Roman"/>
          <w:vanish/>
        </w:rPr>
        <w:t>rredFuelAndPowerRefundsMember2021-09-300000884614ugi:UGIUtilitiesIncMemberugi:DeferredFuelAndPowerRefundsMember2021-03-310000884614us-gaap:DeferredIncomeTaxChargesMemberugi:UGIUtilitiesIncMember2022-03-310000884614us-gaap:DeferredIncomeTaxChargesMemberugi:</w:t>
      </w:r>
      <w:r>
        <w:rPr>
          <w:rFonts w:eastAsia="Times New Roman"/>
          <w:vanish/>
        </w:rPr>
        <w:t>UGIUtilitiesIncMember2021-09-300000884614us-gaap:DeferredIncomeTaxChargesMemberugi:UGIUtilitiesIncMember2021-03-310000884614ugi:UGIUtilitiesIncMemberugi:ExcessFederalDeferredIncomeTaxesMember2022-03-310000884614ugi:UGIUtilitiesIncMemberugi:ExcessFederalDef</w:t>
      </w:r>
      <w:r>
        <w:rPr>
          <w:rFonts w:eastAsia="Times New Roman"/>
          <w:vanish/>
        </w:rPr>
        <w:t>erredIncomeTaxesMember2021-09-300000884614ugi:UGIUtilitiesIncMemberugi:ExcessFederalDeferredIncomeTaxesMember2021-03-310000884614ugi:UGIUtilitiesIncMemberus-gaap:OtherLiabilitiesMember2022-03-310000884614ugi:UGIUtilitiesIncMemberus-gaap:OtherLiabilitiesMem</w:t>
      </w:r>
      <w:r>
        <w:rPr>
          <w:rFonts w:eastAsia="Times New Roman"/>
          <w:vanish/>
        </w:rPr>
        <w:t>ber2021-09-300000884614ugi:UGIUtilitiesIncMemberus-gaap:OtherLiabilitiesMember2021-03-310000884614ugi:GasUtilityMember2021-10-012022-03-310000884614ugi:GasUtilityMember2020-10-012021-09-300000884614ugi:GasUtilityMember2020-10-012021-03-310000884614ugi:Penn</w:t>
      </w:r>
      <w:r>
        <w:rPr>
          <w:rFonts w:eastAsia="Times New Roman"/>
          <w:vanish/>
        </w:rPr>
        <w:t>sylvaniaPublicUtilityCommissionMemberugi:GasUtilityMember2022-01-282022-01-280000884614ugi:PennsylvaniaPublicUtilityCommissionMemberugi:ElectricUtilityMember2021-02-082021-02-080000884614ugi:PennsylvaniaPublicUtilityCommissionMemberugi:JointPetitionForAppr</w:t>
      </w:r>
      <w:r>
        <w:rPr>
          <w:rFonts w:eastAsia="Times New Roman"/>
          <w:vanish/>
        </w:rPr>
        <w:t>ovalOfSettlementMemberugi:ElectricUtilityMember2021-11-092021-11-090000884614ugi:PennsylvaniaPublicUtilityCommissionMemberugi:GasUtilityMember2020-01-282020-01-280000884614ugi:PennsylvaniaPublicUtilityCommissionMemberugi:GasUtilityMember2020-10-082020-10-0</w:t>
      </w:r>
      <w:r>
        <w:rPr>
          <w:rFonts w:eastAsia="Times New Roman"/>
          <w:vanish/>
        </w:rPr>
        <w:t>80000884614ugi:PennsylvaniaPublicUtilityCommissionMemberugi:PublicUtilityRequestedRateIncreaseTermOneMemberugi:GasUtilityMember2020-10-082020-10-080000884614ugi:PennsylvaniaPublicUtilityCommissionMemberugi:GasUtilityMemberugi:PublicUtilityRequestedRateIncr</w:t>
      </w:r>
      <w:r>
        <w:rPr>
          <w:rFonts w:eastAsia="Times New Roman"/>
          <w:vanish/>
        </w:rPr>
        <w:t>easeTermTwoMember2020-10-082020-10-080000884614ugi:PennsylvaniaPublicUtilityCommissionMemberugi:GasUtilityMember2021-04-010000884614ugi:PennsylvaniaPublicUtilityCommissionMemberugi:GasUtilityMember2021-04-012021-04-010000884614ugi:A250SeniorNotesDueDecembe</w:t>
      </w:r>
      <w:r>
        <w:rPr>
          <w:rFonts w:eastAsia="Times New Roman"/>
          <w:vanish/>
        </w:rPr>
        <w:t>r2029Memberugi:UGIInternationalLLCMemberus-gaap:SeniorNotesMember2021-12-07iso4217:EURxbrli:pure0000884614ugi:UGIInternationalLLCMemberugi:A325SeniorNotesDueNovember2025Memberus-gaap:SeniorNotesMember2021-12-070000884614ugi:UGIInternationalLLCMemberus-gaap</w:t>
      </w:r>
      <w:r>
        <w:rPr>
          <w:rFonts w:eastAsia="Times New Roman"/>
          <w:vanish/>
        </w:rPr>
        <w:t>:SeniorNotesMember2021-12-072021-12-07ugi:subsidiary0000884614ugi:CPGCOA.PNGCOAandUGIGasCOAMember2022-03-310000884614ugi:CPGCOA.PNGCOAandUGIGasCOAMember2021-09-300000884614ugi:CPGCOA.PNGCOAandUGIGasCOAMember2021-03-310000884614ugi:AmeriGasOLPMemberugi:NewY</w:t>
      </w:r>
      <w:r>
        <w:rPr>
          <w:rFonts w:eastAsia="Times New Roman"/>
          <w:vanish/>
        </w:rPr>
        <w:t>orkStateDepartmentOfEnvironmentConservationRecordOfDecisionMemberugi:SaranacLakeNewYorkMember2016-10-012017-09-30ugi:record_of_decision0000884614ugi:AmeriGasOLPMemberugi:NewYorkStateDepartmentOfEnvironmentConservationRecordOfDecisionMemberugi:SaranacLakeNe</w:t>
      </w:r>
      <w:r>
        <w:rPr>
          <w:rFonts w:eastAsia="Times New Roman"/>
          <w:vanish/>
        </w:rPr>
        <w:t>wYorkMember2017-09-300000884614ugi:AmeriGasOLPMemberugi:NewYorkStateDepartmentOfEnvironmentConservationRecordOfDecisionMemberugi:SaranacLakeNewYorkMember2022-03-310000884614us-gaap:PensionPlansDefinedBenefitMember2022-01-012022-03-310000884614us-gaap:Pensi</w:t>
      </w:r>
      <w:r>
        <w:rPr>
          <w:rFonts w:eastAsia="Times New Roman"/>
          <w:vanish/>
        </w:rPr>
        <w:t>onPlansDefinedBenefitMember2021-01-012021-03-310000884614us-gaap:PensionPlansDefinedBenefitMember2021-10-012022-03-310000884614us-gaap:PensionPlansDefinedBenefitMember2020-10-012021-03-310000884614us-gaap:FairValueMeasurementsRecurringMemberus-gaap:Commodi</w:t>
      </w:r>
      <w:r>
        <w:rPr>
          <w:rFonts w:eastAsia="Times New Roman"/>
          <w:vanish/>
        </w:rPr>
        <w:t>tyContractMemberus-gaap:FairValueInputsLevel1Member2022-03-310000884614us-gaap:FairValueInputsLevel2Memberus-gaap:FairValueMeasurementsRecurringMemberus-gaap:CommodityContractMember2022-03-310000884614us-gaap:FairValueMeasurementsRecurringMemberus-gaap:Com</w:t>
      </w:r>
      <w:r>
        <w:rPr>
          <w:rFonts w:eastAsia="Times New Roman"/>
          <w:vanish/>
        </w:rPr>
        <w:t>modityContractMemberus-gaap:FairValueInputsLevel3Member2022-03-310000884614us-gaap:FairValueMeasurementsRecurringMemberus-gaap:CommodityContractMember2022-03-310000884614us-gaap:FairValueMeasurementsRecurringMemberus-gaap:ForeignExchangeContractMemberus-ga</w:t>
      </w:r>
      <w:r>
        <w:rPr>
          <w:rFonts w:eastAsia="Times New Roman"/>
          <w:vanish/>
        </w:rPr>
        <w:t>ap:FairValueInputsLevel1Member2022-03-310000884614us-gaap:FairValueInputsLevel2Memberus-gaap:FairValueMeasurementsRecurringMemberus-gaap:ForeignExchangeContractMember2022-03-310000884614us-gaap:FairValueMeasurementsRecurringMemberus-gaap:ForeignExchangeCon</w:t>
      </w:r>
      <w:r>
        <w:rPr>
          <w:rFonts w:eastAsia="Times New Roman"/>
          <w:vanish/>
        </w:rPr>
        <w:t>tractMemberus-gaap:FairValueInputsLevel3Member2022-03-310000884614us-gaap:FairValueMeasurementsRecurringMemberus-gaap:ForeignExchangeContractMember2022-03-310000884614us-gaap:FairValueMeasurementsRecurringMemberus-gaap:InterestRateContractMemberus-gaap:Fai</w:t>
      </w:r>
      <w:r>
        <w:rPr>
          <w:rFonts w:eastAsia="Times New Roman"/>
          <w:vanish/>
        </w:rPr>
        <w:t>rValueInputsLevel1Member2022-03-310000884614us-gaap:FairValueInputsLevel2Memberus-gaap:FairValueMeasurementsRecurringMemberus-gaap:InterestRateContractMember2022-03-310000884614us-gaap:FairValueMeasurementsRecurringMemberus-gaap:FairValueInputsLevel3Member</w:t>
      </w:r>
      <w:r>
        <w:rPr>
          <w:rFonts w:eastAsia="Times New Roman"/>
          <w:vanish/>
        </w:rPr>
        <w:t>us-gaap:InterestRateContractMember2022-03-310000884614us-gaap:FairValueMeasurementsRecurringMemberus-gaap:InterestRateContractMember2022-03-310000884614us-gaap:FairValueMeasurementsRecurringMemberus-gaap:FairValueInputsLevel1Member2022-03-310000884614us-ga</w:t>
      </w:r>
      <w:r>
        <w:rPr>
          <w:rFonts w:eastAsia="Times New Roman"/>
          <w:vanish/>
        </w:rPr>
        <w:t>ap:FairValueInputsLevel2Memberus-gaap:FairValueMeasurementsRecurringMember2022-03-310000884614us-gaap:FairValueMeasurementsRecurringMemberus-gaap:FairValueInputsLevel3Member2022-03-310000884614us-gaap:FairValueMeasurementsRecurringMember2022-03-31000088461</w:t>
      </w:r>
      <w:r>
        <w:rPr>
          <w:rFonts w:eastAsia="Times New Roman"/>
          <w:vanish/>
        </w:rPr>
        <w:t>4us-gaap:FairValueMeasurementsRecurringMemberus-gaap:CommodityContractMemberus-gaap:FairValueInputsLevel1Member2021-09-300000884614us-gaap:FairValueInputsLevel2Memberus-gaap:FairValueMeasurementsRecurringMemberus-gaap:CommodityContractMember2021-09-3000008</w:t>
      </w:r>
      <w:r>
        <w:rPr>
          <w:rFonts w:eastAsia="Times New Roman"/>
          <w:vanish/>
        </w:rPr>
        <w:t>84614us-gaap:FairValueMeasurementsRecurringMemberus-gaap:CommodityContractMemberus-gaap:FairValueInputsLevel3Member2021-09-300000884614us-gaap:FairValueMeasurementsRecurringMemberus-gaap:CommodityContractMember2021-09-300000884614us-gaap:FairValueMeasureme</w:t>
      </w:r>
      <w:r>
        <w:rPr>
          <w:rFonts w:eastAsia="Times New Roman"/>
          <w:vanish/>
        </w:rPr>
        <w:t>ntsRecurringMemberus-gaap:ForeignExchangeContractMemberus-gaap:FairValueInputsLevel1Member2021-09-300000884614us-gaap:FairValueInputsLevel2Memberus-gaap:FairValueMeasurementsRecurringMemberus-gaap:ForeignExchangeContractMember2021-09-300000884614us-gaap:Fa</w:t>
      </w:r>
      <w:r>
        <w:rPr>
          <w:rFonts w:eastAsia="Times New Roman"/>
          <w:vanish/>
        </w:rPr>
        <w:t>irValueMeasurementsRecurringMemberus-gaap:ForeignExchangeContractMemberus-gaap:FairValueInputsLevel3Member2021-09-300000884614us-gaap:FairValueMeasurementsRecurringMemberus-gaap:ForeignExchangeContractMember2021-09-300000884614us-gaap:FairValueMeasurements</w:t>
      </w:r>
      <w:r>
        <w:rPr>
          <w:rFonts w:eastAsia="Times New Roman"/>
          <w:vanish/>
        </w:rPr>
        <w:t>RecurringMemberus-gaap:InterestRateContractMemberus-gaap:FairValueInputsLevel1Member2021-09-300000884614us-gaap:FairValueInputsLevel2Memberus-gaap:FairValueMeasurementsRecurringMemberus-gaap:InterestRateContractMember2021-09-300000884614us-gaap:FairValueMe</w:t>
      </w:r>
      <w:r>
        <w:rPr>
          <w:rFonts w:eastAsia="Times New Roman"/>
          <w:vanish/>
        </w:rPr>
        <w:t>asurementsRecurringMemberus-gaap:FairValueInputsLevel3Memberus-gaap:InterestRateContractMember2021-09-300000884614us-gaap:FairValueMeasurementsRecurringMemberus-gaap:InterestRateContractMember2021-09-300000884614us-gaap:FairValueMeasurementsRecurringMember</w:t>
      </w:r>
      <w:r>
        <w:rPr>
          <w:rFonts w:eastAsia="Times New Roman"/>
          <w:vanish/>
        </w:rPr>
        <w:t>us-gaap:FairValueInputsLevel1Member2021-09-300000884614us-gaap:FairValueInputsLevel2Memberus-gaap:FairValueMeasurementsRecurringMember2021-09-300000884614us-gaap:FairValueMeasurementsRecurringMemberus-gaap:FairValueInputsLevel3Member2021-09-300000884614us-</w:t>
      </w:r>
      <w:r>
        <w:rPr>
          <w:rFonts w:eastAsia="Times New Roman"/>
          <w:vanish/>
        </w:rPr>
        <w:t>gaap:FairValueMeasurementsRecurringMember2021-09-300000884614us-gaap:FairValueMeasurementsRecurringMemberus-gaap:CommodityContractMemberus-gaap:FairValueInputsLevel1Member2021-03-310000884614us-gaap:FairValueInputsLevel2Memberus-gaap:FairValueMeasurementsR</w:t>
      </w:r>
      <w:r>
        <w:rPr>
          <w:rFonts w:eastAsia="Times New Roman"/>
          <w:vanish/>
        </w:rPr>
        <w:t>ecurringMemberus-gaap:CommodityContractMember2021-03-310000884614us-gaap:FairValueMeasurementsRecurringMemberus-gaap:CommodityContractMemberus-gaap:FairValueInputsLevel3Member2021-03-310000884614us-gaap:FairValueMeasurementsRecurringMemberus-gaap:Commodity</w:t>
      </w:r>
      <w:r>
        <w:rPr>
          <w:rFonts w:eastAsia="Times New Roman"/>
          <w:vanish/>
        </w:rPr>
        <w:t>ContractMember2021-03-310000884614us-gaap:FairValueMeasurementsRecurringMemberus-gaap:ForeignExchangeContractMemberus-gaap:FairValueInputsLevel1Member2021-03-310000884614us-gaap:FairValueInputsLevel2Memberus-gaap:FairValueMeasurementsRecurringMemberus-gaap</w:t>
      </w:r>
      <w:r>
        <w:rPr>
          <w:rFonts w:eastAsia="Times New Roman"/>
          <w:vanish/>
        </w:rPr>
        <w:t>:ForeignExchangeContractMember2021-03-310000884614us-gaap:FairValueMeasurementsRecurringMemberus-gaap:ForeignExchangeContractMemberus-gaap:FairValueInputsLevel3Member2021-03-310000884614us-gaap:FairValueMeasurementsRecurringMemberus-gaap:ForeignExchangeCon</w:t>
      </w:r>
      <w:r>
        <w:rPr>
          <w:rFonts w:eastAsia="Times New Roman"/>
          <w:vanish/>
        </w:rPr>
        <w:t>tractMember2021-03-310000884614us-gaap:FairValueMeasurementsRecurringMemberus-gaap:InterestRateContractMemberus-gaap:FairValueInputsLevel1Member2021-03-310000884614us-gaap:FairValueInputsLevel2Memberus-gaap:FairValueMeasurementsRecurringMemberus-gaap:Inter</w:t>
      </w:r>
      <w:r>
        <w:rPr>
          <w:rFonts w:eastAsia="Times New Roman"/>
          <w:vanish/>
        </w:rPr>
        <w:t>estRateContractMember2021-03-310000884614us-gaap:FairValueMeasurementsRecurringMemberus-gaap:FairValueInputsLevel3Memberus-gaap:InterestRateContractMember2021-03-310000884614us-gaap:FairValueMeasurementsRecurringMemberus-gaap:InterestRateContractMember2021</w:t>
      </w:r>
      <w:r>
        <w:rPr>
          <w:rFonts w:eastAsia="Times New Roman"/>
          <w:vanish/>
        </w:rPr>
        <w:t>-03-310000884614us-gaap:FairValueMeasurementsRecurringMemberus-gaap:FairValueInputsLevel1Member2021-03-310000884614us-gaap:FairValueInputsLevel2Memberus-gaap:FairValueMeasurementsRecurringMember2021-03-310000884614us-gaap:FairValueMeasurementsRecurringMemb</w:t>
      </w:r>
      <w:r>
        <w:rPr>
          <w:rFonts w:eastAsia="Times New Roman"/>
          <w:vanish/>
        </w:rPr>
        <w:t>erus-gaap:FairValueInputsLevel3Member2021-03-310000884614us-gaap:FairValueMeasurementsRecurringMember2021-03-310000884614us-gaap:CarryingReportedAmountFairValueDisclosureMember2022-03-310000884614us-gaap:CarryingReportedAmountFairValueDisclosureMember2021-</w:t>
      </w:r>
      <w:r>
        <w:rPr>
          <w:rFonts w:eastAsia="Times New Roman"/>
          <w:vanish/>
        </w:rPr>
        <w:t>09-300000884614us-gaap:CarryingReportedAmountFairValueDisclosureMember2021-03-310000884614us-gaap:EstimateOfFairValueFairValueDisclosureMember2022-03-310000884614us-gaap:EstimateOfFairValueFairValueDisclosureMember2021-09-300000884614us-gaap:EstimateOfFair</w:t>
      </w:r>
      <w:r>
        <w:rPr>
          <w:rFonts w:eastAsia="Times New Roman"/>
          <w:vanish/>
        </w:rPr>
        <w:t>ValueFairValueDisclosureMember2021-03-310000884614ugi:InterestRateProtectionAgreementsMember2021-09-300000884614ugi:InterestRateProtectionAgreementsMember2022-03-310000884614ugi:InterestRateProtectionAgreementsMember2021-03-310000884614us-gaap:ForeignExcha</w:t>
      </w:r>
      <w:r>
        <w:rPr>
          <w:rFonts w:eastAsia="Times New Roman"/>
          <w:vanish/>
        </w:rPr>
        <w:t>ngeForwardMember2022-03-310000884614ugi:UGIInternationalLLCMemberus-gaap:ForeignExchangeContractMemberus-gaap:NetInvestmentHedgingMember2021-12-070000884614ugi:NaturalGasMemberus-gaap:CommodityContractMemberus-gaap:RegulatedOperationMember2022-03-31ugi:DTH</w:t>
      </w:r>
      <w:r>
        <w:rPr>
          <w:rFonts w:eastAsia="Times New Roman"/>
          <w:vanish/>
        </w:rPr>
        <w:t>0000884614ugi:NaturalGasMemberus-gaap:CommodityContractMemberus-gaap:RegulatedOperationMember2021-09-300000884614ugi:NaturalGasMemberus-gaap:CommodityContractMemberus-gaap:RegulatedOperationMember2021-03-310000884614us-gaap:UnregulatedOperationMemberus-gaa</w:t>
      </w:r>
      <w:r>
        <w:rPr>
          <w:rFonts w:eastAsia="Times New Roman"/>
          <w:vanish/>
        </w:rPr>
        <w:t>p:PublicUtilitiesInventoryPropaneMemberus-gaap:CommodityContractMember2022-03-31utr:gal0000884614us-gaap:UnregulatedOperationMemberus-gaap:PublicUtilitiesInventoryPropaneMemberus-gaap:CommodityContractMember2021-09-300000884614us-gaap:UnregulatedOperationM</w:t>
      </w:r>
      <w:r>
        <w:rPr>
          <w:rFonts w:eastAsia="Times New Roman"/>
          <w:vanish/>
        </w:rPr>
        <w:t>emberus-gaap:PublicUtilitiesInventoryPropaneMemberus-gaap:CommodityContractMember2021-03-310000884614us-gaap:UnregulatedOperationMemberugi:NaturalGasMemberugi:NaturalGasFuturesForwardAndPipelineContractsMember2022-03-310000884614us-gaap:UnregulatedOperatio</w:t>
      </w:r>
      <w:r>
        <w:rPr>
          <w:rFonts w:eastAsia="Times New Roman"/>
          <w:vanish/>
        </w:rPr>
        <w:t>nMemberugi:NaturalGasMemberugi:NaturalGasFuturesForwardAndPipelineContractsMember2021-09-300000884614us-gaap:UnregulatedOperationMemberugi:NaturalGasMemberugi:NaturalGasFuturesForwardAndPipelineContractsMember2021-03-310000884614us-gaap:UnregulatedOperatio</w:t>
      </w:r>
      <w:r>
        <w:rPr>
          <w:rFonts w:eastAsia="Times New Roman"/>
          <w:vanish/>
        </w:rPr>
        <w:t>nMemberus-gaap:CommodityContractMemberus-gaap:ElectricityMember2022-03-31utr:kWh0000884614us-gaap:UnregulatedOperationMemberus-gaap:CommodityContractMemberus-gaap:ElectricityMember2021-09-300000884614us-gaap:UnregulatedOperationMemberus-gaap:CommodityContr</w:t>
      </w:r>
      <w:r>
        <w:rPr>
          <w:rFonts w:eastAsia="Times New Roman"/>
          <w:vanish/>
        </w:rPr>
        <w:t>actMemberus-gaap:ElectricityMember2021-03-310000884614us-gaap:InterestRateSwapMember2022-03-310000884614us-gaap:InterestRateSwapMember2021-09-300000884614us-gaap:InterestRateSwapMember2021-03-310000884614us-gaap:ForeignExchangeContractMember2022-03-3100008</w:t>
      </w:r>
      <w:r>
        <w:rPr>
          <w:rFonts w:eastAsia="Times New Roman"/>
          <w:vanish/>
        </w:rPr>
        <w:t>84614us-gaap:ForeignExchangeContractMember2021-09-300000884614us-gaap:ForeignExchangeContractMember2021-03-310000884614us-gaap:DesignatedAsHedgingInstrumentMemberus-gaap:ForeignExchangeContractMember2022-03-310000884614us-gaap:DesignatedAsHedgingInstrument</w:t>
      </w:r>
      <w:r>
        <w:rPr>
          <w:rFonts w:eastAsia="Times New Roman"/>
          <w:vanish/>
        </w:rPr>
        <w:t>Memberus-gaap:ForeignExchangeContractMember2021-09-300000884614us-gaap:DesignatedAsHedgingInstrumentMemberus-gaap:ForeignExchangeContractMember2021-03-310000884614us-gaap:DesignatedAsHedgingInstrumentMemberus-gaap:InterestRateContractMember2022-03-31000088</w:t>
      </w:r>
      <w:r>
        <w:rPr>
          <w:rFonts w:eastAsia="Times New Roman"/>
          <w:vanish/>
        </w:rPr>
        <w:t>4614us-gaap:DesignatedAsHedgingInstrumentMemberus-gaap:InterestRateContractMember2021-09-300000884614us-gaap:DesignatedAsHedgingInstrumentMemberus-gaap:InterestRateContractMember2021-03-310000884614us-gaap:DesignatedAsHedgingInstrumentMember2022-03-3100008</w:t>
      </w:r>
      <w:r>
        <w:rPr>
          <w:rFonts w:eastAsia="Times New Roman"/>
          <w:vanish/>
        </w:rPr>
        <w:t>84614us-gaap:DesignatedAsHedgingInstrumentMember2021-09-300000884614us-gaap:DesignatedAsHedgingInstrumentMember2021-03-310000884614us-gaap:CommodityContractMember2022-03-310000884614us-gaap:CommodityContractMember2021-09-300000884614us-gaap:CommodityContra</w:t>
      </w:r>
      <w:r>
        <w:rPr>
          <w:rFonts w:eastAsia="Times New Roman"/>
          <w:vanish/>
        </w:rPr>
        <w:t>ctMember2021-03-310000884614us-gaap:CommodityContractMemberus-gaap:NondesignatedMember2022-03-310000884614us-gaap:CommodityContractMemberus-gaap:NondesignatedMember2021-09-300000884614us-gaap:CommodityContractMemberus-gaap:NondesignatedMember2021-03-310000</w:t>
      </w:r>
      <w:r>
        <w:rPr>
          <w:rFonts w:eastAsia="Times New Roman"/>
          <w:vanish/>
        </w:rPr>
        <w:t>884614us-gaap:ForeignExchangeContractMemberus-gaap:NondesignatedMember2022-03-310000884614us-gaap:ForeignExchangeContractMemberus-gaap:NondesignatedMember2021-09-300000884614us-gaap:ForeignExchangeContractMemberus-gaap:NondesignatedMember2021-03-3100008846</w:t>
      </w:r>
      <w:r>
        <w:rPr>
          <w:rFonts w:eastAsia="Times New Roman"/>
          <w:vanish/>
        </w:rPr>
        <w:t>14us-gaap:NondesignatedMember2022-03-310000884614us-gaap:NondesignatedMember2021-09-300000884614us-gaap:NondesignatedMember2021-03-310000884614us-gaap:CashFlowHedgingMemberus-gaap:DesignatedAsHedgingInstrumentMemberus-gaap:InterestRateContractMember2022-01</w:t>
      </w:r>
      <w:r>
        <w:rPr>
          <w:rFonts w:eastAsia="Times New Roman"/>
          <w:vanish/>
        </w:rPr>
        <w:t>-012022-03-310000884614us-gaap:CashFlowHedgingMemberus-gaap:DesignatedAsHedgingInstrumentMemberus-gaap:InterestRateContractMember2021-01-012021-03-310000884614us-gaap:CashFlowHedgingMemberus-gaap:InterestExpenseMemberus-gaap:DesignatedAsHedgingInstrumentMe</w:t>
      </w:r>
      <w:r>
        <w:rPr>
          <w:rFonts w:eastAsia="Times New Roman"/>
          <w:vanish/>
        </w:rPr>
        <w:t>mberus-gaap:InterestRateContractMember2022-01-012022-03-310000884614us-gaap:CashFlowHedgingMemberus-gaap:InterestExpenseMemberus-gaap:DesignatedAsHedgingInstrumentMemberus-gaap:InterestRateContractMember2021-01-012021-03-310000884614us-gaap:DesignatedAsHed</w:t>
      </w:r>
      <w:r>
        <w:rPr>
          <w:rFonts w:eastAsia="Times New Roman"/>
          <w:vanish/>
        </w:rPr>
        <w:t>gingInstrumentMemberus-gaap:ForeignExchangeContractMemberus-gaap:NetInvestmentHedgingMember2022-01-012022-03-310000884614us-gaap:DesignatedAsHedgingInstrumentMemberus-gaap:ForeignExchangeContractMemberus-gaap:NetInvestmentHedgingMember2021-01-012021-03-310</w:t>
      </w:r>
      <w:r>
        <w:rPr>
          <w:rFonts w:eastAsia="Times New Roman"/>
          <w:vanish/>
        </w:rPr>
        <w:t>000884614us-gaap:CommodityContractMemberus-gaap:SalesRevenueNetMemberus-gaap:NondesignatedMember2022-01-012022-03-310000884614us-gaap:CommodityContractMemberus-gaap:SalesRevenueNetMemberus-gaap:NondesignatedMember2021-01-012021-03-310000884614us-gaap:CostO</w:t>
      </w:r>
      <w:r>
        <w:rPr>
          <w:rFonts w:eastAsia="Times New Roman"/>
          <w:vanish/>
        </w:rPr>
        <w:t>fSalesMemberus-gaap:CommodityContractMemberus-gaap:NondesignatedMember2022-01-012022-03-310000884614us-gaap:CostOfSalesMemberus-gaap:CommodityContractMemberus-gaap:NondesignatedMember2021-01-012021-03-310000884614us-gaap:CommodityContractMemberugi:Operatin</w:t>
      </w:r>
      <w:r>
        <w:rPr>
          <w:rFonts w:eastAsia="Times New Roman"/>
          <w:vanish/>
        </w:rPr>
        <w:t>gExpensesAndOtherIncomeMemberus-gaap:NondesignatedMember2022-01-012022-03-310000884614us-gaap:CommodityContractMemberugi:OperatingExpensesAndOtherIncomeMemberus-gaap:NondesignatedMember2021-01-012021-03-310000884614us-gaap:OtherIncomeMemberus-gaap:ForeignE</w:t>
      </w:r>
      <w:r>
        <w:rPr>
          <w:rFonts w:eastAsia="Times New Roman"/>
          <w:vanish/>
        </w:rPr>
        <w:t>xchangeContractMemberus-gaap:NondesignatedMember2022-01-012022-03-310000884614us-gaap:OtherIncomeMemberus-gaap:ForeignExchangeContractMemberus-gaap:NondesignatedMember2021-01-012021-03-310000884614us-gaap:NondesignatedMember2022-01-012022-03-310000884614us</w:t>
      </w:r>
      <w:r>
        <w:rPr>
          <w:rFonts w:eastAsia="Times New Roman"/>
          <w:vanish/>
        </w:rPr>
        <w:t>-gaap:NondesignatedMember2021-01-012021-03-310000884614us-gaap:CashFlowHedgingMemberus-gaap:DesignatedAsHedgingInstrumentMemberus-gaap:InterestRateContractMember2021-10-012022-03-310000884614us-gaap:CashFlowHedgingMemberus-gaap:DesignatedAsHedgingInstrumen</w:t>
      </w:r>
      <w:r>
        <w:rPr>
          <w:rFonts w:eastAsia="Times New Roman"/>
          <w:vanish/>
        </w:rPr>
        <w:t>tMemberus-gaap:InterestRateContractMember2020-10-012021-03-310000884614us-gaap:CashFlowHedgingMemberus-gaap:InterestExpenseMemberus-gaap:DesignatedAsHedgingInstrumentMemberus-gaap:InterestRateContractMember2021-10-012022-03-310000884614us-gaap:CashFlowHedg</w:t>
      </w:r>
      <w:r>
        <w:rPr>
          <w:rFonts w:eastAsia="Times New Roman"/>
          <w:vanish/>
        </w:rPr>
        <w:t>ingMemberus-gaap:InterestExpenseMemberus-gaap:DesignatedAsHedgingInstrumentMemberus-gaap:InterestRateContractMember2020-10-012021-03-310000884614us-gaap:DesignatedAsHedgingInstrumentMemberus-gaap:ForeignExchangeContractMemberus-gaap:NetInvestmentHedgingMem</w:t>
      </w:r>
      <w:r>
        <w:rPr>
          <w:rFonts w:eastAsia="Times New Roman"/>
          <w:vanish/>
        </w:rPr>
        <w:t>ber2021-10-012022-03-310000884614us-gaap:DesignatedAsHedgingInstrumentMemberus-gaap:ForeignExchangeContractMemberus-gaap:NetInvestmentHedgingMember2020-10-012021-03-310000884614us-gaap:CommodityContractMemberus-gaap:SalesRevenueNetMemberus-gaap:Nondesignat</w:t>
      </w:r>
      <w:r>
        <w:rPr>
          <w:rFonts w:eastAsia="Times New Roman"/>
          <w:vanish/>
        </w:rPr>
        <w:t>edMember2021-10-012022-03-310000884614us-gaap:CommodityContractMemberus-gaap:SalesRevenueNetMemberus-gaap:NondesignatedMember2020-10-012021-03-310000884614us-gaap:CostOfSalesMemberus-gaap:CommodityContractMemberus-gaap:NondesignatedMember2021-10-012022-03-</w:t>
      </w:r>
      <w:r>
        <w:rPr>
          <w:rFonts w:eastAsia="Times New Roman"/>
          <w:vanish/>
        </w:rPr>
        <w:t>310000884614us-gaap:CostOfSalesMemberus-gaap:CommodityContractMemberus-gaap:NondesignatedMember2020-10-012021-03-310000884614us-gaap:CommodityContractMemberus-gaap:OtherOperatingIncomeExpenseMemberus-gaap:NondesignatedMember2021-10-012022-03-310000884614us</w:t>
      </w:r>
      <w:r>
        <w:rPr>
          <w:rFonts w:eastAsia="Times New Roman"/>
          <w:vanish/>
        </w:rPr>
        <w:t>-gaap:CommodityContractMemberus-gaap:OtherOperatingIncomeExpenseMemberus-gaap:NondesignatedMember2020-10-012021-03-310000884614us-gaap:OtherIncomeMemberus-gaap:ForeignExchangeContractMemberus-gaap:NondesignatedMember2021-10-012022-03-310000884614us-gaap:Ot</w:t>
      </w:r>
      <w:r>
        <w:rPr>
          <w:rFonts w:eastAsia="Times New Roman"/>
          <w:vanish/>
        </w:rPr>
        <w:t>herIncomeMemberus-gaap:ForeignExchangeContractMemberus-gaap:NondesignatedMember2020-10-012021-03-310000884614us-gaap:NondesignatedMember2021-10-012022-03-310000884614us-gaap:NondesignatedMember2020-10-012021-03-310000884614us-gaap:AccumulatedDefinedBenefit</w:t>
      </w:r>
      <w:r>
        <w:rPr>
          <w:rFonts w:eastAsia="Times New Roman"/>
          <w:vanish/>
        </w:rPr>
        <w:t>PlansAdjustmentMember2021-12-310000884614us-gaap:AccumulatedGainLossNetCashFlowHedgeParentMember2021-12-310000884614us-gaap:AccumulatedTranslationAdjustmentMember2021-12-310000884614us-gaap:AccumulatedOtherComprehensiveIncomeMember2021-12-310000884614us-ga</w:t>
      </w:r>
      <w:r>
        <w:rPr>
          <w:rFonts w:eastAsia="Times New Roman"/>
          <w:vanish/>
        </w:rPr>
        <w:t>ap:AccumulatedDefinedBenefitPlansAdjustmentMember2022-01-012022-03-310000884614us-gaap:AccumulatedGainLossNetCashFlowHedgeParentMember2022-01-012022-03-310000884614us-gaap:AccumulatedTranslationAdjustmentMember2022-01-012022-03-310000884614us-gaap:Accumula</w:t>
      </w:r>
      <w:r>
        <w:rPr>
          <w:rFonts w:eastAsia="Times New Roman"/>
          <w:vanish/>
        </w:rPr>
        <w:t>tedDefinedBenefitPlansAdjustmentMember2022-03-310000884614us-gaap:AccumulatedGainLossNetCashFlowHedgeParentMember2022-03-310000884614us-gaap:AccumulatedTranslationAdjustmentMember2022-03-310000884614us-gaap:AccumulatedOtherComprehensiveIncomeMember2022-03-</w:t>
      </w:r>
      <w:r>
        <w:rPr>
          <w:rFonts w:eastAsia="Times New Roman"/>
          <w:vanish/>
        </w:rPr>
        <w:t>310000884614us-gaap:AccumulatedDefinedBenefitPlansAdjustmentMember2020-12-310000884614us-gaap:AccumulatedGainLossNetCashFlowHedgeParentMember2020-12-310000884614us-gaap:AccumulatedTranslationAdjustmentMember2020-12-310000884614us-gaap:AccumulatedOtherCompr</w:t>
      </w:r>
      <w:r>
        <w:rPr>
          <w:rFonts w:eastAsia="Times New Roman"/>
          <w:vanish/>
        </w:rPr>
        <w:t>ehensiveIncomeMember2020-12-310000884614us-gaap:AccumulatedDefinedBenefitPlansAdjustmentMember2021-01-012021-03-310000884614us-gaap:AccumulatedGainLossNetCashFlowHedgeParentMember2021-01-012021-03-310000884614us-gaap:AccumulatedTranslationAdjustmentMember2</w:t>
      </w:r>
      <w:r>
        <w:rPr>
          <w:rFonts w:eastAsia="Times New Roman"/>
          <w:vanish/>
        </w:rPr>
        <w:t>021-01-012021-03-310000884614us-gaap:AccumulatedDefinedBenefitPlansAdjustmentMember2021-03-310000884614us-gaap:AccumulatedGainLossNetCashFlowHedgeParentMember2021-03-310000884614us-gaap:AccumulatedTranslationAdjustmentMember2021-03-310000884614us-gaap:Accu</w:t>
      </w:r>
      <w:r>
        <w:rPr>
          <w:rFonts w:eastAsia="Times New Roman"/>
          <w:vanish/>
        </w:rPr>
        <w:t>mulatedOtherComprehensiveIncomeMember2021-03-310000884614us-gaap:AccumulatedDefinedBenefitPlansAdjustmentMember2021-09-300000884614us-gaap:AccumulatedGainLossNetCashFlowHedgeParentMember2021-09-300000884614us-gaap:AccumulatedTranslationAdjustmentMember2021</w:t>
      </w:r>
      <w:r>
        <w:rPr>
          <w:rFonts w:eastAsia="Times New Roman"/>
          <w:vanish/>
        </w:rPr>
        <w:t>-09-300000884614us-gaap:AccumulatedOtherComprehensiveIncomeMember2021-09-300000884614us-gaap:AccumulatedDefinedBenefitPlansAdjustmentMember2021-10-012022-03-310000884614us-gaap:AccumulatedGainLossNetCashFlowHedgeParentMember2021-10-012022-03-310000884614us</w:t>
      </w:r>
      <w:r>
        <w:rPr>
          <w:rFonts w:eastAsia="Times New Roman"/>
          <w:vanish/>
        </w:rPr>
        <w:t>-gaap:AccumulatedTranslationAdjustmentMember2021-10-012022-03-310000884614us-gaap:AccumulatedDefinedBenefitPlansAdjustmentMember2020-09-300000884614us-gaap:AccumulatedGainLossNetCashFlowHedgeParentMember2020-09-300000884614us-gaap:AccumulatedTranslationAdj</w:t>
      </w:r>
      <w:r>
        <w:rPr>
          <w:rFonts w:eastAsia="Times New Roman"/>
          <w:vanish/>
        </w:rPr>
        <w:t>ustmentMember2020-09-300000884614us-gaap:AccumulatedOtherComprehensiveIncomeMember2020-09-300000884614us-gaap:AccumulatedDefinedBenefitPlansAdjustmentMember2020-10-012021-03-310000884614us-gaap:AccumulatedGainLossNetCashFlowHedgeParentMember2020-10-012021-</w:t>
      </w:r>
      <w:r>
        <w:rPr>
          <w:rFonts w:eastAsia="Times New Roman"/>
          <w:vanish/>
        </w:rPr>
        <w:t>03-310000884614us-gaap:AccumulatedTranslationAdjustmentMember2020-10-012021-03-31ugi:segment0000884614ugi:CorporateAndReconcilingItemsMember2022-01-012022-03-310000884614ugi:AmerigasPropaneMemberus-gaap:IntersegmentEliminationMember2022-01-012022-03-310000</w:t>
      </w:r>
      <w:r>
        <w:rPr>
          <w:rFonts w:eastAsia="Times New Roman"/>
          <w:vanish/>
        </w:rPr>
        <w:t>884614ugi:UGIInternationalLLCMemberus-gaap:IntersegmentEliminationMember2022-01-012022-03-310000884614us-gaap:IntersegmentEliminationMemberugi:MidstreamAndMarketingMember2022-01-012022-03-310000884614ugi:UGIUtilitiesIncMemberus-gaap:IntersegmentElimination</w:t>
      </w:r>
      <w:r>
        <w:rPr>
          <w:rFonts w:eastAsia="Times New Roman"/>
          <w:vanish/>
        </w:rPr>
        <w:t>Member2022-01-012022-03-310000884614ugi:CorporateReconcilingItemsAndEliminationsMember2022-01-012022-03-310000884614ugi:CorporateAndReconcilingItemsMember2021-01-012021-03-310000884614ugi:AmerigasPropaneMemberus-gaap:IntersegmentEliminationMember2021-01-01</w:t>
      </w:r>
      <w:r>
        <w:rPr>
          <w:rFonts w:eastAsia="Times New Roman"/>
          <w:vanish/>
        </w:rPr>
        <w:t>2021-03-310000884614ugi:UGIInternationalLLCMemberus-gaap:IntersegmentEliminationMember2021-01-012021-03-310000884614us-gaap:IntersegmentEliminationMemberugi:MidstreamAndMarketingMember2021-01-012021-03-310000884614ugi:UGIUtilitiesIncMemberus-gaap:Intersegm</w:t>
      </w:r>
      <w:r>
        <w:rPr>
          <w:rFonts w:eastAsia="Times New Roman"/>
          <w:vanish/>
        </w:rPr>
        <w:t>entEliminationMember2021-01-012021-03-310000884614ugi:CorporateReconcilingItemsAndEliminationsMember2021-01-012021-03-310000884614ugi:CorporateAndReconcilingItemsMember2021-10-012022-03-310000884614ugi:AmerigasPropaneMemberus-gaap:IntersegmentEliminationMe</w:t>
      </w:r>
      <w:r>
        <w:rPr>
          <w:rFonts w:eastAsia="Times New Roman"/>
          <w:vanish/>
        </w:rPr>
        <w:t>mber2021-10-012022-03-310000884614ugi:UGIInternationalLLCMemberus-gaap:IntersegmentEliminationMember2021-10-012022-03-310000884614us-gaap:IntersegmentEliminationMemberugi:MidstreamAndMarketingMember2021-10-012022-03-310000884614ugi:UGIUtilitiesIncMemberus-</w:t>
      </w:r>
      <w:r>
        <w:rPr>
          <w:rFonts w:eastAsia="Times New Roman"/>
          <w:vanish/>
        </w:rPr>
        <w:t>gaap:IntersegmentEliminationMember2021-10-012022-03-310000884614ugi:CorporateReconcilingItemsAndEliminationsMember2021-10-012022-03-310000884614us-gaap:IntersegmentEliminationMember2022-03-310000884614ugi:AmerigasPropaneMemberus-gaap:OperatingSegmentsMembe</w:t>
      </w:r>
      <w:r>
        <w:rPr>
          <w:rFonts w:eastAsia="Times New Roman"/>
          <w:vanish/>
        </w:rPr>
        <w:t>r2022-03-310000884614ugi:UGIInternationalLLCMemberus-gaap:OperatingSegmentsMember2022-03-310000884614us-gaap:OperatingSegmentsMemberugi:MidstreamAndMarketingMember2022-03-310000884614ugi:UGIUtilitiesIncMemberus-gaap:OperatingSegmentsMember2022-03-310000884</w:t>
      </w:r>
      <w:r>
        <w:rPr>
          <w:rFonts w:eastAsia="Times New Roman"/>
          <w:vanish/>
        </w:rPr>
        <w:t>614ugi:CorporateAndReconcilingItemsMember2022-03-310000884614ugi:CorporateAndReconcilingItemsMember2020-10-012021-03-310000884614ugi:AmerigasPropaneMemberus-gaap:IntersegmentEliminationMember2020-10-012021-03-310000884614ugi:UGIInternationalLLCMemberus-gaa</w:t>
      </w:r>
      <w:r>
        <w:rPr>
          <w:rFonts w:eastAsia="Times New Roman"/>
          <w:vanish/>
        </w:rPr>
        <w:t>p:IntersegmentEliminationMember2020-10-012021-03-310000884614us-gaap:IntersegmentEliminationMemberugi:MidstreamAndMarketingMember2020-10-012021-03-310000884614ugi:UGIUtilitiesIncMemberus-gaap:IntersegmentEliminationMember2020-10-012021-03-310000884614ugi:C</w:t>
      </w:r>
      <w:r>
        <w:rPr>
          <w:rFonts w:eastAsia="Times New Roman"/>
          <w:vanish/>
        </w:rPr>
        <w:t>orporateReconcilingItemsAndEliminationsMember2020-10-012021-03-310000884614us-gaap:IntersegmentEliminationMember2021-03-310000884614ugi:AmerigasPropaneMemberus-gaap:OperatingSegmentsMember2021-03-310000884614ugi:UGIInternationalLLCMemberus-gaap:OperatingSe</w:t>
      </w:r>
      <w:r>
        <w:rPr>
          <w:rFonts w:eastAsia="Times New Roman"/>
          <w:vanish/>
        </w:rPr>
        <w:t>gmentsMember2021-03-310000884614us-gaap:OperatingSegmentsMemberugi:MidstreamAndMarketingMember2021-03-310000884614ugi:UGIUtilitiesIncMemberus-gaap:OperatingSegmentsMember2021-03-310000884614ugi:CorporateAndReconcilingItemsMember2021-03-310000884614ugi:Amer</w:t>
      </w:r>
      <w:r>
        <w:rPr>
          <w:rFonts w:eastAsia="Times New Roman"/>
          <w:vanish/>
        </w:rPr>
        <w:t>igasPropaneMemberus-gaap:SalesMember2022-01-012022-03-310000884614ugi:UGIInternationalLLCMemberus-gaap:SalesMember2022-01-012022-03-310000884614us-gaap:SalesMemberugi:MidstreamAndMarketingMember2022-01-012022-03-310000884614ugi:AmerigasPropaneMemberus-gaap</w:t>
      </w:r>
      <w:r>
        <w:rPr>
          <w:rFonts w:eastAsia="Times New Roman"/>
          <w:vanish/>
        </w:rPr>
        <w:t>:CostOfSalesMember2022-01-012022-03-310000884614ugi:UGIInternationalLLCMemberus-gaap:CostOfSalesMember2022-01-012022-03-310000884614us-gaap:CostOfSalesMemberugi:MidstreamAndMarketingMember2022-01-012022-03-310000884614ugi:AmerigasPropaneMemberus-gaap:Gener</w:t>
      </w:r>
      <w:r>
        <w:rPr>
          <w:rFonts w:eastAsia="Times New Roman"/>
          <w:vanish/>
        </w:rPr>
        <w:t>alAndAdministrativeExpenseMember2022-01-012022-03-310000884614ugi:UGIInternationalLLCMemberus-gaap:GeneralAndAdministrativeExpenseMember2022-01-012022-03-310000884614us-gaap:GeneralAndAdministrativeExpenseMemberugi:MidstreamAndMarketingMember2022-01-012022</w:t>
      </w:r>
      <w:r>
        <w:rPr>
          <w:rFonts w:eastAsia="Times New Roman"/>
          <w:vanish/>
        </w:rPr>
        <w:t>-03-310000884614ugi:AmerigasPropaneMemberus-gaap:OtherNonoperatingIncomeExpenseMember2022-01-012022-03-310000884614ugi:UGIInternationalLLCMemberus-gaap:OtherNonoperatingIncomeExpenseMember2022-01-012022-03-310000884614us-gaap:OtherNonoperatingIncomeExpense</w:t>
      </w:r>
      <w:r>
        <w:rPr>
          <w:rFonts w:eastAsia="Times New Roman"/>
          <w:vanish/>
        </w:rPr>
        <w:t>Memberugi:MidstreamAndMarketingMember2022-01-012022-03-310000884614ugi:AmerigasPropaneMemberus-gaap:SalesMember2021-01-012021-03-310000884614ugi:UGIInternationalLLCMemberus-gaap:SalesMember2021-01-012021-03-310000884614us-gaap:SalesMemberugi:MidstreamAndMa</w:t>
      </w:r>
      <w:r>
        <w:rPr>
          <w:rFonts w:eastAsia="Times New Roman"/>
          <w:vanish/>
        </w:rPr>
        <w:t>rketingMember2021-01-012021-03-310000884614ugi:AmerigasPropaneMemberus-gaap:CostOfSalesMember2021-01-012021-03-310000884614ugi:UGIInternationalLLCMemberus-gaap:CostOfSalesMember2021-01-012021-03-310000884614us-gaap:CostOfSalesMemberugi:MidstreamAndMarketin</w:t>
      </w:r>
      <w:r>
        <w:rPr>
          <w:rFonts w:eastAsia="Times New Roman"/>
          <w:vanish/>
        </w:rPr>
        <w:t>gMember2021-01-012021-03-310000884614ugi:AmerigasPropaneMemberus-gaap:GeneralAndAdministrativeExpenseMember2021-01-012021-03-310000884614ugi:UGIInternationalLLCMemberus-gaap:GeneralAndAdministrativeExpenseMember2021-01-012021-03-310000884614us-gaap:General</w:t>
      </w:r>
      <w:r>
        <w:rPr>
          <w:rFonts w:eastAsia="Times New Roman"/>
          <w:vanish/>
        </w:rPr>
        <w:t>AndAdministrativeExpenseMemberugi:MidstreamAndMarketingMember2021-01-012021-03-310000884614ugi:AmerigasPropaneMemberus-gaap:OtherNonoperatingIncomeExpenseMember2021-01-012021-03-310000884614ugi:UGIInternationalLLCMemberus-gaap:OtherNonoperatingIncomeExpens</w:t>
      </w:r>
      <w:r>
        <w:rPr>
          <w:rFonts w:eastAsia="Times New Roman"/>
          <w:vanish/>
        </w:rPr>
        <w:t>eMember2021-01-012021-03-310000884614us-gaap:OtherNonoperatingIncomeExpenseMemberugi:MidstreamAndMarketingMember2021-01-012021-03-310000884614ugi:AmerigasPropaneMemberus-gaap:SalesMember2021-10-012022-03-310000884614ugi:UGIInternationalLLCMemberus-gaap:Sal</w:t>
      </w:r>
      <w:r>
        <w:rPr>
          <w:rFonts w:eastAsia="Times New Roman"/>
          <w:vanish/>
        </w:rPr>
        <w:t>esMember2021-10-012022-03-310000884614us-gaap:SalesMemberugi:MidstreamAndMarketingMember2021-10-012022-03-310000884614ugi:AmerigasPropaneMemberus-gaap:CostOfSalesMember2021-10-012022-03-310000884614ugi:UGIInternationalLLCMemberus-gaap:CostOfSalesMember2021</w:t>
      </w:r>
      <w:r>
        <w:rPr>
          <w:rFonts w:eastAsia="Times New Roman"/>
          <w:vanish/>
        </w:rPr>
        <w:t>-10-012022-03-310000884614us-gaap:CostOfSalesMemberugi:MidstreamAndMarketingMember2021-10-012022-03-310000884614ugi:AmerigasPropaneMemberus-gaap:GeneralAndAdministrativeExpenseMember2021-10-012022-03-310000884614ugi:UGIInternationalLLCMemberus-gaap:General</w:t>
      </w:r>
      <w:r>
        <w:rPr>
          <w:rFonts w:eastAsia="Times New Roman"/>
          <w:vanish/>
        </w:rPr>
        <w:t>AndAdministrativeExpenseMember2021-10-012022-03-310000884614us-gaap:GeneralAndAdministrativeExpenseMemberugi:MidstreamAndMarketingMember2021-10-012022-03-310000884614ugi:AmerigasPropaneMember2021-10-012022-03-310000884614ugi:UGIInternationalLLCMember2021-1</w:t>
      </w:r>
      <w:r>
        <w:rPr>
          <w:rFonts w:eastAsia="Times New Roman"/>
          <w:vanish/>
        </w:rPr>
        <w:t>0-012022-03-310000884614ugi:MidstreamAndMarketingMember2021-10-012022-03-310000884614ugi:AmerigasPropaneMemberus-gaap:OtherNonoperatingIncomeExpenseMember2021-10-012022-03-310000884614ugi:UGIInternationalLLCMemberus-gaap:OtherNonoperatingIncomeExpenseMembe</w:t>
      </w:r>
      <w:r>
        <w:rPr>
          <w:rFonts w:eastAsia="Times New Roman"/>
          <w:vanish/>
        </w:rPr>
        <w:t>r2021-10-012022-03-310000884614us-gaap:OtherNonoperatingIncomeExpenseMemberugi:MidstreamAndMarketingMember2021-10-012022-03-310000884614ugi:AmerigasPropaneMemberus-gaap:CostOfSalesMember2020-10-012021-03-310000884614ugi:UGIInternationalLLCMemberus-gaap:Cos</w:t>
      </w:r>
      <w:r>
        <w:rPr>
          <w:rFonts w:eastAsia="Times New Roman"/>
          <w:vanish/>
        </w:rPr>
        <w:t>tOfSalesMember2020-10-012021-03-310000884614us-gaap:CostOfSalesMemberugi:MidstreamAndMarketingMember2020-10-012021-03-310000884614ugi:AmerigasPropaneMemberus-gaap:OtherNonoperatingIncomeExpenseMember2020-10-012021-03-310000884614ugi:UGIInternationalLLCMemb</w:t>
      </w:r>
      <w:r>
        <w:rPr>
          <w:rFonts w:eastAsia="Times New Roman"/>
          <w:vanish/>
        </w:rPr>
        <w:t>erus-gaap:OtherNonoperatingIncomeExpenseMember2020-10-012021-03-310000884614us-gaap:OtherNonoperatingIncomeExpenseMemberugi:MidstreamAndMarketingMember2020-10-012021-03-310000884614ugi:AmerigasPropaneMemberus-gaap:GeneralAndAdministrativeExpenseMember2020-</w:t>
      </w:r>
      <w:r>
        <w:rPr>
          <w:rFonts w:eastAsia="Times New Roman"/>
          <w:vanish/>
        </w:rPr>
        <w:t>10-012021-03-310000884614ugi:UGIInternationalLLCMemberus-gaap:GeneralAndAdministrativeExpenseMember2020-10-012021-03-310000884614us-gaap:GeneralAndAdministrativeExpenseMemberugi:MidstreamAndMarketingMember2020-10-012021-03-310000884614ugi:AmeriGasAndUGIInt</w:t>
      </w:r>
      <w:r>
        <w:rPr>
          <w:rFonts w:eastAsia="Times New Roman"/>
          <w:vanish/>
        </w:rPr>
        <w:t>ernationalMember2021-01-012021-03-310000884614ugi:AmeriGasAndUGIInternationalMember2020-10-012021-03-31</w:t>
      </w:r>
    </w:p>
    <w:p w:rsidR="00000000" w:rsidRDefault="00844BCF">
      <w:pPr>
        <w:divId w:val="281234398"/>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001590230"/>
        <w:rPr>
          <w:rFonts w:eastAsia="Times New Roman"/>
        </w:rPr>
      </w:pPr>
    </w:p>
    <w:p w:rsidR="00000000" w:rsidRDefault="00844BCF">
      <w:pPr>
        <w:divId w:val="75890937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1729"/>
        <w:gridCol w:w="36"/>
        <w:gridCol w:w="69"/>
        <w:gridCol w:w="1510"/>
        <w:gridCol w:w="36"/>
        <w:gridCol w:w="69"/>
        <w:gridCol w:w="1510"/>
        <w:gridCol w:w="36"/>
        <w:gridCol w:w="69"/>
        <w:gridCol w:w="1510"/>
        <w:gridCol w:w="36"/>
        <w:gridCol w:w="69"/>
        <w:gridCol w:w="1510"/>
        <w:gridCol w:w="36"/>
      </w:tblGrid>
      <w:tr w:rsidR="00000000">
        <w:trPr>
          <w:jc w:val="center"/>
        </w:trPr>
        <w:tc>
          <w:tcPr>
            <w:tcW w:w="50" w:type="pct"/>
            <w:vAlign w:val="center"/>
            <w:hideMark/>
          </w:tcPr>
          <w:p w:rsidR="00000000" w:rsidRDefault="00844BCF">
            <w:pPr>
              <w:rPr>
                <w:rFonts w:eastAsia="Times New Roman"/>
              </w:rPr>
            </w:pPr>
          </w:p>
        </w:tc>
        <w:tc>
          <w:tcPr>
            <w:tcW w:w="105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r>
    </w:tbl>
    <w:p w:rsidR="00000000" w:rsidRDefault="00844BCF">
      <w:pPr>
        <w:jc w:val="center"/>
        <w:rPr>
          <w:rFonts w:eastAsia="Times New Roman"/>
        </w:rPr>
      </w:pPr>
      <w:r>
        <w:rPr>
          <w:rFonts w:eastAsia="Times New Roman"/>
          <w:b/>
          <w:bCs/>
          <w:color w:val="000000"/>
          <w:sz w:val="36"/>
          <w:szCs w:val="36"/>
        </w:rPr>
        <w:t>UNITED STATES</w:t>
      </w:r>
    </w:p>
    <w:p w:rsidR="00000000" w:rsidRDefault="00844BCF">
      <w:pPr>
        <w:jc w:val="center"/>
        <w:rPr>
          <w:rFonts w:eastAsia="Times New Roman"/>
        </w:rPr>
      </w:pPr>
      <w:r>
        <w:rPr>
          <w:rFonts w:eastAsia="Times New Roman"/>
          <w:b/>
          <w:bCs/>
          <w:color w:val="000000"/>
          <w:sz w:val="36"/>
          <w:szCs w:val="36"/>
        </w:rPr>
        <w:t>SECURITIES AND EXCHANGE COMMISSION</w:t>
      </w:r>
    </w:p>
    <w:p w:rsidR="00000000" w:rsidRDefault="00844BCF">
      <w:pPr>
        <w:jc w:val="center"/>
        <w:divId w:val="2047413090"/>
        <w:rPr>
          <w:rFonts w:eastAsia="Times New Roman"/>
        </w:rPr>
      </w:pPr>
      <w:r>
        <w:rPr>
          <w:rFonts w:eastAsia="Times New Roman"/>
          <w:b/>
          <w:bCs/>
          <w:color w:val="000000"/>
        </w:rPr>
        <w:t>Washington, D.C. 20549</w:t>
      </w:r>
    </w:p>
    <w:p w:rsidR="00000000" w:rsidRDefault="00844BCF">
      <w:pPr>
        <w:jc w:val="center"/>
        <w:divId w:val="1203133259"/>
        <w:rPr>
          <w:rFonts w:eastAsia="Times New Roman"/>
        </w:rPr>
      </w:pPr>
      <w:r>
        <w:rPr>
          <w:rFonts w:eastAsia="Times New Roman"/>
          <w:b/>
          <w:bCs/>
          <w:color w:val="000000"/>
          <w:sz w:val="36"/>
          <w:szCs w:val="36"/>
        </w:rPr>
        <w:t xml:space="preserve">FORM 10-Q </w:t>
      </w:r>
    </w:p>
    <w:p w:rsidR="00000000" w:rsidRDefault="00844BCF">
      <w:pPr>
        <w:jc w:val="center"/>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230"/>
        <w:gridCol w:w="36"/>
        <w:gridCol w:w="39"/>
        <w:gridCol w:w="7928"/>
        <w:gridCol w:w="36"/>
      </w:tblGrid>
      <w:tr w:rsidR="00000000">
        <w:trPr>
          <w:divId w:val="2003658074"/>
        </w:trPr>
        <w:tc>
          <w:tcPr>
            <w:tcW w:w="5" w:type="pct"/>
            <w:vAlign w:val="center"/>
            <w:hideMark/>
          </w:tcPr>
          <w:p w:rsidR="00000000" w:rsidRDefault="00844BCF">
            <w:pPr>
              <w:jc w:val="center"/>
              <w:rPr>
                <w:rFonts w:eastAsia="Times New Roman"/>
              </w:rPr>
            </w:pPr>
          </w:p>
        </w:tc>
        <w:tc>
          <w:tcPr>
            <w:tcW w:w="13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79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2003658074"/>
        </w:trPr>
        <w:tc>
          <w:tcPr>
            <w:tcW w:w="0" w:type="auto"/>
            <w:gridSpan w:val="3"/>
            <w:tcMar>
              <w:top w:w="30" w:type="dxa"/>
              <w:left w:w="20" w:type="dxa"/>
              <w:bottom w:w="30" w:type="dxa"/>
              <w:right w:w="20" w:type="dxa"/>
            </w:tcMar>
            <w:hideMark/>
          </w:tcPr>
          <w:p w:rsidR="00000000" w:rsidRDefault="00844BCF">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844BCF">
            <w:pPr>
              <w:spacing w:after="100"/>
              <w:jc w:val="both"/>
              <w:rPr>
                <w:rFonts w:eastAsia="Times New Roman"/>
              </w:rPr>
            </w:pPr>
            <w:r>
              <w:rPr>
                <w:rFonts w:eastAsia="Times New Roman"/>
                <w:b/>
                <w:bCs/>
                <w:color w:val="000000"/>
              </w:rPr>
              <w:t>QUARTERLY REPORT PURSUANT TO SECTION 13 OR 15(d) OF THE SECURITIES EXCHANGE ACT OF 1934</w:t>
            </w:r>
          </w:p>
        </w:tc>
      </w:tr>
    </w:tbl>
    <w:p w:rsidR="00000000" w:rsidRDefault="00844BCF">
      <w:pPr>
        <w:jc w:val="center"/>
        <w:rPr>
          <w:rFonts w:eastAsia="Times New Roman"/>
        </w:rPr>
      </w:pPr>
      <w:r>
        <w:rPr>
          <w:rFonts w:eastAsia="Times New Roman"/>
          <w:b/>
          <w:bCs/>
          <w:color w:val="000000"/>
          <w:sz w:val="20"/>
          <w:szCs w:val="20"/>
        </w:rPr>
        <w:t xml:space="preserve">For the quarterly period ended March 31, 2022 </w:t>
      </w:r>
    </w:p>
    <w:p w:rsidR="00000000" w:rsidRDefault="00844BCF">
      <w:pPr>
        <w:jc w:val="center"/>
        <w:divId w:val="1424718190"/>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37"/>
        <w:gridCol w:w="230"/>
        <w:gridCol w:w="36"/>
        <w:gridCol w:w="39"/>
        <w:gridCol w:w="7928"/>
        <w:gridCol w:w="36"/>
      </w:tblGrid>
      <w:tr w:rsidR="00000000">
        <w:trPr>
          <w:divId w:val="2034065161"/>
        </w:trPr>
        <w:tc>
          <w:tcPr>
            <w:tcW w:w="5" w:type="pct"/>
            <w:vAlign w:val="center"/>
            <w:hideMark/>
          </w:tcPr>
          <w:p w:rsidR="00000000" w:rsidRDefault="00844BCF">
            <w:pPr>
              <w:jc w:val="center"/>
              <w:rPr>
                <w:rFonts w:eastAsia="Times New Roman"/>
              </w:rPr>
            </w:pPr>
          </w:p>
        </w:tc>
        <w:tc>
          <w:tcPr>
            <w:tcW w:w="13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79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2034065161"/>
        </w:trPr>
        <w:tc>
          <w:tcPr>
            <w:tcW w:w="0" w:type="auto"/>
            <w:gridSpan w:val="3"/>
            <w:tcMar>
              <w:top w:w="30" w:type="dxa"/>
              <w:left w:w="20" w:type="dxa"/>
              <w:bottom w:w="30" w:type="dxa"/>
              <w:right w:w="20" w:type="dxa"/>
            </w:tcMar>
            <w:hideMark/>
          </w:tcPr>
          <w:p w:rsidR="00000000" w:rsidRDefault="00844BCF">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844BCF">
            <w:pPr>
              <w:spacing w:after="100"/>
              <w:jc w:val="both"/>
              <w:rPr>
                <w:rFonts w:eastAsia="Times New Roman"/>
              </w:rPr>
            </w:pPr>
            <w:r>
              <w:rPr>
                <w:rFonts w:eastAsia="Times New Roman"/>
                <w:b/>
                <w:bCs/>
                <w:color w:val="000000"/>
              </w:rPr>
              <w:t>TRANSITION REPORT PURSUANT TO SECTION 13 OR 15(d) OF THE SECURITIES EXCHANGE ACT OF 1934</w:t>
            </w:r>
          </w:p>
        </w:tc>
      </w:tr>
    </w:tbl>
    <w:p w:rsidR="00000000" w:rsidRDefault="00844BCF">
      <w:pPr>
        <w:jc w:val="center"/>
        <w:rPr>
          <w:rFonts w:eastAsia="Times New Roman"/>
        </w:rPr>
      </w:pPr>
      <w:r>
        <w:rPr>
          <w:rFonts w:eastAsia="Times New Roman"/>
          <w:b/>
          <w:bCs/>
          <w:color w:val="000000"/>
          <w:sz w:val="20"/>
          <w:szCs w:val="20"/>
        </w:rPr>
        <w:t>For the transition period from  ________ to ________  </w:t>
      </w:r>
    </w:p>
    <w:p w:rsidR="00000000" w:rsidRDefault="00844BCF">
      <w:pPr>
        <w:jc w:val="center"/>
        <w:divId w:val="56707340"/>
        <w:rPr>
          <w:rFonts w:eastAsia="Times New Roman"/>
        </w:rPr>
      </w:pPr>
      <w:r>
        <w:rPr>
          <w:rFonts w:eastAsia="Times New Roman"/>
          <w:b/>
          <w:bCs/>
          <w:color w:val="000000"/>
          <w:sz w:val="20"/>
          <w:szCs w:val="20"/>
        </w:rPr>
        <w:t xml:space="preserve">Commission file number 1-11071 </w:t>
      </w:r>
    </w:p>
    <w:p w:rsidR="00000000" w:rsidRDefault="00844BCF">
      <w:pPr>
        <w:jc w:val="center"/>
        <w:divId w:val="2041660364"/>
        <w:rPr>
          <w:rFonts w:eastAsia="Times New Roman"/>
        </w:rPr>
      </w:pPr>
      <w:r>
        <w:rPr>
          <w:rFonts w:eastAsia="Times New Roman"/>
          <w:b/>
          <w:bCs/>
          <w:color w:val="000000"/>
          <w:sz w:val="48"/>
          <w:szCs w:val="48"/>
        </w:rPr>
        <w:t xml:space="preserve">UGI CORPORATION </w:t>
      </w:r>
    </w:p>
    <w:p w:rsidR="00000000" w:rsidRDefault="00844BCF">
      <w:pPr>
        <w:jc w:val="center"/>
        <w:rPr>
          <w:rFonts w:eastAsia="Times New Roman"/>
        </w:rPr>
      </w:pPr>
      <w:r>
        <w:rPr>
          <w:rFonts w:eastAsia="Times New Roman"/>
          <w:b/>
          <w:bCs/>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877"/>
        <w:gridCol w:w="36"/>
        <w:gridCol w:w="69"/>
        <w:gridCol w:w="222"/>
        <w:gridCol w:w="36"/>
        <w:gridCol w:w="69"/>
        <w:gridCol w:w="3891"/>
        <w:gridCol w:w="37"/>
      </w:tblGrid>
      <w:tr w:rsidR="00000000">
        <w:trPr>
          <w:divId w:val="1396587771"/>
          <w:jc w:val="center"/>
        </w:trPr>
        <w:tc>
          <w:tcPr>
            <w:tcW w:w="50" w:type="pct"/>
            <w:vAlign w:val="center"/>
            <w:hideMark/>
          </w:tcPr>
          <w:p w:rsidR="00000000" w:rsidRDefault="00844BCF">
            <w:pPr>
              <w:jc w:val="center"/>
              <w:rPr>
                <w:rFonts w:eastAsia="Times New Roman"/>
              </w:rPr>
            </w:pPr>
          </w:p>
        </w:tc>
        <w:tc>
          <w:tcPr>
            <w:tcW w:w="234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14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235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396587771"/>
          <w:jc w:val="center"/>
        </w:trPr>
        <w:tc>
          <w:tcPr>
            <w:tcW w:w="0" w:type="auto"/>
            <w:gridSpan w:val="3"/>
            <w:tcMar>
              <w:top w:w="30" w:type="dxa"/>
              <w:left w:w="20" w:type="dxa"/>
              <w:bottom w:w="30" w:type="dxa"/>
              <w:right w:w="20" w:type="dxa"/>
            </w:tcMar>
            <w:hideMark/>
          </w:tcPr>
          <w:p w:rsidR="00000000" w:rsidRDefault="00844BCF">
            <w:pPr>
              <w:spacing w:after="100"/>
              <w:jc w:val="center"/>
              <w:rPr>
                <w:rFonts w:eastAsia="Times New Roman"/>
              </w:rPr>
            </w:pPr>
            <w:r>
              <w:rPr>
                <w:rFonts w:eastAsia="Times New Roman"/>
                <w:b/>
                <w:bCs/>
                <w:color w:val="000000"/>
                <w:sz w:val="20"/>
                <w:szCs w:val="20"/>
              </w:rPr>
              <w:t>Pennsylvania</w:t>
            </w: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844BCF">
            <w:pPr>
              <w:spacing w:after="100"/>
              <w:jc w:val="center"/>
              <w:rPr>
                <w:rFonts w:eastAsia="Times New Roman"/>
              </w:rPr>
            </w:pPr>
            <w:r>
              <w:rPr>
                <w:rFonts w:eastAsia="Times New Roman"/>
                <w:b/>
                <w:bCs/>
                <w:color w:val="000000"/>
                <w:sz w:val="20"/>
                <w:szCs w:val="20"/>
              </w:rPr>
              <w:t>23-2668356</w:t>
            </w:r>
          </w:p>
        </w:tc>
      </w:tr>
      <w:tr w:rsidR="00000000">
        <w:trPr>
          <w:divId w:val="1396587771"/>
          <w:jc w:val="center"/>
        </w:trPr>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rsidR="00000000" w:rsidRDefault="00844BCF">
      <w:pPr>
        <w:jc w:val="center"/>
        <w:divId w:val="131556493"/>
        <w:rPr>
          <w:rFonts w:eastAsia="Times New Roman"/>
        </w:rPr>
      </w:pPr>
      <w:r>
        <w:rPr>
          <w:rFonts w:eastAsia="Times New Roman"/>
          <w:b/>
          <w:bCs/>
          <w:color w:val="000000"/>
          <w:sz w:val="20"/>
          <w:szCs w:val="20"/>
        </w:rPr>
        <w:t xml:space="preserve">460 North Gulph Road, </w:t>
      </w:r>
      <w:r>
        <w:rPr>
          <w:rFonts w:eastAsia="Times New Roman"/>
          <w:b/>
          <w:bCs/>
          <w:color w:val="000000"/>
          <w:sz w:val="20"/>
          <w:szCs w:val="20"/>
        </w:rPr>
        <w:t xml:space="preserve">King of Prussia, PA 19406 </w:t>
      </w:r>
    </w:p>
    <w:p w:rsidR="00000000" w:rsidRDefault="00844BCF">
      <w:pPr>
        <w:jc w:val="center"/>
        <w:rPr>
          <w:rFonts w:eastAsia="Times New Roman"/>
        </w:rPr>
      </w:pPr>
      <w:r>
        <w:rPr>
          <w:rFonts w:eastAsia="Times New Roman"/>
          <w:b/>
          <w:bCs/>
          <w:color w:val="000000"/>
          <w:sz w:val="16"/>
          <w:szCs w:val="16"/>
        </w:rPr>
        <w:t>(Address of Principal Executive Offices) (Zip Code)</w:t>
      </w:r>
    </w:p>
    <w:p w:rsidR="00000000" w:rsidRDefault="00844BCF">
      <w:pPr>
        <w:jc w:val="center"/>
        <w:rPr>
          <w:rFonts w:eastAsia="Times New Roman"/>
        </w:rPr>
      </w:pPr>
    </w:p>
    <w:p w:rsidR="00000000" w:rsidRDefault="00844BCF">
      <w:pPr>
        <w:jc w:val="center"/>
        <w:rPr>
          <w:rFonts w:eastAsia="Times New Roman"/>
        </w:rPr>
      </w:pPr>
      <w:r>
        <w:rPr>
          <w:rFonts w:eastAsia="Times New Roman"/>
          <w:b/>
          <w:bCs/>
          <w:color w:val="000000"/>
          <w:sz w:val="20"/>
          <w:szCs w:val="20"/>
        </w:rPr>
        <w:t xml:space="preserve">(610) 337-1000 </w:t>
      </w:r>
    </w:p>
    <w:p w:rsidR="00000000" w:rsidRDefault="00844BCF">
      <w:pPr>
        <w:jc w:val="center"/>
        <w:rPr>
          <w:rFonts w:eastAsia="Times New Roman"/>
        </w:rPr>
      </w:pPr>
      <w:r>
        <w:rPr>
          <w:rFonts w:eastAsia="Times New Roman"/>
          <w:b/>
          <w:bCs/>
          <w:color w:val="000000"/>
          <w:sz w:val="16"/>
          <w:szCs w:val="16"/>
        </w:rPr>
        <w:t>(Registrant’s telephone number, including area code)</w:t>
      </w:r>
    </w:p>
    <w:p w:rsidR="00000000" w:rsidRDefault="00844BCF">
      <w:pPr>
        <w:jc w:val="center"/>
        <w:rPr>
          <w:rFonts w:eastAsia="Times New Roman"/>
        </w:rPr>
      </w:pPr>
      <w:r>
        <w:rPr>
          <w:rFonts w:eastAsia="Times New Roman"/>
          <w:b/>
          <w:bCs/>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246"/>
        <w:gridCol w:w="37"/>
        <w:gridCol w:w="69"/>
        <w:gridCol w:w="2081"/>
        <w:gridCol w:w="36"/>
        <w:gridCol w:w="69"/>
        <w:gridCol w:w="2664"/>
        <w:gridCol w:w="36"/>
      </w:tblGrid>
      <w:tr w:rsidR="00000000">
        <w:trPr>
          <w:divId w:val="1335036607"/>
          <w:jc w:val="center"/>
        </w:trPr>
        <w:tc>
          <w:tcPr>
            <w:tcW w:w="50" w:type="pct"/>
            <w:vAlign w:val="center"/>
            <w:hideMark/>
          </w:tcPr>
          <w:p w:rsidR="00000000" w:rsidRDefault="00844BCF">
            <w:pPr>
              <w:jc w:val="center"/>
              <w:rPr>
                <w:rFonts w:eastAsia="Times New Roman"/>
              </w:rPr>
            </w:pPr>
          </w:p>
        </w:tc>
        <w:tc>
          <w:tcPr>
            <w:tcW w:w="196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126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161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335036607"/>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844BCF">
            <w:pPr>
              <w:spacing w:after="100"/>
              <w:jc w:val="center"/>
              <w:divId w:val="341518209"/>
              <w:rPr>
                <w:rFonts w:eastAsia="Times New Roman"/>
              </w:rPr>
            </w:pPr>
            <w:r>
              <w:rPr>
                <w:rFonts w:eastAsia="Times New Roman"/>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844BCF">
            <w:pPr>
              <w:spacing w:after="100"/>
              <w:jc w:val="center"/>
              <w:divId w:val="380981192"/>
              <w:rPr>
                <w:rFonts w:eastAsia="Times New Roman"/>
              </w:rPr>
            </w:pPr>
            <w:r>
              <w:rPr>
                <w:rFonts w:eastAsia="Times New Roman"/>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44BCF">
            <w:pPr>
              <w:spacing w:after="100"/>
              <w:jc w:val="center"/>
              <w:divId w:val="1090393138"/>
              <w:rPr>
                <w:rFonts w:eastAsia="Times New Roman"/>
              </w:rPr>
            </w:pPr>
            <w:r>
              <w:rPr>
                <w:rFonts w:eastAsia="Times New Roman"/>
                <w:color w:val="000000"/>
                <w:sz w:val="18"/>
                <w:szCs w:val="18"/>
              </w:rPr>
              <w:t>Name of each exchange on which registered:</w:t>
            </w:r>
          </w:p>
        </w:tc>
      </w:tr>
      <w:tr w:rsidR="00000000">
        <w:trPr>
          <w:divId w:val="1335036607"/>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844BCF">
            <w:pPr>
              <w:spacing w:after="100"/>
              <w:jc w:val="center"/>
              <w:divId w:val="1583225153"/>
              <w:rPr>
                <w:rFonts w:eastAsia="Times New Roman"/>
              </w:rPr>
            </w:pPr>
            <w:r>
              <w:rPr>
                <w:rFonts w:eastAsia="Times New Roman"/>
                <w:color w:val="000000"/>
                <w:sz w:val="18"/>
                <w:szCs w:val="18"/>
              </w:rPr>
              <w:t>Common Stock, without par value</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844BCF">
            <w:pPr>
              <w:spacing w:after="100"/>
              <w:jc w:val="center"/>
              <w:divId w:val="1419865081"/>
              <w:rPr>
                <w:rFonts w:eastAsia="Times New Roman"/>
              </w:rPr>
            </w:pPr>
            <w:r>
              <w:rPr>
                <w:rFonts w:eastAsia="Times New Roman"/>
                <w:color w:val="000000"/>
                <w:sz w:val="18"/>
                <w:szCs w:val="18"/>
              </w:rPr>
              <w:t>UGI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44BCF">
            <w:pPr>
              <w:spacing w:after="100"/>
              <w:jc w:val="center"/>
              <w:divId w:val="1341853318"/>
              <w:rPr>
                <w:rFonts w:eastAsia="Times New Roman"/>
              </w:rPr>
            </w:pPr>
            <w:r>
              <w:rPr>
                <w:rFonts w:eastAsia="Times New Roman"/>
                <w:color w:val="000000"/>
                <w:sz w:val="18"/>
                <w:szCs w:val="18"/>
              </w:rPr>
              <w:t>New York Stock Exchange</w:t>
            </w:r>
          </w:p>
        </w:tc>
      </w:tr>
      <w:tr w:rsidR="00000000">
        <w:trPr>
          <w:divId w:val="1335036607"/>
          <w:jc w:val="center"/>
        </w:trPr>
        <w:tc>
          <w:tcPr>
            <w:tcW w:w="0" w:type="auto"/>
            <w:gridSpan w:val="3"/>
            <w:tcBorders>
              <w:left w:val="single" w:sz="8" w:space="0" w:color="000000"/>
              <w:bottom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Corporate Units</w:t>
            </w:r>
          </w:p>
        </w:tc>
        <w:tc>
          <w:tcPr>
            <w:tcW w:w="0" w:type="auto"/>
            <w:gridSpan w:val="3"/>
            <w:tcBorders>
              <w:left w:val="single" w:sz="8" w:space="0" w:color="000000"/>
              <w:bottom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UGIC</w:t>
            </w:r>
          </w:p>
        </w:tc>
        <w:tc>
          <w:tcPr>
            <w:tcW w:w="0" w:type="auto"/>
            <w:gridSpan w:val="3"/>
            <w:tcBorders>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New York Stock Exchange</w:t>
            </w:r>
          </w:p>
        </w:tc>
      </w:tr>
    </w:tbl>
    <w:p w:rsidR="00000000" w:rsidRDefault="00844BCF">
      <w:pPr>
        <w:jc w:val="both"/>
        <w:divId w:val="1600942762"/>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  Yes  </w:t>
      </w:r>
      <w:r>
        <w:rPr>
          <w:rFonts w:ascii="Wingdings" w:eastAsia="Times New Roman" w:hAnsi="Wingdings"/>
          <w:color w:val="000000"/>
          <w:sz w:val="20"/>
          <w:szCs w:val="20"/>
        </w:rPr>
        <w:t>ý</w:t>
      </w:r>
      <w:r>
        <w:rPr>
          <w:rFonts w:eastAsia="Times New Roman"/>
          <w:color w:val="000000"/>
          <w:sz w:val="20"/>
          <w:szCs w:val="20"/>
        </w:rPr>
        <w:t>  No  </w:t>
      </w:r>
      <w:r>
        <w:rPr>
          <w:rFonts w:ascii="Wingdings" w:eastAsia="Times New Roman" w:hAnsi="Wingdings"/>
          <w:color w:val="000000"/>
          <w:sz w:val="20"/>
          <w:szCs w:val="20"/>
        </w:rPr>
        <w:t>¨</w:t>
      </w:r>
    </w:p>
    <w:p w:rsidR="00000000" w:rsidRDefault="00844BCF">
      <w:pPr>
        <w:jc w:val="both"/>
        <w:divId w:val="73819157"/>
        <w:rPr>
          <w:rFonts w:eastAsia="Times New Roman"/>
        </w:rPr>
      </w:pPr>
      <w:r>
        <w:rPr>
          <w:rFonts w:eastAsia="Times New Roman"/>
          <w:color w:val="000000"/>
          <w:sz w:val="20"/>
          <w:szCs w:val="20"/>
        </w:rPr>
        <w:t xml:space="preserve">Indicate by check mark whether the registrant has submitted electronically every Interactive Data File required to be submitted pursuant to Rule 405 of </w:t>
      </w:r>
      <w:r>
        <w:rPr>
          <w:rFonts w:eastAsia="Times New Roman"/>
          <w:color w:val="000000"/>
          <w:sz w:val="20"/>
          <w:szCs w:val="20"/>
        </w:rPr>
        <w:t xml:space="preserve">Regulation S-T (§232.405 of this chapter) during the preceding 12 months (or for such shorter period that the registrant was required to submit and post such files). Yes </w:t>
      </w:r>
      <w:r>
        <w:rPr>
          <w:rFonts w:ascii="Wingdings" w:eastAsia="Times New Roman" w:hAnsi="Wingdings"/>
          <w:color w:val="000000"/>
          <w:sz w:val="20"/>
          <w:szCs w:val="20"/>
        </w:rPr>
        <w:t>ý</w:t>
      </w:r>
      <w:r>
        <w:rPr>
          <w:rFonts w:eastAsia="Times New Roman"/>
          <w:color w:val="000000"/>
          <w:sz w:val="20"/>
          <w:szCs w:val="20"/>
        </w:rPr>
        <w:t>  No  </w:t>
      </w:r>
      <w:r>
        <w:rPr>
          <w:rFonts w:ascii="Wingdings" w:eastAsia="Times New Roman" w:hAnsi="Wingdings"/>
          <w:color w:val="000000"/>
          <w:sz w:val="20"/>
          <w:szCs w:val="20"/>
        </w:rPr>
        <w:t>¨</w:t>
      </w:r>
    </w:p>
    <w:p w:rsidR="00000000" w:rsidRDefault="00844BCF">
      <w:pPr>
        <w:jc w:val="both"/>
        <w:divId w:val="218442033"/>
        <w:rPr>
          <w:rFonts w:eastAsia="Times New Roman"/>
        </w:rPr>
      </w:pPr>
      <w:r>
        <w:rPr>
          <w:rFonts w:eastAsia="Times New Roman"/>
          <w:color w:val="000000"/>
          <w:sz w:val="20"/>
          <w:szCs w:val="20"/>
        </w:rPr>
        <w:t>Indicate by check mark whether the registrant is a large accelerated filer, a</w:t>
      </w:r>
      <w:r>
        <w:rPr>
          <w:rFonts w:eastAsia="Times New Roman"/>
          <w:color w:val="000000"/>
          <w:sz w:val="20"/>
          <w:szCs w:val="20"/>
        </w:rPr>
        <w:t>n accelerated filer, a non-accelerated filer, smaller reporting company, or an emerging growth company. See the definitions of “large accelerated filer,” “accelerated filer,” “smaller reporting company,” and “emerging growth company” in Rule 12b-2 of the E</w:t>
      </w:r>
      <w:r>
        <w:rPr>
          <w:rFonts w:eastAsia="Times New Roman"/>
          <w:color w:val="000000"/>
          <w:sz w:val="20"/>
          <w:szCs w:val="20"/>
        </w:rPr>
        <w:t>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923"/>
        <w:gridCol w:w="36"/>
        <w:gridCol w:w="72"/>
        <w:gridCol w:w="146"/>
        <w:gridCol w:w="36"/>
        <w:gridCol w:w="69"/>
        <w:gridCol w:w="622"/>
        <w:gridCol w:w="36"/>
        <w:gridCol w:w="69"/>
        <w:gridCol w:w="1923"/>
        <w:gridCol w:w="36"/>
        <w:gridCol w:w="70"/>
        <w:gridCol w:w="148"/>
        <w:gridCol w:w="36"/>
        <w:gridCol w:w="70"/>
        <w:gridCol w:w="623"/>
        <w:gridCol w:w="36"/>
        <w:gridCol w:w="70"/>
        <w:gridCol w:w="1924"/>
        <w:gridCol w:w="36"/>
        <w:gridCol w:w="70"/>
        <w:gridCol w:w="150"/>
        <w:gridCol w:w="36"/>
      </w:tblGrid>
      <w:tr w:rsidR="00000000">
        <w:trPr>
          <w:divId w:val="797261101"/>
        </w:trPr>
        <w:tc>
          <w:tcPr>
            <w:tcW w:w="50" w:type="pct"/>
            <w:vAlign w:val="center"/>
            <w:hideMark/>
          </w:tcPr>
          <w:p w:rsidR="00000000" w:rsidRDefault="00844BCF">
            <w:pPr>
              <w:jc w:val="both"/>
              <w:rPr>
                <w:rFonts w:eastAsia="Times New Roman"/>
              </w:rPr>
            </w:pPr>
          </w:p>
        </w:tc>
        <w:tc>
          <w:tcPr>
            <w:tcW w:w="116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8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116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8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116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797261101"/>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ascii="Wingdings" w:eastAsia="Times New Roman" w:hAnsi="Wingdings"/>
                <w:color w:val="000000"/>
                <w:sz w:val="20"/>
                <w:szCs w:val="20"/>
              </w:rPr>
              <w:t>ý</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ascii="Segoe UI Symbol" w:eastAsia="Times New Roman" w:hAnsi="Segoe UI Symbol" w:cs="Segoe UI Symbol"/>
                <w:color w:val="000000"/>
                <w:sz w:val="20"/>
                <w:szCs w:val="20"/>
              </w:rPr>
              <w:t>☐</w:t>
            </w:r>
          </w:p>
        </w:tc>
      </w:tr>
      <w:tr w:rsidR="00000000">
        <w:trPr>
          <w:divId w:val="797261101"/>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lastRenderedPageBreak/>
              <w:t>Smaller reporting company</w:t>
            </w: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bl>
    <w:p w:rsidR="00000000" w:rsidRDefault="00844BCF">
      <w:pPr>
        <w:jc w:val="both"/>
        <w:divId w:val="2092579514"/>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rsidR="00000000" w:rsidRDefault="00844BCF">
      <w:pPr>
        <w:jc w:val="both"/>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Wingdings" w:eastAsia="Times New Roman" w:hAnsi="Wingdings"/>
          <w:color w:val="000000"/>
          <w:sz w:val="20"/>
          <w:szCs w:val="20"/>
        </w:rPr>
        <w:t>ý</w:t>
      </w:r>
    </w:p>
    <w:p w:rsidR="00000000" w:rsidRDefault="00844BCF">
      <w:pPr>
        <w:divId w:val="2142838337"/>
        <w:rPr>
          <w:rFonts w:eastAsia="Times New Roman"/>
        </w:rPr>
      </w:pPr>
      <w:r>
        <w:rPr>
          <w:rFonts w:eastAsia="Times New Roman"/>
          <w:color w:val="000000"/>
          <w:sz w:val="20"/>
          <w:szCs w:val="20"/>
        </w:rPr>
        <w:t>At April 30, 2022, there were 209,993,488 shares of UGI Corporation Common Stock, without par value,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1729"/>
        <w:gridCol w:w="36"/>
        <w:gridCol w:w="69"/>
        <w:gridCol w:w="1510"/>
        <w:gridCol w:w="36"/>
        <w:gridCol w:w="69"/>
        <w:gridCol w:w="1510"/>
        <w:gridCol w:w="36"/>
        <w:gridCol w:w="69"/>
        <w:gridCol w:w="1510"/>
        <w:gridCol w:w="36"/>
        <w:gridCol w:w="69"/>
        <w:gridCol w:w="1510"/>
        <w:gridCol w:w="36"/>
      </w:tblGrid>
      <w:tr w:rsidR="00000000">
        <w:trPr>
          <w:divId w:val="1898541765"/>
          <w:jc w:val="center"/>
        </w:trPr>
        <w:tc>
          <w:tcPr>
            <w:tcW w:w="50" w:type="pct"/>
            <w:vAlign w:val="center"/>
            <w:hideMark/>
          </w:tcPr>
          <w:p w:rsidR="00000000" w:rsidRDefault="00844BCF">
            <w:pPr>
              <w:rPr>
                <w:rFonts w:eastAsia="Times New Roman"/>
              </w:rPr>
            </w:pPr>
          </w:p>
        </w:tc>
        <w:tc>
          <w:tcPr>
            <w:tcW w:w="105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898541765"/>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r>
    </w:tbl>
    <w:p w:rsidR="00000000" w:rsidRDefault="00844BCF">
      <w:pPr>
        <w:divId w:val="396166494"/>
        <w:rPr>
          <w:rFonts w:eastAsia="Times New Roman"/>
        </w:rPr>
      </w:pPr>
    </w:p>
    <w:p w:rsidR="00000000" w:rsidRDefault="00844BCF">
      <w:pPr>
        <w:rPr>
          <w:rFonts w:eastAsia="Times New Roman"/>
        </w:rPr>
      </w:pPr>
      <w:r>
        <w:rPr>
          <w:rFonts w:eastAsia="Times New Roman"/>
        </w:rPr>
        <w:pict>
          <v:rect id="_x0000_i1025" style="width:0;height:1.5pt" o:hralign="center" o:hrstd="t" o:hr="t" fillcolor="#a0a0a0" stroked="f"/>
        </w:pict>
      </w:r>
    </w:p>
    <w:p w:rsidR="00000000" w:rsidRDefault="00844BCF">
      <w:pPr>
        <w:divId w:val="573508331"/>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452285870"/>
        <w:rPr>
          <w:rFonts w:eastAsia="Times New Roman"/>
        </w:rPr>
      </w:pPr>
    </w:p>
    <w:p w:rsidR="00000000" w:rsidRDefault="00844BCF">
      <w:pPr>
        <w:divId w:val="1396664782"/>
        <w:rPr>
          <w:rFonts w:eastAsia="Times New Roman"/>
        </w:rPr>
      </w:pPr>
    </w:p>
    <w:p w:rsidR="00000000" w:rsidRDefault="00844BCF">
      <w:pPr>
        <w:jc w:val="center"/>
        <w:rPr>
          <w:rFonts w:eastAsia="Times New Roman"/>
        </w:rPr>
      </w:pPr>
      <w:r>
        <w:rPr>
          <w:rFonts w:eastAsia="Times New Roman"/>
          <w:b/>
          <w:bCs/>
          <w:color w:val="000000"/>
        </w:rPr>
        <w:t>UGI CORPORATION AND SUBSIDIARIES</w:t>
      </w:r>
    </w:p>
    <w:p w:rsidR="00000000" w:rsidRDefault="00844BCF">
      <w:pPr>
        <w:jc w:val="center"/>
        <w:divId w:val="124861536"/>
        <w:rPr>
          <w:rFonts w:eastAsia="Times New Roman"/>
        </w:rPr>
      </w:pPr>
      <w:r>
        <w:rPr>
          <w:rFonts w:eastAsia="Times New Roman"/>
          <w:b/>
          <w:bCs/>
          <w:color w:val="000000"/>
          <w:sz w:val="20"/>
          <w:szCs w:val="20"/>
        </w:rPr>
        <w:t>TABLE OF CONTENTS</w:t>
      </w:r>
    </w:p>
    <w:p w:rsidR="00000000" w:rsidRDefault="00844BCF">
      <w:pPr>
        <w:divId w:val="1023744116"/>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7569"/>
        <w:gridCol w:w="37"/>
        <w:gridCol w:w="69"/>
        <w:gridCol w:w="513"/>
        <w:gridCol w:w="36"/>
      </w:tblGrid>
      <w:tr w:rsidR="00000000">
        <w:trPr>
          <w:divId w:val="1090932154"/>
        </w:trPr>
        <w:tc>
          <w:tcPr>
            <w:tcW w:w="50" w:type="pct"/>
            <w:vAlign w:val="center"/>
            <w:hideMark/>
          </w:tcPr>
          <w:p w:rsidR="00000000" w:rsidRDefault="00844BCF">
            <w:pPr>
              <w:rPr>
                <w:rFonts w:eastAsia="Times New Roman"/>
              </w:rPr>
            </w:pPr>
          </w:p>
        </w:tc>
        <w:tc>
          <w:tcPr>
            <w:tcW w:w="457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Page</w:t>
            </w:r>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570773727"/>
              <w:rPr>
                <w:rFonts w:eastAsia="Times New Roman"/>
              </w:rPr>
            </w:pPr>
            <w:hyperlink w:anchor="i0e86e801f9b0414490bd181a9bfe7913_10" w:history="1">
              <w:r>
                <w:rPr>
                  <w:rStyle w:val="a3"/>
                  <w:rFonts w:eastAsia="Times New Roman"/>
                  <w:sz w:val="20"/>
                  <w:szCs w:val="20"/>
                </w:rPr>
                <w:t>Glossary of Terms and Abbreviations</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10" w:history="1">
              <w:r>
                <w:rPr>
                  <w:rStyle w:val="a3"/>
                  <w:rFonts w:eastAsia="Times New Roman"/>
                  <w:sz w:val="20"/>
                  <w:szCs w:val="20"/>
                </w:rPr>
                <w:t>1</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635843371"/>
              <w:rPr>
                <w:rFonts w:eastAsia="Times New Roman"/>
              </w:rPr>
            </w:pPr>
            <w:hyperlink w:anchor="i0e86e801f9b0414490bd181a9bfe7913_13" w:history="1">
              <w:r>
                <w:rPr>
                  <w:rStyle w:val="a3"/>
                  <w:rFonts w:eastAsia="Times New Roman"/>
                  <w:b/>
                  <w:bCs/>
                  <w:sz w:val="20"/>
                  <w:szCs w:val="20"/>
                </w:rPr>
                <w:t>Part I Financial Information</w:t>
              </w:r>
            </w:hyperlink>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274024036"/>
              <w:rPr>
                <w:rFonts w:eastAsia="Times New Roman"/>
              </w:rPr>
            </w:pPr>
            <w:hyperlink w:anchor="i0e86e801f9b0414490bd181a9bfe7913_13" w:history="1">
              <w:r>
                <w:rPr>
                  <w:rStyle w:val="a3"/>
                  <w:rFonts w:eastAsia="Times New Roman"/>
                  <w:sz w:val="20"/>
                  <w:szCs w:val="20"/>
                </w:rPr>
                <w:t>Item 1. Financial Statements (unaudited)</w:t>
              </w:r>
            </w:hyperlink>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311250504"/>
              <w:rPr>
                <w:rFonts w:eastAsia="Times New Roman"/>
              </w:rPr>
            </w:pPr>
            <w:hyperlink w:anchor="i0e86e801f9b0414490bd181a9bfe7913_16" w:history="1">
              <w:r>
                <w:rPr>
                  <w:rStyle w:val="a3"/>
                  <w:rFonts w:eastAsia="Times New Roman"/>
                  <w:sz w:val="20"/>
                  <w:szCs w:val="20"/>
                </w:rPr>
                <w:t xml:space="preserve">Condensed Consolidated Balance Sheets as of </w:t>
              </w:r>
            </w:hyperlink>
            <w:hyperlink w:anchor="i0e86e801f9b0414490bd181a9bfe7913_16" w:history="1">
              <w:r>
                <w:rPr>
                  <w:rStyle w:val="a3"/>
                  <w:rFonts w:eastAsia="Times New Roman"/>
                  <w:sz w:val="20"/>
                  <w:szCs w:val="20"/>
                </w:rPr>
                <w:t>March 31, 2022</w:t>
              </w:r>
            </w:hyperlink>
            <w:hyperlink w:anchor="i0e86e801f9b0414490bd181a9bfe7913_16" w:history="1">
              <w:r>
                <w:rPr>
                  <w:rStyle w:val="a3"/>
                  <w:rFonts w:eastAsia="Times New Roman"/>
                  <w:sz w:val="20"/>
                  <w:szCs w:val="20"/>
                </w:rPr>
                <w:t xml:space="preserve">, September 30, 2021 and </w:t>
              </w:r>
            </w:hyperlink>
            <w:hyperlink w:anchor="i0e86e801f9b0414490bd181a9bfe7913_16" w:history="1">
              <w:r>
                <w:rPr>
                  <w:rStyle w:val="a3"/>
                  <w:rFonts w:eastAsia="Times New Roman"/>
                  <w:sz w:val="20"/>
                  <w:szCs w:val="20"/>
                </w:rPr>
                <w:t>March</w:t>
              </w:r>
            </w:hyperlink>
            <w:hyperlink w:anchor="i0e86e801f9b0414490bd181a9bfe7913_16" w:history="1">
              <w:r>
                <w:rPr>
                  <w:rStyle w:val="a3"/>
                  <w:rFonts w:eastAsia="Times New Roman"/>
                  <w:sz w:val="20"/>
                  <w:szCs w:val="20"/>
                </w:rPr>
                <w:t xml:space="preserve"> 31, 20</w:t>
              </w:r>
            </w:hyperlink>
            <w:hyperlink w:anchor="i0e86e801f9b0414490bd181a9bfe7913_16" w:history="1">
              <w:r>
                <w:rPr>
                  <w:rStyle w:val="a3"/>
                  <w:rFonts w:eastAsia="Times New Roman"/>
                  <w:sz w:val="20"/>
                  <w:szCs w:val="20"/>
                </w:rPr>
                <w:t>21</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16" w:history="1">
              <w:r>
                <w:rPr>
                  <w:rStyle w:val="a3"/>
                  <w:rFonts w:eastAsia="Times New Roman"/>
                  <w:sz w:val="20"/>
                  <w:szCs w:val="20"/>
                </w:rPr>
                <w:t>5</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1200123521"/>
              <w:rPr>
                <w:rFonts w:eastAsia="Times New Roman"/>
              </w:rPr>
            </w:pPr>
            <w:hyperlink w:anchor="i0e86e801f9b0414490bd181a9bfe7913_19" w:history="1">
              <w:r>
                <w:rPr>
                  <w:rStyle w:val="a3"/>
                  <w:rFonts w:eastAsia="Times New Roman"/>
                  <w:sz w:val="20"/>
                  <w:szCs w:val="20"/>
                </w:rPr>
                <w:t xml:space="preserve">Condensed Consolidated Statements of Income for the three </w:t>
              </w:r>
            </w:hyperlink>
            <w:hyperlink w:anchor="i0e86e801f9b0414490bd181a9bfe7913_19" w:history="1">
              <w:r>
                <w:rPr>
                  <w:rStyle w:val="a3"/>
                  <w:rFonts w:eastAsia="Times New Roman"/>
                  <w:sz w:val="20"/>
                  <w:szCs w:val="20"/>
                </w:rPr>
                <w:t xml:space="preserve">and six </w:t>
              </w:r>
            </w:hyperlink>
            <w:hyperlink w:anchor="i0e86e801f9b0414490bd181a9bfe7913_19" w:history="1">
              <w:r>
                <w:rPr>
                  <w:rStyle w:val="a3"/>
                  <w:rFonts w:eastAsia="Times New Roman"/>
                  <w:sz w:val="20"/>
                  <w:szCs w:val="20"/>
                </w:rPr>
                <w:t>months ended</w:t>
              </w:r>
            </w:hyperlink>
            <w:hyperlink w:anchor="i0e86e801f9b0414490bd181a9bfe7913_19" w:history="1">
              <w:r>
                <w:rPr>
                  <w:rStyle w:val="a3"/>
                  <w:rFonts w:eastAsia="Times New Roman"/>
                  <w:sz w:val="20"/>
                  <w:szCs w:val="20"/>
                </w:rPr>
                <w:t xml:space="preserve"> March </w:t>
              </w:r>
            </w:hyperlink>
            <w:hyperlink w:anchor="i0e86e801f9b0414490bd181a9bfe7913_19" w:history="1">
              <w:r>
                <w:rPr>
                  <w:rStyle w:val="a3"/>
                  <w:rFonts w:eastAsia="Times New Roman"/>
                  <w:sz w:val="20"/>
                  <w:szCs w:val="20"/>
                </w:rPr>
                <w:t>31, 202</w:t>
              </w:r>
            </w:hyperlink>
            <w:hyperlink w:anchor="i0e86e801f9b0414490bd181a9bfe7913_19" w:history="1">
              <w:r>
                <w:rPr>
                  <w:rStyle w:val="a3"/>
                  <w:rFonts w:eastAsia="Times New Roman"/>
                  <w:sz w:val="20"/>
                  <w:szCs w:val="20"/>
                </w:rPr>
                <w:t>2</w:t>
              </w:r>
            </w:hyperlink>
            <w:hyperlink w:anchor="i0e86e801f9b0414490bd181a9bfe7913_19" w:history="1">
              <w:r>
                <w:rPr>
                  <w:rStyle w:val="a3"/>
                  <w:rFonts w:eastAsia="Times New Roman"/>
                  <w:sz w:val="20"/>
                  <w:szCs w:val="20"/>
                </w:rPr>
                <w:t xml:space="preserve"> and 2</w:t>
              </w:r>
              <w:r>
                <w:rPr>
                  <w:rStyle w:val="a3"/>
                  <w:rFonts w:eastAsia="Times New Roman"/>
                  <w:sz w:val="20"/>
                  <w:szCs w:val="20"/>
                </w:rPr>
                <w:t>0</w:t>
              </w:r>
            </w:hyperlink>
            <w:hyperlink w:anchor="i0e86e801f9b0414490bd181a9bfe7913_19" w:history="1">
              <w:r>
                <w:rPr>
                  <w:rStyle w:val="a3"/>
                  <w:rFonts w:eastAsia="Times New Roman"/>
                  <w:sz w:val="20"/>
                  <w:szCs w:val="20"/>
                </w:rPr>
                <w:t>21</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19" w:history="1">
              <w:r>
                <w:rPr>
                  <w:rStyle w:val="a3"/>
                  <w:rFonts w:eastAsia="Times New Roman"/>
                  <w:sz w:val="20"/>
                  <w:szCs w:val="20"/>
                </w:rPr>
                <w:t>6</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1848710796"/>
              <w:rPr>
                <w:rFonts w:eastAsia="Times New Roman"/>
              </w:rPr>
            </w:pPr>
            <w:hyperlink w:anchor="i0e86e801f9b0414490bd181a9bfe7913_22" w:history="1">
              <w:r>
                <w:rPr>
                  <w:rStyle w:val="a3"/>
                  <w:rFonts w:eastAsia="Times New Roman"/>
                  <w:sz w:val="20"/>
                  <w:szCs w:val="20"/>
                </w:rPr>
                <w:t>Condensed Consolidated Statements of Comprehensive Income for the three</w:t>
              </w:r>
            </w:hyperlink>
            <w:hyperlink w:anchor="i0e86e801f9b0414490bd181a9bfe7913_22" w:history="1">
              <w:r>
                <w:rPr>
                  <w:rStyle w:val="a3"/>
                  <w:rFonts w:eastAsia="Times New Roman"/>
                  <w:sz w:val="20"/>
                  <w:szCs w:val="20"/>
                </w:rPr>
                <w:t xml:space="preserve"> and six</w:t>
              </w:r>
            </w:hyperlink>
            <w:hyperlink w:anchor="i0e86e801f9b0414490bd181a9bfe7913_22" w:history="1">
              <w:r>
                <w:rPr>
                  <w:rStyle w:val="a3"/>
                  <w:rFonts w:eastAsia="Times New Roman"/>
                  <w:sz w:val="20"/>
                  <w:szCs w:val="20"/>
                </w:rPr>
                <w:t xml:space="preserve"> months ended </w:t>
              </w:r>
            </w:hyperlink>
            <w:hyperlink w:anchor="i0e86e801f9b0414490bd181a9bfe7913_22" w:history="1">
              <w:r>
                <w:rPr>
                  <w:rStyle w:val="a3"/>
                  <w:rFonts w:eastAsia="Times New Roman"/>
                  <w:sz w:val="20"/>
                  <w:szCs w:val="20"/>
                </w:rPr>
                <w:t>March</w:t>
              </w:r>
            </w:hyperlink>
            <w:hyperlink w:anchor="i0e86e801f9b0414490bd181a9bfe7913_22" w:history="1">
              <w:r>
                <w:rPr>
                  <w:rStyle w:val="a3"/>
                  <w:rFonts w:eastAsia="Times New Roman"/>
                  <w:sz w:val="20"/>
                  <w:szCs w:val="20"/>
                </w:rPr>
                <w:t xml:space="preserve"> 31, 202</w:t>
              </w:r>
            </w:hyperlink>
            <w:hyperlink w:anchor="i0e86e801f9b0414490bd181a9bfe7913_22" w:history="1">
              <w:r>
                <w:rPr>
                  <w:rStyle w:val="a3"/>
                  <w:rFonts w:eastAsia="Times New Roman"/>
                  <w:sz w:val="20"/>
                  <w:szCs w:val="20"/>
                </w:rPr>
                <w:t>2</w:t>
              </w:r>
            </w:hyperlink>
            <w:hyperlink w:anchor="i0e86e801f9b0414490bd181a9bfe7913_22" w:history="1">
              <w:r>
                <w:rPr>
                  <w:rStyle w:val="a3"/>
                  <w:rFonts w:eastAsia="Times New Roman"/>
                  <w:sz w:val="20"/>
                  <w:szCs w:val="20"/>
                </w:rPr>
                <w:t xml:space="preserve"> and 2</w:t>
              </w:r>
              <w:r>
                <w:rPr>
                  <w:rStyle w:val="a3"/>
                  <w:rFonts w:eastAsia="Times New Roman"/>
                  <w:sz w:val="20"/>
                  <w:szCs w:val="20"/>
                </w:rPr>
                <w:t>0</w:t>
              </w:r>
            </w:hyperlink>
            <w:hyperlink w:anchor="i0e86e801f9b0414490bd181a9bfe7913_22" w:history="1">
              <w:r>
                <w:rPr>
                  <w:rStyle w:val="a3"/>
                  <w:rFonts w:eastAsia="Times New Roman"/>
                  <w:sz w:val="20"/>
                  <w:szCs w:val="20"/>
                </w:rPr>
                <w:t>21</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22" w:history="1">
              <w:r>
                <w:rPr>
                  <w:rStyle w:val="a3"/>
                  <w:rFonts w:eastAsia="Times New Roman"/>
                  <w:sz w:val="20"/>
                  <w:szCs w:val="20"/>
                </w:rPr>
                <w:t>7</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204372278"/>
              <w:rPr>
                <w:rFonts w:eastAsia="Times New Roman"/>
              </w:rPr>
            </w:pPr>
            <w:hyperlink w:anchor="i0e86e801f9b0414490bd181a9bfe7913_25" w:history="1">
              <w:r>
                <w:rPr>
                  <w:rStyle w:val="a3"/>
                  <w:rFonts w:eastAsia="Times New Roman"/>
                  <w:sz w:val="20"/>
                  <w:szCs w:val="20"/>
                </w:rPr>
                <w:t xml:space="preserve">Condensed Consolidated Statements of Cash Flows for the </w:t>
              </w:r>
            </w:hyperlink>
            <w:hyperlink w:anchor="i0e86e801f9b0414490bd181a9bfe7913_25" w:history="1">
              <w:r>
                <w:rPr>
                  <w:rStyle w:val="a3"/>
                  <w:rFonts w:eastAsia="Times New Roman"/>
                  <w:sz w:val="20"/>
                  <w:szCs w:val="20"/>
                </w:rPr>
                <w:t>six</w:t>
              </w:r>
            </w:hyperlink>
            <w:hyperlink w:anchor="i0e86e801f9b0414490bd181a9bfe7913_25" w:history="1">
              <w:r>
                <w:rPr>
                  <w:rStyle w:val="a3"/>
                  <w:rFonts w:eastAsia="Times New Roman"/>
                  <w:sz w:val="20"/>
                  <w:szCs w:val="20"/>
                </w:rPr>
                <w:t xml:space="preserve"> months ended </w:t>
              </w:r>
            </w:hyperlink>
            <w:hyperlink w:anchor="i0e86e801f9b0414490bd181a9bfe7913_25" w:history="1">
              <w:r>
                <w:rPr>
                  <w:rStyle w:val="a3"/>
                  <w:rFonts w:eastAsia="Times New Roman"/>
                  <w:sz w:val="20"/>
                  <w:szCs w:val="20"/>
                </w:rPr>
                <w:t>March</w:t>
              </w:r>
            </w:hyperlink>
            <w:hyperlink w:anchor="i0e86e801f9b0414490bd181a9bfe7913_25" w:history="1">
              <w:r>
                <w:rPr>
                  <w:rStyle w:val="a3"/>
                  <w:rFonts w:eastAsia="Times New Roman"/>
                  <w:sz w:val="20"/>
                  <w:szCs w:val="20"/>
                </w:rPr>
                <w:t xml:space="preserve"> 31</w:t>
              </w:r>
              <w:r>
                <w:rPr>
                  <w:rStyle w:val="a3"/>
                  <w:rFonts w:eastAsia="Times New Roman"/>
                  <w:sz w:val="20"/>
                  <w:szCs w:val="20"/>
                </w:rPr>
                <w:t>, 202</w:t>
              </w:r>
            </w:hyperlink>
            <w:hyperlink w:anchor="i0e86e801f9b0414490bd181a9bfe7913_25" w:history="1">
              <w:r>
                <w:rPr>
                  <w:rStyle w:val="a3"/>
                  <w:rFonts w:eastAsia="Times New Roman"/>
                  <w:sz w:val="20"/>
                  <w:szCs w:val="20"/>
                </w:rPr>
                <w:t>2</w:t>
              </w:r>
            </w:hyperlink>
            <w:hyperlink w:anchor="i0e86e801f9b0414490bd181a9bfe7913_25" w:history="1">
              <w:r>
                <w:rPr>
                  <w:rStyle w:val="a3"/>
                  <w:rFonts w:eastAsia="Times New Roman"/>
                  <w:sz w:val="20"/>
                  <w:szCs w:val="20"/>
                </w:rPr>
                <w:t xml:space="preserve"> and 20</w:t>
              </w:r>
            </w:hyperlink>
            <w:hyperlink w:anchor="i0e86e801f9b0414490bd181a9bfe7913_25" w:history="1">
              <w:r>
                <w:rPr>
                  <w:rStyle w:val="a3"/>
                  <w:rFonts w:eastAsia="Times New Roman"/>
                  <w:sz w:val="20"/>
                  <w:szCs w:val="20"/>
                </w:rPr>
                <w:t>21</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25" w:history="1">
              <w:r>
                <w:rPr>
                  <w:rStyle w:val="a3"/>
                  <w:rFonts w:eastAsia="Times New Roman"/>
                  <w:sz w:val="20"/>
                  <w:szCs w:val="20"/>
                </w:rPr>
                <w:t>8</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686521614"/>
              <w:rPr>
                <w:rFonts w:eastAsia="Times New Roman"/>
              </w:rPr>
            </w:pPr>
            <w:hyperlink w:anchor="i0e86e801f9b0414490bd181a9bfe7913_28" w:history="1">
              <w:r>
                <w:rPr>
                  <w:rStyle w:val="a3"/>
                  <w:rFonts w:eastAsia="Times New Roman"/>
                  <w:sz w:val="20"/>
                  <w:szCs w:val="20"/>
                </w:rPr>
                <w:t>Condensed Consolidated Statements of Changes in Equity for the three</w:t>
              </w:r>
            </w:hyperlink>
            <w:hyperlink w:anchor="i0e86e801f9b0414490bd181a9bfe7913_28" w:history="1">
              <w:r>
                <w:rPr>
                  <w:rStyle w:val="a3"/>
                  <w:rFonts w:eastAsia="Times New Roman"/>
                  <w:sz w:val="20"/>
                  <w:szCs w:val="20"/>
                </w:rPr>
                <w:t xml:space="preserve"> and six</w:t>
              </w:r>
            </w:hyperlink>
            <w:hyperlink w:anchor="i0e86e801f9b0414490bd181a9bfe7913_28" w:history="1">
              <w:r>
                <w:rPr>
                  <w:rStyle w:val="a3"/>
                  <w:rFonts w:eastAsia="Times New Roman"/>
                  <w:sz w:val="20"/>
                  <w:szCs w:val="20"/>
                </w:rPr>
                <w:t xml:space="preserve"> months ended </w:t>
              </w:r>
            </w:hyperlink>
            <w:hyperlink w:anchor="i0e86e801f9b0414490bd181a9bfe7913_28" w:history="1">
              <w:r>
                <w:rPr>
                  <w:rStyle w:val="a3"/>
                  <w:rFonts w:eastAsia="Times New Roman"/>
                  <w:sz w:val="20"/>
                  <w:szCs w:val="20"/>
                </w:rPr>
                <w:t>March</w:t>
              </w:r>
            </w:hyperlink>
            <w:hyperlink w:anchor="i0e86e801f9b0414490bd181a9bfe7913_28" w:history="1">
              <w:r>
                <w:rPr>
                  <w:rStyle w:val="a3"/>
                  <w:rFonts w:eastAsia="Times New Roman"/>
                  <w:sz w:val="20"/>
                  <w:szCs w:val="20"/>
                </w:rPr>
                <w:t xml:space="preserve"> 31, 202</w:t>
              </w:r>
            </w:hyperlink>
            <w:hyperlink w:anchor="i0e86e801f9b0414490bd181a9bfe7913_28" w:history="1">
              <w:r>
                <w:rPr>
                  <w:rStyle w:val="a3"/>
                  <w:rFonts w:eastAsia="Times New Roman"/>
                  <w:sz w:val="20"/>
                  <w:szCs w:val="20"/>
                </w:rPr>
                <w:t>2</w:t>
              </w:r>
            </w:hyperlink>
            <w:hyperlink w:anchor="i0e86e801f9b0414490bd181a9bfe7913_28" w:history="1">
              <w:r>
                <w:rPr>
                  <w:rStyle w:val="a3"/>
                  <w:rFonts w:eastAsia="Times New Roman"/>
                  <w:sz w:val="20"/>
                  <w:szCs w:val="20"/>
                </w:rPr>
                <w:t xml:space="preserve"> and 20</w:t>
              </w:r>
            </w:hyperlink>
            <w:hyperlink w:anchor="i0e86e801f9b0414490bd181a9bfe7913_28" w:history="1">
              <w:r>
                <w:rPr>
                  <w:rStyle w:val="a3"/>
                  <w:rFonts w:eastAsia="Times New Roman"/>
                  <w:sz w:val="20"/>
                  <w:szCs w:val="20"/>
                </w:rPr>
                <w:t>21</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28" w:history="1">
              <w:r>
                <w:rPr>
                  <w:rStyle w:val="a3"/>
                  <w:rFonts w:eastAsia="Times New Roman"/>
                  <w:sz w:val="20"/>
                  <w:szCs w:val="20"/>
                </w:rPr>
                <w:t>9</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801852811"/>
              <w:rPr>
                <w:rFonts w:eastAsia="Times New Roman"/>
              </w:rPr>
            </w:pPr>
            <w:hyperlink w:anchor="i0e86e801f9b0414490bd181a9bfe7913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31" w:history="1">
              <w:r>
                <w:rPr>
                  <w:rStyle w:val="a3"/>
                  <w:rFonts w:eastAsia="Times New Roman"/>
                  <w:sz w:val="20"/>
                  <w:szCs w:val="20"/>
                </w:rPr>
                <w:t>10</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1629168793"/>
              <w:rPr>
                <w:rFonts w:eastAsia="Times New Roman"/>
              </w:rPr>
            </w:pPr>
            <w:hyperlink w:anchor="i0e86e801f9b0414490bd181a9bfe7913_85" w:history="1">
              <w:r>
                <w:rPr>
                  <w:rStyle w:val="a3"/>
                  <w:rFonts w:eastAsia="Times New Roman"/>
                  <w:sz w:val="20"/>
                  <w:szCs w:val="20"/>
                </w:rPr>
                <w:t>Item 2. Management’</w:t>
              </w:r>
              <w:r>
                <w:rPr>
                  <w:rStyle w:val="a3"/>
                  <w:rFonts w:eastAsia="Times New Roman"/>
                  <w:sz w:val="20"/>
                  <w:szCs w:val="20"/>
                </w:rPr>
                <w: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85" w:history="1">
              <w:r>
                <w:rPr>
                  <w:rStyle w:val="a3"/>
                  <w:rFonts w:eastAsia="Times New Roman"/>
                  <w:sz w:val="20"/>
                  <w:szCs w:val="20"/>
                </w:rPr>
                <w:t>34</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59717091"/>
              <w:rPr>
                <w:rFonts w:eastAsia="Times New Roman"/>
              </w:rPr>
            </w:pPr>
            <w:hyperlink w:anchor="i0e86e801f9b0414490bd181a9bfe7913_94" w:history="1">
              <w:r>
                <w:rPr>
                  <w:rStyle w:val="a3"/>
                  <w:rFonts w:eastAsia="Times New Roman"/>
                  <w:sz w:val="20"/>
                  <w:szCs w:val="20"/>
                </w:rPr>
                <w:t>Item 3. Quantitative and Qualitative Disclosures About Market Risk</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94" w:history="1">
              <w:r>
                <w:rPr>
                  <w:rStyle w:val="a3"/>
                  <w:rFonts w:eastAsia="Times New Roman"/>
                  <w:sz w:val="20"/>
                  <w:szCs w:val="20"/>
                </w:rPr>
                <w:t>51</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1726754800"/>
              <w:rPr>
                <w:rFonts w:eastAsia="Times New Roman"/>
              </w:rPr>
            </w:pPr>
            <w:hyperlink w:anchor="i0e86e801f9b0414490bd181a9bfe7913_97" w:history="1">
              <w:r>
                <w:rPr>
                  <w:rStyle w:val="a3"/>
                  <w:rFonts w:eastAsia="Times New Roman"/>
                  <w:sz w:val="20"/>
                  <w:szCs w:val="20"/>
                </w:rPr>
                <w:t>Item 4. Controls and Procedures</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97" w:history="1">
              <w:r>
                <w:rPr>
                  <w:rStyle w:val="a3"/>
                  <w:rFonts w:eastAsia="Times New Roman"/>
                  <w:sz w:val="20"/>
                  <w:szCs w:val="20"/>
                </w:rPr>
                <w:t>53</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788207371"/>
              <w:rPr>
                <w:rFonts w:eastAsia="Times New Roman"/>
              </w:rPr>
            </w:pPr>
            <w:hyperlink w:anchor="i0e86e801f9b0414490bd181a9bfe7913_100" w:history="1">
              <w:r>
                <w:rPr>
                  <w:rStyle w:val="a3"/>
                  <w:rFonts w:eastAsia="Times New Roman"/>
                  <w:b/>
                  <w:bCs/>
                  <w:sz w:val="20"/>
                  <w:szCs w:val="20"/>
                </w:rPr>
                <w:t>Part II Other Information</w:t>
              </w:r>
            </w:hyperlink>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483089722"/>
              <w:rPr>
                <w:rFonts w:eastAsia="Times New Roman"/>
              </w:rPr>
            </w:pPr>
            <w:hyperlink w:anchor="i0e86e801f9b0414490bd181a9bfe7913_103"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103" w:history="1">
              <w:r>
                <w:rPr>
                  <w:rStyle w:val="a3"/>
                  <w:rFonts w:eastAsia="Times New Roman"/>
                  <w:sz w:val="20"/>
                  <w:szCs w:val="20"/>
                </w:rPr>
                <w:t>54</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781530798"/>
              <w:rPr>
                <w:rFonts w:eastAsia="Times New Roman"/>
              </w:rPr>
            </w:pPr>
            <w:hyperlink w:anchor="i0e86e801f9b0414490bd181a9bfe7913_106" w:history="1">
              <w:r>
                <w:rPr>
                  <w:rStyle w:val="a3"/>
                  <w:rFonts w:eastAsia="Times New Roman"/>
                  <w:sz w:val="20"/>
                  <w:szCs w:val="20"/>
                </w:rPr>
                <w:t>Item 6. Exhibits</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106" w:history="1">
              <w:r>
                <w:rPr>
                  <w:rStyle w:val="a3"/>
                  <w:rFonts w:eastAsia="Times New Roman"/>
                  <w:sz w:val="20"/>
                  <w:szCs w:val="20"/>
                </w:rPr>
                <w:t>56</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90932154"/>
        </w:trPr>
        <w:tc>
          <w:tcPr>
            <w:tcW w:w="0" w:type="auto"/>
            <w:gridSpan w:val="3"/>
            <w:tcMar>
              <w:top w:w="30" w:type="dxa"/>
              <w:left w:w="20" w:type="dxa"/>
              <w:bottom w:w="30" w:type="dxa"/>
              <w:right w:w="20" w:type="dxa"/>
            </w:tcMar>
            <w:hideMark/>
          </w:tcPr>
          <w:p w:rsidR="00000000" w:rsidRDefault="00844BCF">
            <w:pPr>
              <w:spacing w:after="100"/>
              <w:divId w:val="1384332107"/>
              <w:rPr>
                <w:rFonts w:eastAsia="Times New Roman"/>
              </w:rPr>
            </w:pPr>
            <w:hyperlink w:anchor="i0e86e801f9b0414490bd181a9bfe7913_112" w:history="1">
              <w:r>
                <w:rPr>
                  <w:rStyle w:val="a3"/>
                  <w:rFonts w:eastAsia="Times New Roman"/>
                  <w:sz w:val="20"/>
                  <w:szCs w:val="20"/>
                </w:rPr>
                <w:t>Signatures</w:t>
              </w:r>
            </w:hyperlink>
          </w:p>
        </w:tc>
        <w:tc>
          <w:tcPr>
            <w:tcW w:w="0" w:type="auto"/>
            <w:gridSpan w:val="3"/>
            <w:tcMar>
              <w:top w:w="30" w:type="dxa"/>
              <w:left w:w="20" w:type="dxa"/>
              <w:bottom w:w="30" w:type="dxa"/>
              <w:right w:w="20" w:type="dxa"/>
            </w:tcMar>
            <w:hideMark/>
          </w:tcPr>
          <w:p w:rsidR="00000000" w:rsidRDefault="00844BCF">
            <w:pPr>
              <w:spacing w:after="100"/>
              <w:jc w:val="right"/>
              <w:rPr>
                <w:rFonts w:eastAsia="Times New Roman"/>
              </w:rPr>
            </w:pPr>
            <w:hyperlink w:anchor="i0e86e801f9b0414490bd181a9bfe7913_112" w:history="1">
              <w:r>
                <w:rPr>
                  <w:rStyle w:val="a3"/>
                  <w:rFonts w:eastAsia="Times New Roman"/>
                  <w:sz w:val="20"/>
                  <w:szCs w:val="20"/>
                </w:rPr>
                <w:t>58</w:t>
              </w:r>
            </w:hyperlink>
          </w:p>
        </w:tc>
      </w:tr>
      <w:tr w:rsidR="00000000">
        <w:trPr>
          <w:divId w:val="1090932154"/>
          <w:trHeight w:val="6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bl>
    <w:p w:rsidR="00000000" w:rsidRDefault="00844BCF">
      <w:pPr>
        <w:jc w:val="center"/>
        <w:divId w:val="66002872"/>
        <w:rPr>
          <w:rFonts w:eastAsia="Times New Roman"/>
        </w:rPr>
      </w:pPr>
      <w:r>
        <w:rPr>
          <w:rFonts w:eastAsia="Times New Roman"/>
          <w:color w:val="000000"/>
          <w:sz w:val="20"/>
          <w:szCs w:val="20"/>
        </w:rPr>
        <w:t>i</w:t>
      </w:r>
    </w:p>
    <w:p w:rsidR="00000000" w:rsidRDefault="00844BCF">
      <w:pPr>
        <w:rPr>
          <w:rFonts w:eastAsia="Times New Roman"/>
        </w:rPr>
      </w:pPr>
      <w:r>
        <w:rPr>
          <w:rFonts w:eastAsia="Times New Roman"/>
        </w:rPr>
        <w:pict>
          <v:rect id="_x0000_i1026" style="width:0;height:1.5pt" o:hralign="center" o:hrstd="t" o:hr="t" fillcolor="#a0a0a0" stroked="f"/>
        </w:pict>
      </w:r>
    </w:p>
    <w:p w:rsidR="00000000" w:rsidRDefault="00844BCF">
      <w:pPr>
        <w:divId w:val="660499974"/>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2051493360"/>
        <w:rPr>
          <w:rFonts w:eastAsia="Times New Roman"/>
        </w:rPr>
      </w:pPr>
    </w:p>
    <w:p w:rsidR="00000000" w:rsidRDefault="00844BCF">
      <w:pPr>
        <w:divId w:val="2147113813"/>
        <w:rPr>
          <w:rFonts w:eastAsia="Times New Roman"/>
        </w:rPr>
      </w:pPr>
    </w:p>
    <w:p w:rsidR="00000000" w:rsidRDefault="00844BCF">
      <w:pPr>
        <w:jc w:val="center"/>
        <w:rPr>
          <w:rFonts w:eastAsia="Times New Roman"/>
        </w:rPr>
      </w:pPr>
      <w:r>
        <w:rPr>
          <w:rFonts w:eastAsia="Times New Roman"/>
          <w:b/>
          <w:bCs/>
          <w:color w:val="000000"/>
          <w:sz w:val="20"/>
          <w:szCs w:val="20"/>
        </w:rPr>
        <w:t>GLOSSARY OF TERMS AND ABBREVIATIONS</w:t>
      </w:r>
    </w:p>
    <w:p w:rsidR="00000000" w:rsidRDefault="00844BCF">
      <w:pPr>
        <w:divId w:val="516382353"/>
        <w:rPr>
          <w:rFonts w:eastAsia="Times New Roman"/>
        </w:rPr>
      </w:pPr>
    </w:p>
    <w:p w:rsidR="00000000" w:rsidRDefault="00844BCF">
      <w:pPr>
        <w:divId w:val="365520344"/>
        <w:rPr>
          <w:rFonts w:eastAsia="Times New Roman"/>
        </w:rPr>
      </w:pPr>
      <w:r>
        <w:rPr>
          <w:rFonts w:eastAsia="Times New Roman"/>
          <w:color w:val="000000"/>
          <w:sz w:val="20"/>
          <w:szCs w:val="20"/>
        </w:rPr>
        <w:t>Terms and abbreviations used in this Form 10-Q are defined below:</w:t>
      </w:r>
    </w:p>
    <w:p w:rsidR="00000000" w:rsidRDefault="00844BCF">
      <w:pPr>
        <w:divId w:val="1204563181"/>
        <w:rPr>
          <w:rFonts w:eastAsia="Times New Roman"/>
        </w:rPr>
      </w:pPr>
    </w:p>
    <w:p w:rsidR="00000000" w:rsidRDefault="00844BCF">
      <w:pPr>
        <w:jc w:val="center"/>
        <w:rPr>
          <w:rFonts w:eastAsia="Times New Roman"/>
        </w:rPr>
      </w:pPr>
      <w:r>
        <w:rPr>
          <w:rFonts w:eastAsia="Times New Roman"/>
          <w:b/>
          <w:bCs/>
          <w:i/>
          <w:iCs/>
          <w:color w:val="000000"/>
          <w:sz w:val="20"/>
          <w:szCs w:val="20"/>
          <w:u w:val="single"/>
        </w:rPr>
        <w:t>UGI Corporation and Related Entities</w:t>
      </w:r>
    </w:p>
    <w:p w:rsidR="00000000" w:rsidRDefault="00844BCF">
      <w:pPr>
        <w:jc w:val="center"/>
        <w:rPr>
          <w:rFonts w:eastAsia="Times New Roman"/>
        </w:rPr>
      </w:pPr>
    </w:p>
    <w:p w:rsidR="00000000" w:rsidRDefault="00844BCF">
      <w:pPr>
        <w:jc w:val="both"/>
        <w:divId w:val="71902916"/>
        <w:rPr>
          <w:rFonts w:eastAsia="Times New Roman"/>
        </w:rPr>
      </w:pPr>
      <w:r>
        <w:rPr>
          <w:rFonts w:eastAsia="Times New Roman"/>
          <w:b/>
          <w:bCs/>
          <w:i/>
          <w:iCs/>
          <w:color w:val="000000"/>
          <w:sz w:val="20"/>
          <w:szCs w:val="20"/>
        </w:rPr>
        <w:t xml:space="preserve">AmeriGas OLP - </w:t>
      </w:r>
      <w:r>
        <w:rPr>
          <w:rFonts w:eastAsia="Times New Roman"/>
          <w:color w:val="000000"/>
          <w:sz w:val="20"/>
          <w:szCs w:val="20"/>
        </w:rPr>
        <w:t>AmeriGas Propane, L.P., the principal operating subsidiary of AmeriGas Partners</w:t>
      </w:r>
    </w:p>
    <w:p w:rsidR="00000000" w:rsidRDefault="00844BCF">
      <w:pPr>
        <w:jc w:val="both"/>
        <w:divId w:val="793910566"/>
        <w:rPr>
          <w:rFonts w:eastAsia="Times New Roman"/>
        </w:rPr>
      </w:pPr>
      <w:r>
        <w:rPr>
          <w:rFonts w:eastAsia="Times New Roman"/>
          <w:b/>
          <w:bCs/>
          <w:i/>
          <w:iCs/>
          <w:color w:val="000000"/>
          <w:sz w:val="20"/>
          <w:szCs w:val="20"/>
        </w:rPr>
        <w:t>AmeriGas Partners -</w:t>
      </w:r>
      <w:r>
        <w:rPr>
          <w:rFonts w:eastAsia="Times New Roman"/>
          <w:color w:val="000000"/>
          <w:sz w:val="20"/>
          <w:szCs w:val="20"/>
        </w:rPr>
        <w:t xml:space="preserve"> AmeriGas Partners, L.P., a Delawar</w:t>
      </w:r>
      <w:r>
        <w:rPr>
          <w:rFonts w:eastAsia="Times New Roman"/>
          <w:color w:val="000000"/>
          <w:sz w:val="20"/>
          <w:szCs w:val="20"/>
        </w:rPr>
        <w:t>e limited partnership and an indirect wholly-owned subsidiary of UGI; also referred to as the “Partnership”</w:t>
      </w:r>
    </w:p>
    <w:p w:rsidR="00000000" w:rsidRDefault="00844BCF">
      <w:pPr>
        <w:jc w:val="both"/>
        <w:divId w:val="1416170980"/>
        <w:rPr>
          <w:rFonts w:eastAsia="Times New Roman"/>
        </w:rPr>
      </w:pPr>
      <w:r>
        <w:rPr>
          <w:rFonts w:eastAsia="Times New Roman"/>
          <w:b/>
          <w:bCs/>
          <w:i/>
          <w:iCs/>
          <w:color w:val="000000"/>
          <w:sz w:val="20"/>
          <w:szCs w:val="20"/>
        </w:rPr>
        <w:t>AmeriGas Propane -</w:t>
      </w:r>
      <w:r>
        <w:rPr>
          <w:rFonts w:eastAsia="Times New Roman"/>
          <w:color w:val="000000"/>
          <w:sz w:val="20"/>
          <w:szCs w:val="20"/>
        </w:rPr>
        <w:t xml:space="preserve"> Reportable segment comprising AmeriGas Propane, Inc. and its subsidiaries, including AmeriGas Partners and AmeriGas OLP</w:t>
      </w:r>
    </w:p>
    <w:p w:rsidR="00000000" w:rsidRDefault="00844BCF">
      <w:pPr>
        <w:jc w:val="both"/>
        <w:divId w:val="1935746633"/>
        <w:rPr>
          <w:rFonts w:eastAsia="Times New Roman"/>
        </w:rPr>
      </w:pPr>
      <w:r>
        <w:rPr>
          <w:rFonts w:eastAsia="Times New Roman"/>
          <w:b/>
          <w:bCs/>
          <w:i/>
          <w:iCs/>
          <w:color w:val="000000"/>
          <w:sz w:val="20"/>
          <w:szCs w:val="20"/>
        </w:rPr>
        <w:t xml:space="preserve">AmeriGas </w:t>
      </w:r>
      <w:r>
        <w:rPr>
          <w:rFonts w:eastAsia="Times New Roman"/>
          <w:b/>
          <w:bCs/>
          <w:i/>
          <w:iCs/>
          <w:color w:val="000000"/>
          <w:sz w:val="20"/>
          <w:szCs w:val="20"/>
        </w:rPr>
        <w:t>Propane, Inc. -</w:t>
      </w:r>
      <w:r>
        <w:rPr>
          <w:rFonts w:eastAsia="Times New Roman"/>
          <w:color w:val="000000"/>
          <w:sz w:val="20"/>
          <w:szCs w:val="20"/>
        </w:rPr>
        <w:t xml:space="preserve"> A wholly owned second-tier subsidiary of UGI and the general partner of AmeriGas Partners</w:t>
      </w:r>
    </w:p>
    <w:p w:rsidR="00000000" w:rsidRDefault="00844BCF">
      <w:pPr>
        <w:jc w:val="both"/>
        <w:divId w:val="1366758099"/>
        <w:rPr>
          <w:rFonts w:eastAsia="Times New Roman"/>
        </w:rPr>
      </w:pPr>
      <w:r>
        <w:rPr>
          <w:rFonts w:eastAsia="Times New Roman"/>
          <w:b/>
          <w:bCs/>
          <w:i/>
          <w:iCs/>
          <w:color w:val="000000"/>
          <w:sz w:val="20"/>
          <w:szCs w:val="20"/>
        </w:rPr>
        <w:t>AvantiGas -</w:t>
      </w:r>
      <w:r>
        <w:rPr>
          <w:rFonts w:eastAsia="Times New Roman"/>
          <w:color w:val="000000"/>
          <w:sz w:val="20"/>
          <w:szCs w:val="20"/>
        </w:rPr>
        <w:t xml:space="preserve"> AvantiGas Limited, an indirect wholly owned subsidiary of UGI International, LLC</w:t>
      </w:r>
    </w:p>
    <w:p w:rsidR="00000000" w:rsidRDefault="00844BCF">
      <w:pPr>
        <w:jc w:val="both"/>
        <w:divId w:val="906914422"/>
        <w:rPr>
          <w:rFonts w:eastAsia="Times New Roman"/>
        </w:rPr>
      </w:pPr>
      <w:r>
        <w:rPr>
          <w:rFonts w:eastAsia="Times New Roman"/>
          <w:b/>
          <w:bCs/>
          <w:i/>
          <w:iCs/>
          <w:color w:val="000000"/>
          <w:sz w:val="20"/>
          <w:szCs w:val="20"/>
        </w:rPr>
        <w:t>Company -</w:t>
      </w:r>
      <w:r>
        <w:rPr>
          <w:rFonts w:eastAsia="Times New Roman"/>
          <w:color w:val="000000"/>
          <w:sz w:val="20"/>
          <w:szCs w:val="20"/>
        </w:rPr>
        <w:t xml:space="preserve"> UGI and its consolidated subsidiaries collectiv</w:t>
      </w:r>
      <w:r>
        <w:rPr>
          <w:rFonts w:eastAsia="Times New Roman"/>
          <w:color w:val="000000"/>
          <w:sz w:val="20"/>
          <w:szCs w:val="20"/>
        </w:rPr>
        <w:t>ely</w:t>
      </w:r>
    </w:p>
    <w:p w:rsidR="00000000" w:rsidRDefault="00844BCF">
      <w:pPr>
        <w:jc w:val="both"/>
        <w:divId w:val="1206797824"/>
        <w:rPr>
          <w:rFonts w:eastAsia="Times New Roman"/>
        </w:rPr>
      </w:pPr>
      <w:r>
        <w:rPr>
          <w:rFonts w:eastAsia="Times New Roman"/>
          <w:b/>
          <w:bCs/>
          <w:i/>
          <w:iCs/>
          <w:color w:val="000000"/>
          <w:sz w:val="20"/>
          <w:szCs w:val="20"/>
        </w:rPr>
        <w:t>DVEP -</w:t>
      </w:r>
      <w:r>
        <w:rPr>
          <w:rFonts w:eastAsia="Times New Roman"/>
          <w:color w:val="000000"/>
          <w:sz w:val="20"/>
          <w:szCs w:val="20"/>
        </w:rPr>
        <w:t xml:space="preserve"> DVEP Investeringen B.V., an indirect wholly owned subsidiary of UGI International, LLC</w:t>
      </w:r>
    </w:p>
    <w:p w:rsidR="00000000" w:rsidRDefault="00844BCF">
      <w:pPr>
        <w:jc w:val="both"/>
        <w:divId w:val="118113124"/>
        <w:rPr>
          <w:rFonts w:eastAsia="Times New Roman"/>
        </w:rPr>
      </w:pPr>
      <w:r>
        <w:rPr>
          <w:rFonts w:eastAsia="Times New Roman"/>
          <w:b/>
          <w:bCs/>
          <w:i/>
          <w:iCs/>
          <w:color w:val="000000"/>
          <w:sz w:val="20"/>
          <w:szCs w:val="20"/>
        </w:rPr>
        <w:t>Electric Utility -</w:t>
      </w:r>
      <w:r>
        <w:rPr>
          <w:rFonts w:eastAsia="Times New Roman"/>
          <w:color w:val="000000"/>
          <w:sz w:val="20"/>
          <w:szCs w:val="20"/>
        </w:rPr>
        <w:t xml:space="preserve"> UGI Utilities’ regulated electric distribution utility located in Pennsylvania</w:t>
      </w:r>
    </w:p>
    <w:p w:rsidR="00000000" w:rsidRDefault="00844BCF">
      <w:pPr>
        <w:jc w:val="both"/>
        <w:divId w:val="2118137058"/>
        <w:rPr>
          <w:rFonts w:eastAsia="Times New Roman"/>
        </w:rPr>
      </w:pPr>
      <w:r>
        <w:rPr>
          <w:rFonts w:eastAsia="Times New Roman"/>
          <w:b/>
          <w:bCs/>
          <w:i/>
          <w:iCs/>
          <w:color w:val="000000"/>
          <w:sz w:val="20"/>
          <w:szCs w:val="20"/>
        </w:rPr>
        <w:t>Energy Services -</w:t>
      </w:r>
      <w:r>
        <w:rPr>
          <w:rFonts w:eastAsia="Times New Roman"/>
          <w:color w:val="000000"/>
          <w:sz w:val="20"/>
          <w:szCs w:val="20"/>
        </w:rPr>
        <w:t xml:space="preserve"> </w:t>
      </w:r>
      <w:r>
        <w:rPr>
          <w:rFonts w:eastAsia="Times New Roman"/>
          <w:color w:val="000000"/>
          <w:sz w:val="20"/>
          <w:szCs w:val="20"/>
        </w:rPr>
        <w:t>UGI Energy Services, LLC, a wholly owned second-tier subsidiary of UGI</w:t>
      </w:r>
    </w:p>
    <w:p w:rsidR="00000000" w:rsidRDefault="00844BCF">
      <w:pPr>
        <w:jc w:val="both"/>
        <w:divId w:val="1671061256"/>
        <w:rPr>
          <w:rFonts w:eastAsia="Times New Roman"/>
        </w:rPr>
      </w:pPr>
      <w:r>
        <w:rPr>
          <w:rFonts w:eastAsia="Times New Roman"/>
          <w:b/>
          <w:bCs/>
          <w:i/>
          <w:iCs/>
          <w:color w:val="000000"/>
          <w:sz w:val="20"/>
          <w:szCs w:val="20"/>
        </w:rPr>
        <w:t>ESFC -</w:t>
      </w:r>
      <w:r>
        <w:rPr>
          <w:rFonts w:eastAsia="Times New Roman"/>
          <w:color w:val="000000"/>
          <w:sz w:val="20"/>
          <w:szCs w:val="20"/>
        </w:rPr>
        <w:t xml:space="preserve"> Energy Services Funding Corporation, a wholly owned subsidiary of Energy Services</w:t>
      </w:r>
    </w:p>
    <w:p w:rsidR="00000000" w:rsidRDefault="00844BCF">
      <w:pPr>
        <w:jc w:val="both"/>
        <w:divId w:val="1312179759"/>
        <w:rPr>
          <w:rFonts w:eastAsia="Times New Roman"/>
        </w:rPr>
      </w:pPr>
      <w:r>
        <w:rPr>
          <w:rFonts w:eastAsia="Times New Roman"/>
          <w:b/>
          <w:bCs/>
          <w:i/>
          <w:iCs/>
          <w:color w:val="000000"/>
          <w:sz w:val="20"/>
          <w:szCs w:val="20"/>
        </w:rPr>
        <w:t xml:space="preserve">Flaga - </w:t>
      </w:r>
      <w:r>
        <w:rPr>
          <w:rFonts w:eastAsia="Times New Roman"/>
          <w:color w:val="000000"/>
          <w:sz w:val="20"/>
          <w:szCs w:val="20"/>
        </w:rPr>
        <w:t>Flaga GmbH, an indirect wholly owned subsidiary of UGI International, LLC</w:t>
      </w:r>
    </w:p>
    <w:p w:rsidR="00000000" w:rsidRDefault="00844BCF">
      <w:pPr>
        <w:jc w:val="both"/>
        <w:divId w:val="640038352"/>
        <w:rPr>
          <w:rFonts w:eastAsia="Times New Roman"/>
        </w:rPr>
      </w:pPr>
      <w:r>
        <w:rPr>
          <w:rFonts w:eastAsia="Times New Roman"/>
          <w:b/>
          <w:bCs/>
          <w:i/>
          <w:iCs/>
          <w:color w:val="000000"/>
          <w:sz w:val="20"/>
          <w:szCs w:val="20"/>
        </w:rPr>
        <w:t>Gas Utility -</w:t>
      </w:r>
      <w:r>
        <w:rPr>
          <w:rFonts w:eastAsia="Times New Roman"/>
          <w:color w:val="000000"/>
          <w:sz w:val="20"/>
          <w:szCs w:val="20"/>
        </w:rPr>
        <w:t xml:space="preserve"> </w:t>
      </w:r>
      <w:r>
        <w:rPr>
          <w:rFonts w:eastAsia="Times New Roman"/>
          <w:color w:val="000000"/>
          <w:sz w:val="20"/>
          <w:szCs w:val="20"/>
        </w:rPr>
        <w:t>UGI’s regulated natural gas businesses, inclusive of PA Gas Utility and WV Gas Utility</w:t>
      </w:r>
    </w:p>
    <w:p w:rsidR="00000000" w:rsidRDefault="00844BCF">
      <w:pPr>
        <w:jc w:val="both"/>
        <w:divId w:val="2054846445"/>
        <w:rPr>
          <w:rFonts w:eastAsia="Times New Roman"/>
        </w:rPr>
      </w:pPr>
      <w:r>
        <w:rPr>
          <w:rFonts w:eastAsia="Times New Roman"/>
          <w:b/>
          <w:bCs/>
          <w:i/>
          <w:iCs/>
          <w:color w:val="000000"/>
          <w:sz w:val="20"/>
          <w:szCs w:val="20"/>
        </w:rPr>
        <w:t xml:space="preserve">GHI - </w:t>
      </w:r>
      <w:r>
        <w:rPr>
          <w:rFonts w:eastAsia="Times New Roman"/>
          <w:color w:val="000000"/>
          <w:sz w:val="20"/>
          <w:szCs w:val="20"/>
        </w:rPr>
        <w:t>GHI Energy, LLC, a Houston-based RNG company and indirect wholly owned subsidiary of Energy Services</w:t>
      </w:r>
    </w:p>
    <w:p w:rsidR="00000000" w:rsidRDefault="00844BCF">
      <w:pPr>
        <w:jc w:val="both"/>
        <w:divId w:val="2085570629"/>
        <w:rPr>
          <w:rFonts w:eastAsia="Times New Roman"/>
        </w:rPr>
      </w:pPr>
      <w:r>
        <w:rPr>
          <w:rFonts w:eastAsia="Times New Roman"/>
          <w:b/>
          <w:bCs/>
          <w:i/>
          <w:iCs/>
          <w:color w:val="000000"/>
          <w:sz w:val="20"/>
          <w:szCs w:val="20"/>
        </w:rPr>
        <w:t>Midstream &amp; Marketing -</w:t>
      </w:r>
      <w:r>
        <w:rPr>
          <w:rFonts w:eastAsia="Times New Roman"/>
          <w:color w:val="000000"/>
          <w:sz w:val="20"/>
          <w:szCs w:val="20"/>
        </w:rPr>
        <w:t xml:space="preserve"> Reportable segment comprising Energy S</w:t>
      </w:r>
      <w:r>
        <w:rPr>
          <w:rFonts w:eastAsia="Times New Roman"/>
          <w:color w:val="000000"/>
          <w:sz w:val="20"/>
          <w:szCs w:val="20"/>
        </w:rPr>
        <w:t>ervices and UGID</w:t>
      </w:r>
    </w:p>
    <w:p w:rsidR="00000000" w:rsidRDefault="00844BCF">
      <w:pPr>
        <w:jc w:val="both"/>
        <w:divId w:val="394014297"/>
        <w:rPr>
          <w:rFonts w:eastAsia="Times New Roman"/>
        </w:rPr>
      </w:pPr>
      <w:r>
        <w:rPr>
          <w:rFonts w:eastAsia="Times New Roman"/>
          <w:b/>
          <w:bCs/>
          <w:i/>
          <w:iCs/>
          <w:color w:val="000000"/>
          <w:sz w:val="20"/>
          <w:szCs w:val="20"/>
        </w:rPr>
        <w:t xml:space="preserve">Mountaineer - </w:t>
      </w:r>
      <w:r>
        <w:rPr>
          <w:rFonts w:eastAsia="Times New Roman"/>
          <w:color w:val="000000"/>
          <w:sz w:val="20"/>
          <w:szCs w:val="20"/>
        </w:rPr>
        <w:t>Mountaineer Gas Company, a natural gas distribution company in West Virginia and an indirect wholly owned subsidiary of Mountaintop Energy Holdings, LLC</w:t>
      </w:r>
    </w:p>
    <w:p w:rsidR="00000000" w:rsidRDefault="00844BCF">
      <w:pPr>
        <w:divId w:val="562758730"/>
        <w:rPr>
          <w:rFonts w:eastAsia="Times New Roman"/>
        </w:rPr>
      </w:pPr>
      <w:r>
        <w:rPr>
          <w:rFonts w:eastAsia="Times New Roman"/>
          <w:b/>
          <w:bCs/>
          <w:i/>
          <w:iCs/>
          <w:color w:val="000000"/>
          <w:sz w:val="20"/>
          <w:szCs w:val="20"/>
        </w:rPr>
        <w:t xml:space="preserve">Mountaintop Energy Holdings, LLC - </w:t>
      </w:r>
      <w:r>
        <w:rPr>
          <w:rFonts w:eastAsia="Times New Roman"/>
          <w:color w:val="000000"/>
          <w:sz w:val="20"/>
          <w:szCs w:val="20"/>
        </w:rPr>
        <w:t>Indirect parent company of Mountainee</w:t>
      </w:r>
      <w:r>
        <w:rPr>
          <w:rFonts w:eastAsia="Times New Roman"/>
          <w:color w:val="000000"/>
          <w:sz w:val="20"/>
          <w:szCs w:val="20"/>
        </w:rPr>
        <w:t>r and wholly owned subsidiary of UGI, acquired on September 1, 2021</w:t>
      </w:r>
    </w:p>
    <w:p w:rsidR="00000000" w:rsidRDefault="00844BCF">
      <w:pPr>
        <w:divId w:val="94401354"/>
        <w:rPr>
          <w:rFonts w:eastAsia="Times New Roman"/>
        </w:rPr>
      </w:pPr>
      <w:r>
        <w:rPr>
          <w:rFonts w:eastAsia="Times New Roman"/>
          <w:b/>
          <w:bCs/>
          <w:i/>
          <w:iCs/>
          <w:color w:val="000000"/>
          <w:sz w:val="20"/>
          <w:szCs w:val="20"/>
        </w:rPr>
        <w:t xml:space="preserve">PA Gas Utility - </w:t>
      </w:r>
      <w:r>
        <w:rPr>
          <w:rFonts w:eastAsia="Times New Roman"/>
          <w:color w:val="000000"/>
          <w:sz w:val="20"/>
          <w:szCs w:val="20"/>
        </w:rPr>
        <w:t>UGI Utilities’ regulated natural gas distribution business, primarily located in Pennsylvania</w:t>
      </w:r>
    </w:p>
    <w:p w:rsidR="00000000" w:rsidRDefault="00844BCF">
      <w:pPr>
        <w:divId w:val="351303007"/>
        <w:rPr>
          <w:rFonts w:eastAsia="Times New Roman"/>
        </w:rPr>
      </w:pPr>
      <w:r>
        <w:rPr>
          <w:rFonts w:eastAsia="Times New Roman"/>
          <w:b/>
          <w:bCs/>
          <w:i/>
          <w:iCs/>
          <w:color w:val="000000"/>
          <w:sz w:val="20"/>
          <w:szCs w:val="20"/>
        </w:rPr>
        <w:t>Partnership -</w:t>
      </w:r>
      <w:r>
        <w:rPr>
          <w:rFonts w:eastAsia="Times New Roman"/>
          <w:color w:val="000000"/>
          <w:sz w:val="20"/>
          <w:szCs w:val="20"/>
        </w:rPr>
        <w:t xml:space="preserve"> AmeriGas Partners and its consolidated subsidiaries, including </w:t>
      </w:r>
      <w:r>
        <w:rPr>
          <w:rFonts w:eastAsia="Times New Roman"/>
          <w:color w:val="000000"/>
          <w:sz w:val="20"/>
          <w:szCs w:val="20"/>
        </w:rPr>
        <w:t>AmeriGas OLP</w:t>
      </w:r>
    </w:p>
    <w:p w:rsidR="00000000" w:rsidRDefault="00844BCF">
      <w:pPr>
        <w:jc w:val="both"/>
        <w:divId w:val="1680156404"/>
        <w:rPr>
          <w:rFonts w:eastAsia="Times New Roman"/>
        </w:rPr>
      </w:pPr>
      <w:r>
        <w:rPr>
          <w:rFonts w:eastAsia="Times New Roman"/>
          <w:b/>
          <w:bCs/>
          <w:i/>
          <w:iCs/>
          <w:color w:val="000000"/>
          <w:sz w:val="20"/>
          <w:szCs w:val="20"/>
        </w:rPr>
        <w:t>Stonehenge</w:t>
      </w:r>
      <w:r>
        <w:rPr>
          <w:rFonts w:eastAsia="Times New Roman"/>
          <w:color w:val="000000"/>
          <w:sz w:val="20"/>
          <w:szCs w:val="20"/>
        </w:rPr>
        <w:t xml:space="preserve"> - Stonehenge Appalachia, LLC, a midstream natural gas gathering business, which includes 47 miles of pipeline and associated compression assets</w:t>
      </w:r>
    </w:p>
    <w:p w:rsidR="00000000" w:rsidRDefault="00844BCF">
      <w:pPr>
        <w:jc w:val="both"/>
        <w:divId w:val="1984579835"/>
        <w:rPr>
          <w:rFonts w:eastAsia="Times New Roman"/>
        </w:rPr>
      </w:pPr>
      <w:r>
        <w:rPr>
          <w:rFonts w:eastAsia="Times New Roman"/>
          <w:b/>
          <w:bCs/>
          <w:i/>
          <w:iCs/>
          <w:color w:val="000000"/>
          <w:sz w:val="20"/>
          <w:szCs w:val="20"/>
        </w:rPr>
        <w:t>UGI</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UGI Corporation or, collectively, UGI Corporation and its consolidated subsidiarie</w:t>
      </w:r>
      <w:r>
        <w:rPr>
          <w:rFonts w:eastAsia="Times New Roman"/>
          <w:color w:val="000000"/>
          <w:sz w:val="20"/>
          <w:szCs w:val="20"/>
        </w:rPr>
        <w:t>s</w:t>
      </w:r>
    </w:p>
    <w:p w:rsidR="00000000" w:rsidRDefault="00844BCF">
      <w:pPr>
        <w:jc w:val="both"/>
        <w:divId w:val="1623027819"/>
        <w:rPr>
          <w:rFonts w:eastAsia="Times New Roman"/>
        </w:rPr>
      </w:pPr>
      <w:r>
        <w:rPr>
          <w:rFonts w:eastAsia="Times New Roman"/>
          <w:b/>
          <w:bCs/>
          <w:i/>
          <w:iCs/>
          <w:color w:val="000000"/>
          <w:sz w:val="20"/>
          <w:szCs w:val="20"/>
        </w:rPr>
        <w:lastRenderedPageBreak/>
        <w:t xml:space="preserve">UGI France - </w:t>
      </w:r>
      <w:r>
        <w:rPr>
          <w:rFonts w:eastAsia="Times New Roman"/>
          <w:color w:val="000000"/>
          <w:sz w:val="20"/>
          <w:szCs w:val="20"/>
        </w:rPr>
        <w:t>UGI France SAS (</w:t>
      </w:r>
      <w:r>
        <w:rPr>
          <w:rFonts w:eastAsia="Times New Roman"/>
          <w:i/>
          <w:iCs/>
          <w:color w:val="000000"/>
          <w:sz w:val="20"/>
          <w:szCs w:val="20"/>
        </w:rPr>
        <w:t>a Société par actions simplifiée</w:t>
      </w:r>
      <w:r>
        <w:rPr>
          <w:rFonts w:eastAsia="Times New Roman"/>
          <w:color w:val="000000"/>
          <w:sz w:val="20"/>
          <w:szCs w:val="20"/>
        </w:rPr>
        <w:t>), an indirect wholly owned subsidiary of UGI International, LLC</w:t>
      </w:r>
    </w:p>
    <w:p w:rsidR="00000000" w:rsidRDefault="00844BCF">
      <w:pPr>
        <w:jc w:val="both"/>
        <w:divId w:val="1824925070"/>
        <w:rPr>
          <w:rFonts w:eastAsia="Times New Roman"/>
        </w:rPr>
      </w:pPr>
      <w:r>
        <w:rPr>
          <w:rFonts w:eastAsia="Times New Roman"/>
          <w:b/>
          <w:bCs/>
          <w:i/>
          <w:iCs/>
          <w:color w:val="000000"/>
          <w:sz w:val="20"/>
          <w:szCs w:val="20"/>
        </w:rPr>
        <w:t>UGI International</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Reportable segment principally comprising UGI’s foreign operations</w:t>
      </w:r>
    </w:p>
    <w:p w:rsidR="00000000" w:rsidRDefault="00844BCF">
      <w:pPr>
        <w:jc w:val="both"/>
        <w:divId w:val="1580402256"/>
        <w:rPr>
          <w:rFonts w:eastAsia="Times New Roman"/>
        </w:rPr>
      </w:pPr>
      <w:r>
        <w:rPr>
          <w:rFonts w:eastAsia="Times New Roman"/>
          <w:b/>
          <w:bCs/>
          <w:i/>
          <w:iCs/>
          <w:color w:val="000000"/>
          <w:sz w:val="20"/>
          <w:szCs w:val="20"/>
        </w:rPr>
        <w:t>UGI International, LLC</w:t>
      </w:r>
      <w:r>
        <w:rPr>
          <w:rFonts w:eastAsia="Times New Roman"/>
          <w:color w:val="000000"/>
          <w:sz w:val="20"/>
          <w:szCs w:val="20"/>
        </w:rPr>
        <w:t xml:space="preserve"> </w:t>
      </w:r>
      <w:r>
        <w:rPr>
          <w:rFonts w:eastAsia="Times New Roman"/>
          <w:b/>
          <w:bCs/>
          <w:i/>
          <w:iCs/>
          <w:color w:val="000000"/>
          <w:sz w:val="20"/>
          <w:szCs w:val="20"/>
        </w:rPr>
        <w:t xml:space="preserve">- </w:t>
      </w:r>
      <w:r>
        <w:rPr>
          <w:rFonts w:eastAsia="Times New Roman"/>
          <w:color w:val="000000"/>
          <w:sz w:val="20"/>
          <w:szCs w:val="20"/>
        </w:rPr>
        <w:t>UGI International, LLC, a wholly owned second-tier subsidiary of UGI</w:t>
      </w:r>
    </w:p>
    <w:p w:rsidR="00000000" w:rsidRDefault="00844BCF">
      <w:pPr>
        <w:jc w:val="both"/>
        <w:divId w:val="1207645594"/>
        <w:rPr>
          <w:rFonts w:eastAsia="Times New Roman"/>
        </w:rPr>
      </w:pPr>
      <w:r>
        <w:rPr>
          <w:rFonts w:eastAsia="Times New Roman"/>
          <w:b/>
          <w:bCs/>
          <w:i/>
          <w:iCs/>
          <w:color w:val="000000"/>
          <w:sz w:val="20"/>
          <w:szCs w:val="20"/>
        </w:rPr>
        <w:t>UGI Utilities -</w:t>
      </w:r>
      <w:r>
        <w:rPr>
          <w:rFonts w:eastAsia="Times New Roman"/>
          <w:color w:val="000000"/>
          <w:sz w:val="20"/>
          <w:szCs w:val="20"/>
        </w:rPr>
        <w:t xml:space="preserve"> UGI Utilities, Inc., a wholly owned subsidiary of UGI comprising PA Gas Utility and Electric Utility</w:t>
      </w:r>
    </w:p>
    <w:p w:rsidR="00000000" w:rsidRDefault="00844BCF">
      <w:pPr>
        <w:jc w:val="both"/>
        <w:divId w:val="1924610488"/>
        <w:rPr>
          <w:rFonts w:eastAsia="Times New Roman"/>
        </w:rPr>
      </w:pPr>
      <w:r>
        <w:rPr>
          <w:rFonts w:eastAsia="Times New Roman"/>
          <w:b/>
          <w:bCs/>
          <w:i/>
          <w:iCs/>
          <w:color w:val="000000"/>
          <w:sz w:val="20"/>
          <w:szCs w:val="20"/>
        </w:rPr>
        <w:t>UGID -</w:t>
      </w:r>
      <w:r>
        <w:rPr>
          <w:rFonts w:eastAsia="Times New Roman"/>
          <w:color w:val="000000"/>
          <w:sz w:val="20"/>
          <w:szCs w:val="20"/>
        </w:rPr>
        <w:t xml:space="preserve"> UGI Development Company, a wholly owne</w:t>
      </w:r>
      <w:r>
        <w:rPr>
          <w:rFonts w:eastAsia="Times New Roman"/>
          <w:color w:val="000000"/>
          <w:sz w:val="20"/>
          <w:szCs w:val="20"/>
        </w:rPr>
        <w:t>d subsidiary of Energy Services</w:t>
      </w:r>
    </w:p>
    <w:p w:rsidR="00000000" w:rsidRDefault="00844BCF">
      <w:pPr>
        <w:jc w:val="both"/>
        <w:divId w:val="1383942658"/>
        <w:rPr>
          <w:rFonts w:eastAsia="Times New Roman"/>
        </w:rPr>
      </w:pPr>
      <w:r>
        <w:rPr>
          <w:rFonts w:eastAsia="Times New Roman"/>
          <w:b/>
          <w:bCs/>
          <w:i/>
          <w:iCs/>
          <w:color w:val="000000"/>
          <w:sz w:val="20"/>
          <w:szCs w:val="20"/>
        </w:rPr>
        <w:t>UniverGas -</w:t>
      </w:r>
      <w:r>
        <w:rPr>
          <w:rFonts w:eastAsia="Times New Roman"/>
          <w:color w:val="000000"/>
          <w:sz w:val="20"/>
          <w:szCs w:val="20"/>
        </w:rPr>
        <w:t xml:space="preserve"> UniverGas Italia S.r.l, an indirect wholly owned subsidiary of UGI International, LLC</w:t>
      </w:r>
    </w:p>
    <w:p w:rsidR="00000000" w:rsidRDefault="00844BCF">
      <w:pPr>
        <w:jc w:val="center"/>
        <w:divId w:val="1188829996"/>
        <w:rPr>
          <w:rFonts w:eastAsia="Times New Roman"/>
        </w:rPr>
      </w:pPr>
      <w:r>
        <w:rPr>
          <w:rFonts w:eastAsia="Times New Roman"/>
          <w:color w:val="000000"/>
          <w:sz w:val="20"/>
          <w:szCs w:val="20"/>
        </w:rPr>
        <w:t>1</w:t>
      </w:r>
    </w:p>
    <w:p w:rsidR="00000000" w:rsidRDefault="00844BCF">
      <w:pPr>
        <w:rPr>
          <w:rFonts w:eastAsia="Times New Roman"/>
        </w:rPr>
      </w:pPr>
      <w:r>
        <w:rPr>
          <w:rFonts w:eastAsia="Times New Roman"/>
        </w:rPr>
        <w:pict>
          <v:rect id="_x0000_i1027" style="width:0;height:1.5pt" o:hralign="center" o:hrstd="t" o:hr="t" fillcolor="#a0a0a0" stroked="f"/>
        </w:pict>
      </w:r>
    </w:p>
    <w:p w:rsidR="00000000" w:rsidRDefault="00844BCF">
      <w:pPr>
        <w:divId w:val="1494183702"/>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664623847"/>
        <w:rPr>
          <w:rFonts w:eastAsia="Times New Roman"/>
        </w:rPr>
      </w:pPr>
    </w:p>
    <w:p w:rsidR="00000000" w:rsidRDefault="00844BCF">
      <w:pPr>
        <w:divId w:val="1091511398"/>
        <w:rPr>
          <w:rFonts w:eastAsia="Times New Roman"/>
        </w:rPr>
      </w:pPr>
    </w:p>
    <w:p w:rsidR="00000000" w:rsidRDefault="00844BCF">
      <w:pPr>
        <w:jc w:val="both"/>
        <w:divId w:val="835924530"/>
        <w:rPr>
          <w:rFonts w:eastAsia="Times New Roman"/>
        </w:rPr>
      </w:pPr>
      <w:r>
        <w:rPr>
          <w:rFonts w:eastAsia="Times New Roman"/>
          <w:b/>
          <w:bCs/>
          <w:i/>
          <w:iCs/>
          <w:color w:val="000000"/>
          <w:sz w:val="20"/>
          <w:szCs w:val="20"/>
        </w:rPr>
        <w:t xml:space="preserve">Utilities - </w:t>
      </w:r>
      <w:r>
        <w:rPr>
          <w:rFonts w:eastAsia="Times New Roman"/>
          <w:color w:val="000000"/>
          <w:sz w:val="20"/>
          <w:szCs w:val="20"/>
        </w:rPr>
        <w:t>Reportable segment comprising UGI Utilities and Mountaintop Energy Holdings, LLC</w:t>
      </w:r>
    </w:p>
    <w:p w:rsidR="00000000" w:rsidRDefault="00844BCF">
      <w:pPr>
        <w:jc w:val="both"/>
        <w:divId w:val="1270889588"/>
        <w:rPr>
          <w:rFonts w:eastAsia="Times New Roman"/>
        </w:rPr>
      </w:pPr>
      <w:r>
        <w:rPr>
          <w:rFonts w:eastAsia="Times New Roman"/>
          <w:b/>
          <w:bCs/>
          <w:i/>
          <w:iCs/>
          <w:color w:val="000000"/>
          <w:sz w:val="20"/>
          <w:szCs w:val="20"/>
        </w:rPr>
        <w:t>WV Gas Utility</w:t>
      </w:r>
      <w:r>
        <w:rPr>
          <w:rFonts w:eastAsia="Times New Roman"/>
          <w:color w:val="000000"/>
          <w:sz w:val="20"/>
          <w:szCs w:val="20"/>
        </w:rPr>
        <w:t xml:space="preserve"> - Mountaineer’s regulated natural gas distribution business, located in West Virginia</w:t>
      </w:r>
    </w:p>
    <w:p w:rsidR="00000000" w:rsidRDefault="00844BCF">
      <w:pPr>
        <w:jc w:val="center"/>
        <w:divId w:val="1484661946"/>
        <w:rPr>
          <w:rFonts w:eastAsia="Times New Roman"/>
        </w:rPr>
      </w:pPr>
      <w:r>
        <w:rPr>
          <w:rFonts w:eastAsia="Times New Roman"/>
          <w:b/>
          <w:bCs/>
          <w:i/>
          <w:iCs/>
          <w:color w:val="000000"/>
          <w:sz w:val="20"/>
          <w:szCs w:val="20"/>
          <w:u w:val="single"/>
        </w:rPr>
        <w:t>Other Terms and Abbreviations</w:t>
      </w:r>
    </w:p>
    <w:p w:rsidR="00000000" w:rsidRDefault="00844BCF">
      <w:pPr>
        <w:jc w:val="both"/>
        <w:divId w:val="154609327"/>
        <w:rPr>
          <w:rFonts w:eastAsia="Times New Roman"/>
        </w:rPr>
      </w:pPr>
      <w:r>
        <w:rPr>
          <w:rFonts w:eastAsia="Times New Roman"/>
          <w:b/>
          <w:bCs/>
          <w:i/>
          <w:iCs/>
          <w:color w:val="000000"/>
          <w:sz w:val="20"/>
          <w:szCs w:val="20"/>
        </w:rPr>
        <w:t>2021 Annua</w:t>
      </w:r>
      <w:r>
        <w:rPr>
          <w:rFonts w:eastAsia="Times New Roman"/>
          <w:b/>
          <w:bCs/>
          <w:i/>
          <w:iCs/>
          <w:color w:val="000000"/>
          <w:sz w:val="20"/>
          <w:szCs w:val="20"/>
        </w:rPr>
        <w:t>l Report -</w:t>
      </w:r>
      <w:r>
        <w:rPr>
          <w:rFonts w:eastAsia="Times New Roman"/>
          <w:b/>
          <w:bCs/>
          <w:color w:val="000000"/>
          <w:sz w:val="20"/>
          <w:szCs w:val="20"/>
        </w:rPr>
        <w:t xml:space="preserve"> </w:t>
      </w:r>
      <w:r>
        <w:rPr>
          <w:rFonts w:eastAsia="Times New Roman"/>
          <w:color w:val="000000"/>
          <w:sz w:val="20"/>
          <w:szCs w:val="20"/>
        </w:rPr>
        <w:t>UGI Annual Report on Form 10-K for the fiscal year ended September 30, 2021</w:t>
      </w:r>
    </w:p>
    <w:p w:rsidR="00000000" w:rsidRDefault="00844BCF">
      <w:pPr>
        <w:jc w:val="both"/>
        <w:divId w:val="501164985"/>
        <w:rPr>
          <w:rFonts w:eastAsia="Times New Roman"/>
        </w:rPr>
      </w:pPr>
      <w:r>
        <w:rPr>
          <w:rFonts w:eastAsia="Times New Roman"/>
          <w:b/>
          <w:bCs/>
          <w:i/>
          <w:iCs/>
          <w:color w:val="000000"/>
          <w:sz w:val="20"/>
          <w:szCs w:val="20"/>
        </w:rPr>
        <w:t>2021 six-month period -</w:t>
      </w:r>
      <w:r>
        <w:rPr>
          <w:rFonts w:eastAsia="Times New Roman"/>
          <w:b/>
          <w:bCs/>
          <w:color w:val="000000"/>
          <w:sz w:val="20"/>
          <w:szCs w:val="20"/>
        </w:rPr>
        <w:t xml:space="preserve"> </w:t>
      </w:r>
      <w:r>
        <w:rPr>
          <w:rFonts w:eastAsia="Times New Roman"/>
          <w:color w:val="000000"/>
          <w:sz w:val="20"/>
          <w:szCs w:val="20"/>
        </w:rPr>
        <w:t>Six months ended March 31, 2021</w:t>
      </w:r>
    </w:p>
    <w:p w:rsidR="00000000" w:rsidRDefault="00844BCF">
      <w:pPr>
        <w:jc w:val="both"/>
        <w:divId w:val="1602033608"/>
        <w:rPr>
          <w:rFonts w:eastAsia="Times New Roman"/>
        </w:rPr>
      </w:pPr>
      <w:r>
        <w:rPr>
          <w:rFonts w:eastAsia="Times New Roman"/>
          <w:b/>
          <w:bCs/>
          <w:i/>
          <w:iCs/>
          <w:color w:val="000000"/>
          <w:sz w:val="20"/>
          <w:szCs w:val="20"/>
        </w:rPr>
        <w:t>2021 three-month period -</w:t>
      </w:r>
      <w:r>
        <w:rPr>
          <w:rFonts w:eastAsia="Times New Roman"/>
          <w:b/>
          <w:bCs/>
          <w:color w:val="000000"/>
          <w:sz w:val="20"/>
          <w:szCs w:val="20"/>
        </w:rPr>
        <w:t xml:space="preserve"> </w:t>
      </w:r>
      <w:r>
        <w:rPr>
          <w:rFonts w:eastAsia="Times New Roman"/>
          <w:color w:val="000000"/>
          <w:sz w:val="20"/>
          <w:szCs w:val="20"/>
        </w:rPr>
        <w:t>Three months ended March 31, 2021</w:t>
      </w:r>
    </w:p>
    <w:p w:rsidR="00000000" w:rsidRDefault="00844BCF">
      <w:pPr>
        <w:jc w:val="both"/>
        <w:divId w:val="1500971092"/>
        <w:rPr>
          <w:rFonts w:eastAsia="Times New Roman"/>
        </w:rPr>
      </w:pPr>
      <w:r>
        <w:rPr>
          <w:rFonts w:eastAsia="Times New Roman"/>
          <w:b/>
          <w:bCs/>
          <w:i/>
          <w:iCs/>
          <w:color w:val="000000"/>
          <w:sz w:val="20"/>
          <w:szCs w:val="20"/>
        </w:rPr>
        <w:t>2022 six-month period -</w:t>
      </w:r>
      <w:r>
        <w:rPr>
          <w:rFonts w:eastAsia="Times New Roman"/>
          <w:b/>
          <w:bCs/>
          <w:color w:val="000000"/>
          <w:sz w:val="20"/>
          <w:szCs w:val="20"/>
        </w:rPr>
        <w:t xml:space="preserve"> </w:t>
      </w:r>
      <w:r>
        <w:rPr>
          <w:rFonts w:eastAsia="Times New Roman"/>
          <w:color w:val="000000"/>
          <w:sz w:val="20"/>
          <w:szCs w:val="20"/>
        </w:rPr>
        <w:t>Six months ended March 31, 20</w:t>
      </w:r>
      <w:r>
        <w:rPr>
          <w:rFonts w:eastAsia="Times New Roman"/>
          <w:color w:val="000000"/>
          <w:sz w:val="20"/>
          <w:szCs w:val="20"/>
        </w:rPr>
        <w:t>22</w:t>
      </w:r>
    </w:p>
    <w:p w:rsidR="00000000" w:rsidRDefault="00844BCF">
      <w:pPr>
        <w:jc w:val="both"/>
        <w:divId w:val="216281084"/>
        <w:rPr>
          <w:rFonts w:eastAsia="Times New Roman"/>
        </w:rPr>
      </w:pPr>
      <w:r>
        <w:rPr>
          <w:rFonts w:eastAsia="Times New Roman"/>
          <w:b/>
          <w:bCs/>
          <w:i/>
          <w:iCs/>
          <w:color w:val="000000"/>
          <w:sz w:val="20"/>
          <w:szCs w:val="20"/>
        </w:rPr>
        <w:t>2022 three-month period -</w:t>
      </w:r>
      <w:r>
        <w:rPr>
          <w:rFonts w:eastAsia="Times New Roman"/>
          <w:b/>
          <w:bCs/>
          <w:color w:val="000000"/>
          <w:sz w:val="20"/>
          <w:szCs w:val="20"/>
        </w:rPr>
        <w:t xml:space="preserve"> </w:t>
      </w:r>
      <w:r>
        <w:rPr>
          <w:rFonts w:eastAsia="Times New Roman"/>
          <w:color w:val="000000"/>
          <w:sz w:val="20"/>
          <w:szCs w:val="20"/>
        </w:rPr>
        <w:t>Three months ended March 31, 2022</w:t>
      </w:r>
    </w:p>
    <w:p w:rsidR="00000000" w:rsidRDefault="00844BCF">
      <w:pPr>
        <w:jc w:val="both"/>
        <w:divId w:val="2049453404"/>
        <w:rPr>
          <w:rFonts w:eastAsia="Times New Roman"/>
        </w:rPr>
      </w:pPr>
      <w:r>
        <w:rPr>
          <w:rFonts w:eastAsia="Times New Roman"/>
          <w:b/>
          <w:bCs/>
          <w:i/>
          <w:iCs/>
          <w:color w:val="000000"/>
          <w:sz w:val="20"/>
          <w:szCs w:val="20"/>
        </w:rPr>
        <w:t xml:space="preserve">2024 Purchase Contract </w:t>
      </w:r>
      <w:r>
        <w:rPr>
          <w:rFonts w:eastAsia="Times New Roman"/>
          <w:color w:val="000000"/>
          <w:sz w:val="20"/>
          <w:szCs w:val="20"/>
        </w:rPr>
        <w:t>- A forward stock purchase contract issued by UGI Corporation as a part of the issuance of Equity Units which obligates holders to purchase a number of shares of UGI comm</w:t>
      </w:r>
      <w:r>
        <w:rPr>
          <w:rFonts w:eastAsia="Times New Roman"/>
          <w:color w:val="000000"/>
          <w:sz w:val="20"/>
          <w:szCs w:val="20"/>
        </w:rPr>
        <w:t>on stock from the Company on June 1, 2024</w:t>
      </w:r>
    </w:p>
    <w:p w:rsidR="00000000" w:rsidRDefault="00844BCF">
      <w:pPr>
        <w:jc w:val="both"/>
        <w:divId w:val="1200819343"/>
        <w:rPr>
          <w:rFonts w:eastAsia="Times New Roman"/>
        </w:rPr>
      </w:pPr>
      <w:r>
        <w:rPr>
          <w:rFonts w:eastAsia="Times New Roman"/>
          <w:b/>
          <w:bCs/>
          <w:i/>
          <w:iCs/>
          <w:color w:val="000000"/>
          <w:sz w:val="20"/>
          <w:szCs w:val="20"/>
        </w:rPr>
        <w:t xml:space="preserve">AOCI - </w:t>
      </w:r>
      <w:r>
        <w:rPr>
          <w:rFonts w:eastAsia="Times New Roman"/>
          <w:color w:val="000000"/>
          <w:sz w:val="20"/>
          <w:szCs w:val="20"/>
        </w:rPr>
        <w:t>Accumulated Other Comprehensive Income (Loss)</w:t>
      </w:r>
    </w:p>
    <w:p w:rsidR="00000000" w:rsidRDefault="00844BCF">
      <w:pPr>
        <w:jc w:val="both"/>
        <w:divId w:val="1558978136"/>
        <w:rPr>
          <w:rFonts w:eastAsia="Times New Roman"/>
        </w:rPr>
      </w:pPr>
      <w:r>
        <w:rPr>
          <w:rFonts w:eastAsia="Times New Roman"/>
          <w:b/>
          <w:bCs/>
          <w:i/>
          <w:iCs/>
          <w:color w:val="000000"/>
          <w:sz w:val="20"/>
          <w:szCs w:val="20"/>
        </w:rPr>
        <w:t>ASC -</w:t>
      </w:r>
      <w:r>
        <w:rPr>
          <w:rFonts w:eastAsia="Times New Roman"/>
          <w:color w:val="000000"/>
          <w:sz w:val="20"/>
          <w:szCs w:val="20"/>
        </w:rPr>
        <w:t xml:space="preserve"> Accounting Standards Codification</w:t>
      </w:r>
    </w:p>
    <w:p w:rsidR="00000000" w:rsidRDefault="00844BCF">
      <w:pPr>
        <w:jc w:val="both"/>
        <w:divId w:val="907038121"/>
        <w:rPr>
          <w:rFonts w:eastAsia="Times New Roman"/>
        </w:rPr>
      </w:pPr>
      <w:r>
        <w:rPr>
          <w:rFonts w:eastAsia="Times New Roman"/>
          <w:b/>
          <w:bCs/>
          <w:i/>
          <w:iCs/>
          <w:color w:val="000000"/>
          <w:sz w:val="20"/>
          <w:szCs w:val="20"/>
        </w:rPr>
        <w:t>ASC 606</w:t>
      </w:r>
      <w:r>
        <w:rPr>
          <w:rFonts w:eastAsia="Times New Roman"/>
          <w:color w:val="000000"/>
          <w:sz w:val="20"/>
          <w:szCs w:val="20"/>
        </w:rPr>
        <w:t xml:space="preserve"> </w:t>
      </w:r>
      <w:r>
        <w:rPr>
          <w:rFonts w:eastAsia="Times New Roman"/>
          <w:b/>
          <w:bCs/>
          <w:i/>
          <w:iCs/>
          <w:color w:val="000000"/>
          <w:sz w:val="20"/>
          <w:szCs w:val="20"/>
        </w:rPr>
        <w:t>-</w:t>
      </w:r>
      <w:r>
        <w:rPr>
          <w:rFonts w:eastAsia="Times New Roman"/>
          <w:color w:val="000000"/>
          <w:sz w:val="20"/>
          <w:szCs w:val="20"/>
        </w:rPr>
        <w:t xml:space="preserve"> ASC 606, “Revenue from Contracts with Customers”</w:t>
      </w:r>
    </w:p>
    <w:p w:rsidR="00000000" w:rsidRDefault="00844BCF">
      <w:pPr>
        <w:jc w:val="both"/>
        <w:divId w:val="1573000010"/>
        <w:rPr>
          <w:rFonts w:eastAsia="Times New Roman"/>
        </w:rPr>
      </w:pPr>
      <w:r>
        <w:rPr>
          <w:rFonts w:eastAsia="Times New Roman"/>
          <w:b/>
          <w:bCs/>
          <w:i/>
          <w:iCs/>
          <w:color w:val="000000"/>
          <w:sz w:val="20"/>
          <w:szCs w:val="20"/>
        </w:rPr>
        <w:t>ASC 980</w:t>
      </w:r>
      <w:r>
        <w:rPr>
          <w:rFonts w:eastAsia="Times New Roman"/>
          <w:color w:val="000000"/>
          <w:sz w:val="20"/>
          <w:szCs w:val="20"/>
        </w:rPr>
        <w:t xml:space="preserve"> - ASC 980, “Regulated Operations”</w:t>
      </w:r>
    </w:p>
    <w:p w:rsidR="00000000" w:rsidRDefault="00844BCF">
      <w:pPr>
        <w:jc w:val="both"/>
        <w:divId w:val="442268101"/>
        <w:rPr>
          <w:rFonts w:eastAsia="Times New Roman"/>
        </w:rPr>
      </w:pPr>
      <w:r>
        <w:rPr>
          <w:rFonts w:eastAsia="Times New Roman"/>
          <w:b/>
          <w:bCs/>
          <w:i/>
          <w:iCs/>
          <w:color w:val="000000"/>
          <w:sz w:val="20"/>
          <w:szCs w:val="20"/>
        </w:rPr>
        <w:t xml:space="preserve">ASU - </w:t>
      </w:r>
      <w:r>
        <w:rPr>
          <w:rFonts w:eastAsia="Times New Roman"/>
          <w:color w:val="000000"/>
          <w:sz w:val="20"/>
          <w:szCs w:val="20"/>
        </w:rPr>
        <w:t>Accounting Sta</w:t>
      </w:r>
      <w:r>
        <w:rPr>
          <w:rFonts w:eastAsia="Times New Roman"/>
          <w:color w:val="000000"/>
          <w:sz w:val="20"/>
          <w:szCs w:val="20"/>
        </w:rPr>
        <w:t>ndards Update</w:t>
      </w:r>
    </w:p>
    <w:p w:rsidR="00000000" w:rsidRDefault="00844BCF">
      <w:pPr>
        <w:jc w:val="both"/>
        <w:divId w:val="386152699"/>
        <w:rPr>
          <w:rFonts w:eastAsia="Times New Roman"/>
        </w:rPr>
      </w:pPr>
      <w:r>
        <w:rPr>
          <w:rFonts w:eastAsia="Times New Roman"/>
          <w:b/>
          <w:bCs/>
          <w:i/>
          <w:iCs/>
          <w:color w:val="000000"/>
          <w:sz w:val="20"/>
          <w:szCs w:val="20"/>
        </w:rPr>
        <w:t>Bcf -</w:t>
      </w:r>
      <w:r>
        <w:rPr>
          <w:rFonts w:eastAsia="Times New Roman"/>
          <w:color w:val="000000"/>
          <w:sz w:val="20"/>
          <w:szCs w:val="20"/>
        </w:rPr>
        <w:t xml:space="preserve"> Billions of cubic feet</w:t>
      </w:r>
    </w:p>
    <w:p w:rsidR="00000000" w:rsidRDefault="00844BCF">
      <w:pPr>
        <w:jc w:val="both"/>
        <w:divId w:val="8996684"/>
        <w:rPr>
          <w:rFonts w:eastAsia="Times New Roman"/>
        </w:rPr>
      </w:pPr>
      <w:r>
        <w:rPr>
          <w:rFonts w:eastAsia="Times New Roman"/>
          <w:b/>
          <w:bCs/>
          <w:i/>
          <w:iCs/>
          <w:color w:val="000000"/>
          <w:sz w:val="20"/>
          <w:szCs w:val="20"/>
        </w:rPr>
        <w:t xml:space="preserve">CARES Act - </w:t>
      </w:r>
      <w:r>
        <w:rPr>
          <w:rFonts w:eastAsia="Times New Roman"/>
          <w:color w:val="000000"/>
          <w:sz w:val="20"/>
          <w:szCs w:val="20"/>
        </w:rPr>
        <w:t>Coronavirus Aid, Relief, and Economic Security Act</w:t>
      </w:r>
    </w:p>
    <w:p w:rsidR="00000000" w:rsidRDefault="00844BCF">
      <w:pPr>
        <w:jc w:val="both"/>
        <w:divId w:val="992488426"/>
        <w:rPr>
          <w:rFonts w:eastAsia="Times New Roman"/>
        </w:rPr>
      </w:pPr>
      <w:r>
        <w:rPr>
          <w:rFonts w:eastAsia="Times New Roman"/>
          <w:b/>
          <w:bCs/>
          <w:i/>
          <w:iCs/>
          <w:color w:val="000000"/>
          <w:sz w:val="20"/>
          <w:szCs w:val="20"/>
        </w:rPr>
        <w:t>CDC</w:t>
      </w:r>
      <w:r>
        <w:rPr>
          <w:rFonts w:eastAsia="Times New Roman"/>
          <w:color w:val="000000"/>
          <w:sz w:val="20"/>
          <w:szCs w:val="20"/>
        </w:rPr>
        <w:t xml:space="preserve"> - Centers for Disease Control and Prevention</w:t>
      </w:r>
    </w:p>
    <w:p w:rsidR="00000000" w:rsidRDefault="00844BCF">
      <w:pPr>
        <w:jc w:val="both"/>
        <w:divId w:val="1461070605"/>
        <w:rPr>
          <w:rFonts w:eastAsia="Times New Roman"/>
        </w:rPr>
      </w:pPr>
      <w:r>
        <w:rPr>
          <w:rFonts w:eastAsia="Times New Roman"/>
          <w:b/>
          <w:bCs/>
          <w:i/>
          <w:iCs/>
          <w:color w:val="000000"/>
          <w:sz w:val="20"/>
          <w:szCs w:val="20"/>
        </w:rPr>
        <w:t>COA -</w:t>
      </w:r>
      <w:r>
        <w:rPr>
          <w:rFonts w:eastAsia="Times New Roman"/>
          <w:color w:val="000000"/>
          <w:sz w:val="20"/>
          <w:szCs w:val="20"/>
        </w:rPr>
        <w:t xml:space="preserve"> Consent Order and Agreement</w:t>
      </w:r>
    </w:p>
    <w:p w:rsidR="00000000" w:rsidRDefault="00844BCF">
      <w:pPr>
        <w:jc w:val="both"/>
        <w:divId w:val="865873931"/>
        <w:rPr>
          <w:rFonts w:eastAsia="Times New Roman"/>
        </w:rPr>
      </w:pPr>
      <w:r>
        <w:rPr>
          <w:rFonts w:eastAsia="Times New Roman"/>
          <w:b/>
          <w:bCs/>
          <w:i/>
          <w:iCs/>
          <w:color w:val="000000"/>
          <w:sz w:val="20"/>
          <w:szCs w:val="20"/>
        </w:rPr>
        <w:t>CODM -</w:t>
      </w:r>
      <w:r>
        <w:rPr>
          <w:rFonts w:eastAsia="Times New Roman"/>
          <w:color w:val="000000"/>
          <w:sz w:val="20"/>
          <w:szCs w:val="20"/>
        </w:rPr>
        <w:t xml:space="preserve"> </w:t>
      </w:r>
      <w:r>
        <w:rPr>
          <w:rFonts w:eastAsia="Times New Roman"/>
          <w:color w:val="000000"/>
          <w:sz w:val="20"/>
          <w:szCs w:val="20"/>
        </w:rPr>
        <w:t>Chief Operating Decision Maker as defined in ASC 280, “Segment Reporting”</w:t>
      </w:r>
    </w:p>
    <w:p w:rsidR="00000000" w:rsidRDefault="00844BCF">
      <w:pPr>
        <w:jc w:val="both"/>
        <w:divId w:val="553927477"/>
        <w:rPr>
          <w:rFonts w:eastAsia="Times New Roman"/>
        </w:rPr>
      </w:pPr>
      <w:r>
        <w:rPr>
          <w:rFonts w:eastAsia="Times New Roman"/>
          <w:b/>
          <w:bCs/>
          <w:i/>
          <w:iCs/>
          <w:color w:val="000000"/>
          <w:sz w:val="20"/>
          <w:szCs w:val="20"/>
        </w:rPr>
        <w:t xml:space="preserve">Common Stock - </w:t>
      </w:r>
      <w:r>
        <w:rPr>
          <w:rFonts w:eastAsia="Times New Roman"/>
          <w:color w:val="000000"/>
          <w:sz w:val="20"/>
          <w:szCs w:val="20"/>
        </w:rPr>
        <w:t>shares of UGI common stock</w:t>
      </w:r>
    </w:p>
    <w:p w:rsidR="00000000" w:rsidRDefault="00844BCF">
      <w:pPr>
        <w:jc w:val="both"/>
        <w:divId w:val="1377196387"/>
        <w:rPr>
          <w:rFonts w:eastAsia="Times New Roman"/>
        </w:rPr>
      </w:pPr>
      <w:r>
        <w:rPr>
          <w:rFonts w:eastAsia="Times New Roman"/>
          <w:b/>
          <w:bCs/>
          <w:i/>
          <w:iCs/>
          <w:color w:val="000000"/>
          <w:sz w:val="20"/>
          <w:szCs w:val="20"/>
        </w:rPr>
        <w:t>Convertible Preferred Stock</w:t>
      </w:r>
      <w:r>
        <w:rPr>
          <w:rFonts w:eastAsia="Times New Roman"/>
          <w:color w:val="000000"/>
          <w:sz w:val="20"/>
          <w:szCs w:val="20"/>
        </w:rPr>
        <w:t xml:space="preserve"> - Preferred stock of UGI titled 0.125% series A cumulative perpetual convertible preferred stock without par val</w:t>
      </w:r>
      <w:r>
        <w:rPr>
          <w:rFonts w:eastAsia="Times New Roman"/>
          <w:color w:val="000000"/>
          <w:sz w:val="20"/>
          <w:szCs w:val="20"/>
        </w:rPr>
        <w:t>ue and having a liquidation preference of $1,000 per share</w:t>
      </w:r>
    </w:p>
    <w:p w:rsidR="00000000" w:rsidRDefault="00844BCF">
      <w:pPr>
        <w:jc w:val="both"/>
        <w:divId w:val="1165052037"/>
        <w:rPr>
          <w:rFonts w:eastAsia="Times New Roman"/>
        </w:rPr>
      </w:pPr>
      <w:r>
        <w:rPr>
          <w:rFonts w:eastAsia="Times New Roman"/>
          <w:b/>
          <w:bCs/>
          <w:i/>
          <w:iCs/>
          <w:color w:val="000000"/>
          <w:sz w:val="20"/>
          <w:szCs w:val="20"/>
        </w:rPr>
        <w:lastRenderedPageBreak/>
        <w:t>COVID-19 -</w:t>
      </w:r>
      <w:r>
        <w:rPr>
          <w:rFonts w:eastAsia="Times New Roman"/>
          <w:color w:val="000000"/>
          <w:sz w:val="20"/>
          <w:szCs w:val="20"/>
        </w:rPr>
        <w:t xml:space="preserve"> A novel strain of coronavirus disease discovered in 2019</w:t>
      </w:r>
    </w:p>
    <w:p w:rsidR="00000000" w:rsidRDefault="00844BCF">
      <w:pPr>
        <w:jc w:val="both"/>
        <w:divId w:val="854461709"/>
        <w:rPr>
          <w:rFonts w:eastAsia="Times New Roman"/>
        </w:rPr>
      </w:pPr>
      <w:r>
        <w:rPr>
          <w:rFonts w:eastAsia="Times New Roman"/>
          <w:b/>
          <w:bCs/>
          <w:i/>
          <w:iCs/>
          <w:color w:val="000000"/>
          <w:sz w:val="20"/>
          <w:szCs w:val="20"/>
        </w:rPr>
        <w:t>DS -</w:t>
      </w:r>
      <w:r>
        <w:rPr>
          <w:rFonts w:eastAsia="Times New Roman"/>
          <w:color w:val="000000"/>
          <w:sz w:val="20"/>
          <w:szCs w:val="20"/>
        </w:rPr>
        <w:t xml:space="preserve"> Default service</w:t>
      </w:r>
    </w:p>
    <w:p w:rsidR="00000000" w:rsidRDefault="00844BCF">
      <w:pPr>
        <w:jc w:val="both"/>
        <w:divId w:val="792093996"/>
        <w:rPr>
          <w:rFonts w:eastAsia="Times New Roman"/>
        </w:rPr>
      </w:pPr>
      <w:r>
        <w:rPr>
          <w:rFonts w:eastAsia="Times New Roman"/>
          <w:b/>
          <w:bCs/>
          <w:i/>
          <w:iCs/>
          <w:color w:val="000000"/>
          <w:sz w:val="20"/>
          <w:szCs w:val="20"/>
        </w:rPr>
        <w:t>DSIC</w:t>
      </w:r>
      <w:r>
        <w:rPr>
          <w:rFonts w:eastAsia="Times New Roman"/>
          <w:color w:val="000000"/>
          <w:sz w:val="20"/>
          <w:szCs w:val="20"/>
        </w:rPr>
        <w:t xml:space="preserve"> - Distribution System Improvement Charge</w:t>
      </w:r>
    </w:p>
    <w:p w:rsidR="00000000" w:rsidRDefault="00844BCF">
      <w:pPr>
        <w:jc w:val="both"/>
        <w:divId w:val="2096047743"/>
        <w:rPr>
          <w:rFonts w:eastAsia="Times New Roman"/>
        </w:rPr>
      </w:pPr>
      <w:r>
        <w:rPr>
          <w:rFonts w:eastAsia="Times New Roman"/>
          <w:b/>
          <w:bCs/>
          <w:i/>
          <w:iCs/>
          <w:color w:val="000000"/>
          <w:sz w:val="20"/>
          <w:szCs w:val="20"/>
        </w:rPr>
        <w:t xml:space="preserve">Energy Services Credit Agreement - </w:t>
      </w:r>
      <w:r>
        <w:rPr>
          <w:rFonts w:eastAsia="Times New Roman"/>
          <w:color w:val="000000"/>
          <w:sz w:val="20"/>
          <w:szCs w:val="20"/>
        </w:rPr>
        <w:t xml:space="preserve">Third amended and restated </w:t>
      </w:r>
      <w:r>
        <w:rPr>
          <w:rFonts w:eastAsia="Times New Roman"/>
          <w:color w:val="000000"/>
          <w:sz w:val="20"/>
          <w:szCs w:val="20"/>
        </w:rPr>
        <w:t>credit agreement entered into by Energy Services, as borrower, providing for borrowings up to $260 million, including a letter or credit subfacility of up to $50 million, scheduled to expire in March 2025</w:t>
      </w:r>
    </w:p>
    <w:p w:rsidR="00000000" w:rsidRDefault="00844BCF">
      <w:pPr>
        <w:jc w:val="both"/>
        <w:divId w:val="1912542779"/>
        <w:rPr>
          <w:rFonts w:eastAsia="Times New Roman"/>
        </w:rPr>
      </w:pPr>
      <w:r>
        <w:rPr>
          <w:rFonts w:eastAsia="Times New Roman"/>
          <w:b/>
          <w:bCs/>
          <w:i/>
          <w:iCs/>
          <w:color w:val="000000"/>
          <w:sz w:val="20"/>
          <w:szCs w:val="20"/>
        </w:rPr>
        <w:t xml:space="preserve">Equity Unit - </w:t>
      </w:r>
      <w:r>
        <w:rPr>
          <w:rFonts w:eastAsia="Times New Roman"/>
          <w:color w:val="000000"/>
          <w:sz w:val="20"/>
          <w:szCs w:val="20"/>
        </w:rPr>
        <w:t>A corporate unit consisting of a 2024</w:t>
      </w:r>
      <w:r>
        <w:rPr>
          <w:rFonts w:eastAsia="Times New Roman"/>
          <w:color w:val="000000"/>
          <w:sz w:val="20"/>
          <w:szCs w:val="20"/>
        </w:rPr>
        <w:t xml:space="preserve"> Purchase Contract and 1/10th or 10% undivided interest in one share of Convertible Preferred Stock</w:t>
      </w:r>
    </w:p>
    <w:p w:rsidR="00000000" w:rsidRDefault="00844BCF">
      <w:pPr>
        <w:divId w:val="1457868584"/>
        <w:rPr>
          <w:rFonts w:eastAsia="Times New Roman"/>
        </w:rPr>
      </w:pPr>
      <w:r>
        <w:rPr>
          <w:rFonts w:eastAsia="Times New Roman"/>
          <w:b/>
          <w:bCs/>
          <w:i/>
          <w:iCs/>
          <w:color w:val="000000"/>
          <w:sz w:val="20"/>
          <w:szCs w:val="20"/>
        </w:rPr>
        <w:t>Exchange Act -</w:t>
      </w:r>
      <w:r>
        <w:rPr>
          <w:rFonts w:eastAsia="Times New Roman"/>
          <w:color w:val="000000"/>
          <w:sz w:val="20"/>
          <w:szCs w:val="20"/>
        </w:rPr>
        <w:t xml:space="preserve"> Securities Exchange Act of 1934, as amended</w:t>
      </w:r>
    </w:p>
    <w:p w:rsidR="00000000" w:rsidRDefault="00844BCF">
      <w:pPr>
        <w:divId w:val="1250962222"/>
        <w:rPr>
          <w:rFonts w:eastAsia="Times New Roman"/>
        </w:rPr>
      </w:pPr>
      <w:r>
        <w:rPr>
          <w:rFonts w:eastAsia="Times New Roman"/>
          <w:b/>
          <w:bCs/>
          <w:i/>
          <w:iCs/>
          <w:color w:val="000000"/>
          <w:sz w:val="20"/>
          <w:szCs w:val="20"/>
        </w:rPr>
        <w:t>FASB -</w:t>
      </w:r>
      <w:r>
        <w:rPr>
          <w:rFonts w:eastAsia="Times New Roman"/>
          <w:color w:val="000000"/>
          <w:sz w:val="20"/>
          <w:szCs w:val="20"/>
        </w:rPr>
        <w:t xml:space="preserve"> Financial Accounting Standards Board</w:t>
      </w:r>
    </w:p>
    <w:p w:rsidR="00000000" w:rsidRDefault="00844BCF">
      <w:pPr>
        <w:jc w:val="both"/>
        <w:divId w:val="220677681"/>
        <w:rPr>
          <w:rFonts w:eastAsia="Times New Roman"/>
        </w:rPr>
      </w:pPr>
      <w:r>
        <w:rPr>
          <w:rFonts w:eastAsia="Times New Roman"/>
          <w:b/>
          <w:bCs/>
          <w:i/>
          <w:iCs/>
          <w:color w:val="000000"/>
          <w:sz w:val="20"/>
          <w:szCs w:val="20"/>
        </w:rPr>
        <w:t>FDIC -</w:t>
      </w:r>
      <w:r>
        <w:rPr>
          <w:rFonts w:eastAsia="Times New Roman"/>
          <w:color w:val="000000"/>
          <w:sz w:val="20"/>
          <w:szCs w:val="20"/>
        </w:rPr>
        <w:t xml:space="preserve"> Federal Deposit Insurance Corporation</w:t>
      </w:r>
    </w:p>
    <w:p w:rsidR="00000000" w:rsidRDefault="00844BCF">
      <w:pPr>
        <w:jc w:val="center"/>
        <w:divId w:val="1451896782"/>
        <w:rPr>
          <w:rFonts w:eastAsia="Times New Roman"/>
        </w:rPr>
      </w:pPr>
      <w:r>
        <w:rPr>
          <w:rFonts w:eastAsia="Times New Roman"/>
          <w:color w:val="000000"/>
          <w:sz w:val="20"/>
          <w:szCs w:val="20"/>
        </w:rPr>
        <w:t>2</w:t>
      </w:r>
    </w:p>
    <w:p w:rsidR="00000000" w:rsidRDefault="00844BCF">
      <w:pPr>
        <w:rPr>
          <w:rFonts w:eastAsia="Times New Roman"/>
        </w:rPr>
      </w:pPr>
      <w:r>
        <w:rPr>
          <w:rFonts w:eastAsia="Times New Roman"/>
        </w:rPr>
        <w:pict>
          <v:rect id="_x0000_i1028" style="width:0;height:1.5pt" o:hralign="center" o:hrstd="t" o:hr="t" fillcolor="#a0a0a0" stroked="f"/>
        </w:pict>
      </w:r>
    </w:p>
    <w:p w:rsidR="00000000" w:rsidRDefault="00844BCF">
      <w:pPr>
        <w:divId w:val="66004422"/>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2070421458"/>
        <w:rPr>
          <w:rFonts w:eastAsia="Times New Roman"/>
        </w:rPr>
      </w:pPr>
    </w:p>
    <w:p w:rsidR="00000000" w:rsidRDefault="00844BCF">
      <w:pPr>
        <w:divId w:val="931278024"/>
        <w:rPr>
          <w:rFonts w:eastAsia="Times New Roman"/>
        </w:rPr>
      </w:pPr>
    </w:p>
    <w:p w:rsidR="00000000" w:rsidRDefault="00844BCF">
      <w:pPr>
        <w:jc w:val="both"/>
        <w:divId w:val="1275791877"/>
        <w:rPr>
          <w:rFonts w:eastAsia="Times New Roman"/>
        </w:rPr>
      </w:pPr>
      <w:r>
        <w:rPr>
          <w:rFonts w:eastAsia="Times New Roman"/>
          <w:b/>
          <w:bCs/>
          <w:i/>
          <w:iCs/>
          <w:color w:val="000000"/>
          <w:sz w:val="20"/>
          <w:szCs w:val="20"/>
        </w:rPr>
        <w:t>FERC -</w:t>
      </w:r>
      <w:r>
        <w:rPr>
          <w:rFonts w:eastAsia="Times New Roman"/>
          <w:color w:val="000000"/>
          <w:sz w:val="20"/>
          <w:szCs w:val="20"/>
        </w:rPr>
        <w:t xml:space="preserve"> Federal Energy Regulatory Commission</w:t>
      </w:r>
    </w:p>
    <w:p w:rsidR="00000000" w:rsidRDefault="00844BCF">
      <w:pPr>
        <w:jc w:val="both"/>
        <w:divId w:val="1974601989"/>
        <w:rPr>
          <w:rFonts w:eastAsia="Times New Roman"/>
        </w:rPr>
      </w:pPr>
      <w:r>
        <w:rPr>
          <w:rFonts w:eastAsia="Times New Roman"/>
          <w:b/>
          <w:bCs/>
          <w:i/>
          <w:iCs/>
          <w:color w:val="000000"/>
          <w:sz w:val="20"/>
          <w:szCs w:val="20"/>
        </w:rPr>
        <w:t>Fiscal 2019</w:t>
      </w:r>
      <w:r>
        <w:rPr>
          <w:rFonts w:eastAsia="Times New Roman"/>
          <w:color w:val="000000"/>
          <w:sz w:val="20"/>
          <w:szCs w:val="20"/>
        </w:rPr>
        <w:t xml:space="preserve"> - The fiscal year ended September 30, 2019</w:t>
      </w:r>
    </w:p>
    <w:p w:rsidR="00000000" w:rsidRDefault="00844BCF">
      <w:pPr>
        <w:jc w:val="both"/>
        <w:divId w:val="468472950"/>
        <w:rPr>
          <w:rFonts w:eastAsia="Times New Roman"/>
        </w:rPr>
      </w:pPr>
      <w:r>
        <w:rPr>
          <w:rFonts w:eastAsia="Times New Roman"/>
          <w:b/>
          <w:bCs/>
          <w:i/>
          <w:iCs/>
          <w:color w:val="000000"/>
          <w:sz w:val="20"/>
          <w:szCs w:val="20"/>
        </w:rPr>
        <w:t>Fiscal 2020</w:t>
      </w:r>
      <w:r>
        <w:rPr>
          <w:rFonts w:eastAsia="Times New Roman"/>
          <w:color w:val="000000"/>
          <w:sz w:val="20"/>
          <w:szCs w:val="20"/>
        </w:rPr>
        <w:t xml:space="preserve"> - The fiscal year ended September 3</w:t>
      </w:r>
      <w:r>
        <w:rPr>
          <w:rFonts w:eastAsia="Times New Roman"/>
          <w:color w:val="000000"/>
          <w:sz w:val="20"/>
          <w:szCs w:val="20"/>
        </w:rPr>
        <w:t>0, 2020</w:t>
      </w:r>
    </w:p>
    <w:p w:rsidR="00000000" w:rsidRDefault="00844BCF">
      <w:pPr>
        <w:jc w:val="both"/>
        <w:divId w:val="1498880767"/>
        <w:rPr>
          <w:rFonts w:eastAsia="Times New Roman"/>
        </w:rPr>
      </w:pPr>
      <w:r>
        <w:rPr>
          <w:rFonts w:eastAsia="Times New Roman"/>
          <w:b/>
          <w:bCs/>
          <w:i/>
          <w:iCs/>
          <w:color w:val="000000"/>
          <w:sz w:val="20"/>
          <w:szCs w:val="20"/>
        </w:rPr>
        <w:t>Fiscal 2021</w:t>
      </w:r>
      <w:r>
        <w:rPr>
          <w:rFonts w:eastAsia="Times New Roman"/>
          <w:color w:val="000000"/>
          <w:sz w:val="20"/>
          <w:szCs w:val="20"/>
        </w:rPr>
        <w:t xml:space="preserve"> - The fiscal year ended September 30, 2021</w:t>
      </w:r>
    </w:p>
    <w:p w:rsidR="00000000" w:rsidRDefault="00844BCF">
      <w:pPr>
        <w:jc w:val="both"/>
        <w:divId w:val="1169373610"/>
        <w:rPr>
          <w:rFonts w:eastAsia="Times New Roman"/>
        </w:rPr>
      </w:pPr>
      <w:r>
        <w:rPr>
          <w:rFonts w:eastAsia="Times New Roman"/>
          <w:b/>
          <w:bCs/>
          <w:i/>
          <w:iCs/>
          <w:color w:val="000000"/>
          <w:sz w:val="20"/>
          <w:szCs w:val="20"/>
        </w:rPr>
        <w:t>Fiscal 2022</w:t>
      </w:r>
      <w:r>
        <w:rPr>
          <w:rFonts w:eastAsia="Times New Roman"/>
          <w:color w:val="000000"/>
          <w:sz w:val="20"/>
          <w:szCs w:val="20"/>
        </w:rPr>
        <w:t xml:space="preserve"> - The fiscal year ending September 30, 2022</w:t>
      </w:r>
    </w:p>
    <w:p w:rsidR="00000000" w:rsidRDefault="00844BCF">
      <w:pPr>
        <w:jc w:val="both"/>
        <w:divId w:val="974066089"/>
        <w:rPr>
          <w:rFonts w:eastAsia="Times New Roman"/>
        </w:rPr>
      </w:pPr>
      <w:r>
        <w:rPr>
          <w:rFonts w:eastAsia="Times New Roman"/>
          <w:b/>
          <w:bCs/>
          <w:i/>
          <w:iCs/>
          <w:color w:val="000000"/>
          <w:sz w:val="20"/>
          <w:szCs w:val="20"/>
        </w:rPr>
        <w:t>Fiscal 2023</w:t>
      </w:r>
      <w:r>
        <w:rPr>
          <w:rFonts w:eastAsia="Times New Roman"/>
          <w:color w:val="000000"/>
          <w:sz w:val="20"/>
          <w:szCs w:val="20"/>
        </w:rPr>
        <w:t xml:space="preserve"> - The fiscal year ending September 30, 2023</w:t>
      </w:r>
    </w:p>
    <w:p w:rsidR="00000000" w:rsidRDefault="00844BCF">
      <w:pPr>
        <w:jc w:val="both"/>
        <w:divId w:val="77018269"/>
        <w:rPr>
          <w:rFonts w:eastAsia="Times New Roman"/>
        </w:rPr>
      </w:pPr>
      <w:r>
        <w:rPr>
          <w:rFonts w:eastAsia="Times New Roman"/>
          <w:b/>
          <w:bCs/>
          <w:i/>
          <w:iCs/>
          <w:color w:val="000000"/>
          <w:sz w:val="20"/>
          <w:szCs w:val="20"/>
        </w:rPr>
        <w:t>GAAP -</w:t>
      </w:r>
      <w:r>
        <w:rPr>
          <w:rFonts w:eastAsia="Times New Roman"/>
          <w:color w:val="000000"/>
          <w:sz w:val="20"/>
          <w:szCs w:val="20"/>
        </w:rPr>
        <w:t xml:space="preserve"> U.S. generally accepted accounting principles</w:t>
      </w:r>
    </w:p>
    <w:p w:rsidR="00000000" w:rsidRDefault="00844BCF">
      <w:pPr>
        <w:jc w:val="both"/>
        <w:divId w:val="230585876"/>
        <w:rPr>
          <w:rFonts w:eastAsia="Times New Roman"/>
        </w:rPr>
      </w:pPr>
      <w:r>
        <w:rPr>
          <w:rFonts w:eastAsia="Times New Roman"/>
          <w:b/>
          <w:bCs/>
          <w:i/>
          <w:iCs/>
          <w:color w:val="000000"/>
          <w:sz w:val="20"/>
          <w:szCs w:val="20"/>
        </w:rPr>
        <w:t>Gwh -</w:t>
      </w:r>
      <w:r>
        <w:rPr>
          <w:rFonts w:eastAsia="Times New Roman"/>
          <w:color w:val="000000"/>
          <w:sz w:val="20"/>
          <w:szCs w:val="20"/>
        </w:rPr>
        <w:t xml:space="preserve"> Millions of kilowatt h</w:t>
      </w:r>
      <w:r>
        <w:rPr>
          <w:rFonts w:eastAsia="Times New Roman"/>
          <w:color w:val="000000"/>
          <w:sz w:val="20"/>
          <w:szCs w:val="20"/>
        </w:rPr>
        <w:t>ours</w:t>
      </w:r>
    </w:p>
    <w:p w:rsidR="00000000" w:rsidRDefault="00844BCF">
      <w:pPr>
        <w:jc w:val="both"/>
        <w:divId w:val="236131075"/>
        <w:rPr>
          <w:rFonts w:eastAsia="Times New Roman"/>
        </w:rPr>
      </w:pPr>
      <w:r>
        <w:rPr>
          <w:rFonts w:eastAsia="Times New Roman"/>
          <w:b/>
          <w:bCs/>
          <w:i/>
          <w:iCs/>
          <w:color w:val="000000"/>
          <w:sz w:val="20"/>
          <w:szCs w:val="20"/>
        </w:rPr>
        <w:t>ICE -</w:t>
      </w:r>
      <w:r>
        <w:rPr>
          <w:rFonts w:eastAsia="Times New Roman"/>
          <w:color w:val="000000"/>
          <w:sz w:val="20"/>
          <w:szCs w:val="20"/>
        </w:rPr>
        <w:t xml:space="preserve"> Intercontinental Exchange</w:t>
      </w:r>
    </w:p>
    <w:p w:rsidR="00000000" w:rsidRDefault="00844BCF">
      <w:pPr>
        <w:jc w:val="both"/>
        <w:divId w:val="1908415271"/>
        <w:rPr>
          <w:rFonts w:eastAsia="Times New Roman"/>
        </w:rPr>
      </w:pPr>
      <w:r>
        <w:rPr>
          <w:rFonts w:eastAsia="Times New Roman"/>
          <w:b/>
          <w:bCs/>
          <w:i/>
          <w:iCs/>
          <w:color w:val="000000"/>
          <w:sz w:val="20"/>
          <w:szCs w:val="20"/>
        </w:rPr>
        <w:t>IRPA -</w:t>
      </w:r>
      <w:r>
        <w:rPr>
          <w:rFonts w:eastAsia="Times New Roman"/>
          <w:color w:val="000000"/>
          <w:sz w:val="20"/>
          <w:szCs w:val="20"/>
        </w:rPr>
        <w:t xml:space="preserve"> Interest rate protection agreement</w:t>
      </w:r>
    </w:p>
    <w:p w:rsidR="00000000" w:rsidRDefault="00844BCF">
      <w:pPr>
        <w:jc w:val="both"/>
        <w:divId w:val="700011151"/>
        <w:rPr>
          <w:rFonts w:eastAsia="Times New Roman"/>
        </w:rPr>
      </w:pPr>
      <w:r>
        <w:rPr>
          <w:rFonts w:eastAsia="Times New Roman"/>
          <w:b/>
          <w:bCs/>
          <w:i/>
          <w:iCs/>
          <w:color w:val="000000"/>
          <w:sz w:val="20"/>
          <w:szCs w:val="20"/>
        </w:rPr>
        <w:t>LNG -</w:t>
      </w:r>
      <w:r>
        <w:rPr>
          <w:rFonts w:eastAsia="Times New Roman"/>
          <w:color w:val="000000"/>
          <w:sz w:val="20"/>
          <w:szCs w:val="20"/>
        </w:rPr>
        <w:t xml:space="preserve"> Liquefied natural gas</w:t>
      </w:r>
    </w:p>
    <w:p w:rsidR="00000000" w:rsidRDefault="00844BCF">
      <w:pPr>
        <w:jc w:val="both"/>
        <w:divId w:val="1676345660"/>
        <w:rPr>
          <w:rFonts w:eastAsia="Times New Roman"/>
        </w:rPr>
      </w:pPr>
      <w:r>
        <w:rPr>
          <w:rFonts w:eastAsia="Times New Roman"/>
          <w:b/>
          <w:bCs/>
          <w:i/>
          <w:iCs/>
          <w:color w:val="000000"/>
          <w:sz w:val="20"/>
          <w:szCs w:val="20"/>
        </w:rPr>
        <w:t>LPG -</w:t>
      </w:r>
      <w:r>
        <w:rPr>
          <w:rFonts w:eastAsia="Times New Roman"/>
          <w:color w:val="000000"/>
          <w:sz w:val="20"/>
          <w:szCs w:val="20"/>
        </w:rPr>
        <w:t xml:space="preserve"> Liquefied petroleum gas</w:t>
      </w:r>
    </w:p>
    <w:p w:rsidR="00000000" w:rsidRDefault="00844BCF">
      <w:pPr>
        <w:jc w:val="both"/>
        <w:divId w:val="1858736458"/>
        <w:rPr>
          <w:rFonts w:eastAsia="Times New Roman"/>
        </w:rPr>
      </w:pPr>
      <w:r>
        <w:rPr>
          <w:rFonts w:eastAsia="Times New Roman"/>
          <w:b/>
          <w:bCs/>
          <w:i/>
          <w:iCs/>
          <w:color w:val="000000"/>
          <w:sz w:val="20"/>
          <w:szCs w:val="20"/>
        </w:rPr>
        <w:t xml:space="preserve">MDPSC - </w:t>
      </w:r>
      <w:r>
        <w:rPr>
          <w:rFonts w:eastAsia="Times New Roman"/>
          <w:color w:val="000000"/>
          <w:sz w:val="20"/>
          <w:szCs w:val="20"/>
        </w:rPr>
        <w:t>Maryland Public Service Commission</w:t>
      </w:r>
    </w:p>
    <w:p w:rsidR="00000000" w:rsidRDefault="00844BCF">
      <w:pPr>
        <w:jc w:val="both"/>
        <w:divId w:val="1327826546"/>
        <w:rPr>
          <w:rFonts w:eastAsia="Times New Roman"/>
        </w:rPr>
      </w:pPr>
      <w:r>
        <w:rPr>
          <w:rFonts w:eastAsia="Times New Roman"/>
          <w:b/>
          <w:bCs/>
          <w:i/>
          <w:iCs/>
          <w:color w:val="000000"/>
          <w:sz w:val="20"/>
          <w:szCs w:val="20"/>
        </w:rPr>
        <w:t xml:space="preserve">MGP - </w:t>
      </w:r>
      <w:r>
        <w:rPr>
          <w:rFonts w:eastAsia="Times New Roman"/>
          <w:color w:val="000000"/>
          <w:sz w:val="20"/>
          <w:szCs w:val="20"/>
        </w:rPr>
        <w:t>Manufactured gas plant</w:t>
      </w:r>
    </w:p>
    <w:p w:rsidR="00000000" w:rsidRDefault="00844BCF">
      <w:pPr>
        <w:jc w:val="both"/>
        <w:divId w:val="1143039046"/>
        <w:rPr>
          <w:rFonts w:eastAsia="Times New Roman"/>
        </w:rPr>
      </w:pPr>
      <w:r>
        <w:rPr>
          <w:rFonts w:eastAsia="Times New Roman"/>
          <w:b/>
          <w:bCs/>
          <w:i/>
          <w:iCs/>
          <w:color w:val="000000"/>
          <w:sz w:val="20"/>
          <w:szCs w:val="20"/>
        </w:rPr>
        <w:t>Mountaineer Acquisition</w:t>
      </w:r>
      <w:r>
        <w:rPr>
          <w:rFonts w:eastAsia="Times New Roman"/>
          <w:b/>
          <w:bCs/>
          <w:color w:val="000000"/>
          <w:sz w:val="20"/>
          <w:szCs w:val="20"/>
        </w:rPr>
        <w:t xml:space="preserve"> -</w:t>
      </w:r>
      <w:r>
        <w:rPr>
          <w:rFonts w:eastAsia="Times New Roman"/>
          <w:color w:val="000000"/>
          <w:sz w:val="20"/>
          <w:szCs w:val="20"/>
        </w:rPr>
        <w:t xml:space="preserve"> </w:t>
      </w:r>
      <w:r>
        <w:rPr>
          <w:rFonts w:eastAsia="Times New Roman"/>
          <w:color w:val="000000"/>
          <w:sz w:val="20"/>
          <w:szCs w:val="20"/>
        </w:rPr>
        <w:t>Acquisition of Mountaintop Energy Holdings LLC, which closed on September 1, 2021</w:t>
      </w:r>
    </w:p>
    <w:p w:rsidR="00000000" w:rsidRDefault="00844BCF">
      <w:pPr>
        <w:jc w:val="both"/>
        <w:divId w:val="115296776"/>
        <w:rPr>
          <w:rFonts w:eastAsia="Times New Roman"/>
        </w:rPr>
      </w:pPr>
      <w:r>
        <w:rPr>
          <w:rFonts w:eastAsia="Times New Roman"/>
          <w:b/>
          <w:bCs/>
          <w:i/>
          <w:iCs/>
          <w:color w:val="000000"/>
          <w:sz w:val="20"/>
          <w:szCs w:val="20"/>
        </w:rPr>
        <w:t>NOAA -</w:t>
      </w:r>
      <w:r>
        <w:rPr>
          <w:rFonts w:eastAsia="Times New Roman"/>
          <w:color w:val="000000"/>
          <w:sz w:val="20"/>
          <w:szCs w:val="20"/>
        </w:rPr>
        <w:t xml:space="preserve"> National Oceanic and Atmospheric Administration</w:t>
      </w:r>
    </w:p>
    <w:p w:rsidR="00000000" w:rsidRDefault="00844BCF">
      <w:pPr>
        <w:jc w:val="both"/>
        <w:divId w:val="1158573329"/>
        <w:rPr>
          <w:rFonts w:eastAsia="Times New Roman"/>
        </w:rPr>
      </w:pPr>
      <w:r>
        <w:rPr>
          <w:rFonts w:eastAsia="Times New Roman"/>
          <w:b/>
          <w:bCs/>
          <w:i/>
          <w:iCs/>
          <w:color w:val="000000"/>
          <w:sz w:val="20"/>
          <w:szCs w:val="20"/>
        </w:rPr>
        <w:t>NPNS -</w:t>
      </w:r>
      <w:r>
        <w:rPr>
          <w:rFonts w:eastAsia="Times New Roman"/>
          <w:color w:val="000000"/>
          <w:sz w:val="20"/>
          <w:szCs w:val="20"/>
        </w:rPr>
        <w:t xml:space="preserve"> Normal purchase and normal sale</w:t>
      </w:r>
    </w:p>
    <w:p w:rsidR="00000000" w:rsidRDefault="00844BCF">
      <w:pPr>
        <w:jc w:val="both"/>
        <w:divId w:val="1216314064"/>
        <w:rPr>
          <w:rFonts w:eastAsia="Times New Roman"/>
        </w:rPr>
      </w:pPr>
      <w:r>
        <w:rPr>
          <w:rFonts w:eastAsia="Times New Roman"/>
          <w:b/>
          <w:bCs/>
          <w:i/>
          <w:iCs/>
          <w:color w:val="000000"/>
          <w:sz w:val="20"/>
          <w:szCs w:val="20"/>
        </w:rPr>
        <w:t xml:space="preserve">NYDEC - </w:t>
      </w:r>
      <w:r>
        <w:rPr>
          <w:rFonts w:eastAsia="Times New Roman"/>
          <w:color w:val="000000"/>
          <w:sz w:val="20"/>
          <w:szCs w:val="20"/>
        </w:rPr>
        <w:t>New York State Department of Environmental Conservation</w:t>
      </w:r>
    </w:p>
    <w:p w:rsidR="00000000" w:rsidRDefault="00844BCF">
      <w:pPr>
        <w:jc w:val="both"/>
        <w:divId w:val="920288729"/>
        <w:rPr>
          <w:rFonts w:eastAsia="Times New Roman"/>
        </w:rPr>
      </w:pPr>
      <w:r>
        <w:rPr>
          <w:rFonts w:eastAsia="Times New Roman"/>
          <w:b/>
          <w:bCs/>
          <w:i/>
          <w:iCs/>
          <w:color w:val="000000"/>
          <w:sz w:val="20"/>
          <w:szCs w:val="20"/>
        </w:rPr>
        <w:t>NYMEX -</w:t>
      </w:r>
      <w:r>
        <w:rPr>
          <w:rFonts w:eastAsia="Times New Roman"/>
          <w:color w:val="000000"/>
          <w:sz w:val="20"/>
          <w:szCs w:val="20"/>
        </w:rPr>
        <w:t xml:space="preserve"> New York</w:t>
      </w:r>
      <w:r>
        <w:rPr>
          <w:rFonts w:eastAsia="Times New Roman"/>
          <w:color w:val="000000"/>
          <w:sz w:val="20"/>
          <w:szCs w:val="20"/>
        </w:rPr>
        <w:t xml:space="preserve"> Mercantile Exchange</w:t>
      </w:r>
    </w:p>
    <w:p w:rsidR="00000000" w:rsidRDefault="00844BCF">
      <w:pPr>
        <w:jc w:val="both"/>
        <w:divId w:val="732234343"/>
        <w:rPr>
          <w:rFonts w:eastAsia="Times New Roman"/>
        </w:rPr>
      </w:pPr>
      <w:r>
        <w:rPr>
          <w:rFonts w:eastAsia="Times New Roman"/>
          <w:b/>
          <w:bCs/>
          <w:i/>
          <w:iCs/>
          <w:color w:val="000000"/>
          <w:sz w:val="20"/>
          <w:szCs w:val="20"/>
        </w:rPr>
        <w:lastRenderedPageBreak/>
        <w:t>PADEP -</w:t>
      </w:r>
      <w:r>
        <w:rPr>
          <w:rFonts w:eastAsia="Times New Roman"/>
          <w:color w:val="000000"/>
          <w:sz w:val="20"/>
          <w:szCs w:val="20"/>
        </w:rPr>
        <w:t xml:space="preserve"> Pennsylvania Department of Environmental Protection</w:t>
      </w:r>
    </w:p>
    <w:p w:rsidR="00000000" w:rsidRDefault="00844BCF">
      <w:pPr>
        <w:jc w:val="both"/>
        <w:divId w:val="799736328"/>
        <w:rPr>
          <w:rFonts w:eastAsia="Times New Roman"/>
        </w:rPr>
      </w:pPr>
      <w:r>
        <w:rPr>
          <w:rFonts w:eastAsia="Times New Roman"/>
          <w:b/>
          <w:bCs/>
          <w:i/>
          <w:iCs/>
          <w:color w:val="000000"/>
          <w:sz w:val="20"/>
          <w:szCs w:val="20"/>
        </w:rPr>
        <w:t>PAPUC -</w:t>
      </w:r>
      <w:r>
        <w:rPr>
          <w:rFonts w:eastAsia="Times New Roman"/>
          <w:color w:val="000000"/>
          <w:sz w:val="20"/>
          <w:szCs w:val="20"/>
        </w:rPr>
        <w:t xml:space="preserve"> Pennsylvania Public Utility Commission</w:t>
      </w:r>
    </w:p>
    <w:p w:rsidR="00000000" w:rsidRDefault="00844BCF">
      <w:pPr>
        <w:jc w:val="both"/>
        <w:divId w:val="23944767"/>
        <w:rPr>
          <w:rFonts w:eastAsia="Times New Roman"/>
        </w:rPr>
      </w:pPr>
      <w:r>
        <w:rPr>
          <w:rFonts w:eastAsia="Times New Roman"/>
          <w:b/>
          <w:bCs/>
          <w:i/>
          <w:iCs/>
          <w:color w:val="000000"/>
          <w:sz w:val="20"/>
          <w:szCs w:val="20"/>
        </w:rPr>
        <w:t>PGC -</w:t>
      </w:r>
      <w:r>
        <w:rPr>
          <w:rFonts w:eastAsia="Times New Roman"/>
          <w:color w:val="000000"/>
          <w:sz w:val="20"/>
          <w:szCs w:val="20"/>
        </w:rPr>
        <w:t xml:space="preserve"> Purchased gas costs</w:t>
      </w:r>
    </w:p>
    <w:p w:rsidR="00000000" w:rsidRDefault="00844BCF">
      <w:pPr>
        <w:jc w:val="both"/>
        <w:divId w:val="1307707994"/>
        <w:rPr>
          <w:rFonts w:eastAsia="Times New Roman"/>
        </w:rPr>
      </w:pPr>
      <w:r>
        <w:rPr>
          <w:rFonts w:eastAsia="Times New Roman"/>
          <w:b/>
          <w:bCs/>
          <w:i/>
          <w:iCs/>
          <w:color w:val="000000"/>
          <w:sz w:val="20"/>
          <w:szCs w:val="20"/>
        </w:rPr>
        <w:t xml:space="preserve">PRP - </w:t>
      </w:r>
      <w:r>
        <w:rPr>
          <w:rFonts w:eastAsia="Times New Roman"/>
          <w:color w:val="000000"/>
          <w:sz w:val="20"/>
          <w:szCs w:val="20"/>
        </w:rPr>
        <w:t>Potentially Responsible Party</w:t>
      </w:r>
    </w:p>
    <w:p w:rsidR="00000000" w:rsidRDefault="00844BCF">
      <w:pPr>
        <w:divId w:val="396055367"/>
        <w:rPr>
          <w:rFonts w:eastAsia="Times New Roman"/>
        </w:rPr>
      </w:pPr>
      <w:r>
        <w:rPr>
          <w:rFonts w:eastAsia="Times New Roman"/>
          <w:b/>
          <w:bCs/>
          <w:i/>
          <w:iCs/>
          <w:color w:val="000000"/>
          <w:sz w:val="20"/>
          <w:szCs w:val="20"/>
        </w:rPr>
        <w:t xml:space="preserve">Purchase Contracts - </w:t>
      </w:r>
      <w:r>
        <w:rPr>
          <w:rFonts w:eastAsia="Times New Roman"/>
          <w:color w:val="000000"/>
          <w:sz w:val="20"/>
          <w:szCs w:val="20"/>
        </w:rPr>
        <w:t>F</w:t>
      </w:r>
      <w:r>
        <w:rPr>
          <w:rFonts w:eastAsia="Times New Roman"/>
          <w:color w:val="000000"/>
          <w:sz w:val="20"/>
          <w:szCs w:val="20"/>
          <w:shd w:val="clear" w:color="auto" w:fill="FFFFFF"/>
        </w:rPr>
        <w:t>orward stock purchase contracts issued by UG</w:t>
      </w:r>
      <w:r>
        <w:rPr>
          <w:rFonts w:eastAsia="Times New Roman"/>
          <w:color w:val="000000"/>
          <w:sz w:val="20"/>
          <w:szCs w:val="20"/>
          <w:shd w:val="clear" w:color="auto" w:fill="FFFFFF"/>
        </w:rPr>
        <w:t>I Corporation in May 2021, which obligate holders to purchase a number of shares of UGI common stock from the Company on June 1, 2024</w:t>
      </w:r>
    </w:p>
    <w:p w:rsidR="00000000" w:rsidRDefault="00844BCF">
      <w:pPr>
        <w:jc w:val="both"/>
        <w:divId w:val="1541865985"/>
        <w:rPr>
          <w:rFonts w:eastAsia="Times New Roman"/>
        </w:rPr>
      </w:pPr>
      <w:r>
        <w:rPr>
          <w:rFonts w:eastAsia="Times New Roman"/>
          <w:b/>
          <w:bCs/>
          <w:i/>
          <w:iCs/>
          <w:color w:val="000000"/>
          <w:sz w:val="20"/>
          <w:szCs w:val="20"/>
        </w:rPr>
        <w:t>Receivables Facility -</w:t>
      </w:r>
      <w:r>
        <w:rPr>
          <w:rFonts w:eastAsia="Times New Roman"/>
          <w:color w:val="000000"/>
          <w:sz w:val="20"/>
          <w:szCs w:val="20"/>
        </w:rPr>
        <w:t xml:space="preserve"> A receivables purchase facility of Energy Services with an issuer of receivables-backed commercial </w:t>
      </w:r>
      <w:r>
        <w:rPr>
          <w:rFonts w:eastAsia="Times New Roman"/>
          <w:color w:val="000000"/>
          <w:sz w:val="20"/>
          <w:szCs w:val="20"/>
        </w:rPr>
        <w:t>paper</w:t>
      </w:r>
    </w:p>
    <w:p w:rsidR="00000000" w:rsidRDefault="00844BCF">
      <w:pPr>
        <w:jc w:val="both"/>
        <w:divId w:val="2012488044"/>
        <w:rPr>
          <w:rFonts w:eastAsia="Times New Roman"/>
        </w:rPr>
      </w:pPr>
      <w:r>
        <w:rPr>
          <w:rFonts w:eastAsia="Times New Roman"/>
          <w:b/>
          <w:bCs/>
          <w:i/>
          <w:iCs/>
          <w:color w:val="000000"/>
          <w:sz w:val="20"/>
          <w:szCs w:val="20"/>
        </w:rPr>
        <w:t>Retail core-market -</w:t>
      </w:r>
      <w:r>
        <w:rPr>
          <w:rFonts w:eastAsia="Times New Roman"/>
          <w:color w:val="000000"/>
          <w:sz w:val="20"/>
          <w:szCs w:val="20"/>
        </w:rPr>
        <w:t xml:space="preserve"> Comprises firm residential, commercial and industrial customers to whom Utilities has a statutory obligation to provide service that purchase their natural gas from Utilities</w:t>
      </w:r>
    </w:p>
    <w:p w:rsidR="00000000" w:rsidRDefault="00844BCF">
      <w:pPr>
        <w:jc w:val="both"/>
        <w:divId w:val="1326199534"/>
        <w:rPr>
          <w:rFonts w:eastAsia="Times New Roman"/>
        </w:rPr>
      </w:pPr>
      <w:r>
        <w:rPr>
          <w:rFonts w:eastAsia="Times New Roman"/>
          <w:b/>
          <w:bCs/>
          <w:i/>
          <w:iCs/>
          <w:color w:val="000000"/>
          <w:sz w:val="20"/>
          <w:szCs w:val="20"/>
        </w:rPr>
        <w:t xml:space="preserve">RNG </w:t>
      </w:r>
      <w:r>
        <w:rPr>
          <w:rFonts w:eastAsia="Times New Roman"/>
          <w:color w:val="000000"/>
          <w:sz w:val="20"/>
          <w:szCs w:val="20"/>
        </w:rPr>
        <w:t>- Renewable natural gas</w:t>
      </w:r>
    </w:p>
    <w:p w:rsidR="00000000" w:rsidRDefault="00844BCF">
      <w:pPr>
        <w:jc w:val="both"/>
        <w:divId w:val="2004040299"/>
        <w:rPr>
          <w:rFonts w:eastAsia="Times New Roman"/>
        </w:rPr>
      </w:pPr>
      <w:r>
        <w:rPr>
          <w:rFonts w:eastAsia="Times New Roman"/>
          <w:b/>
          <w:bCs/>
          <w:i/>
          <w:iCs/>
          <w:color w:val="000000"/>
          <w:sz w:val="20"/>
          <w:szCs w:val="20"/>
        </w:rPr>
        <w:t xml:space="preserve">ROD - </w:t>
      </w:r>
      <w:r>
        <w:rPr>
          <w:rFonts w:eastAsia="Times New Roman"/>
          <w:color w:val="000000"/>
          <w:sz w:val="20"/>
          <w:szCs w:val="20"/>
        </w:rPr>
        <w:t>Record of Decision</w:t>
      </w:r>
    </w:p>
    <w:p w:rsidR="00000000" w:rsidRDefault="00844BCF">
      <w:pPr>
        <w:jc w:val="both"/>
        <w:divId w:val="624165875"/>
        <w:rPr>
          <w:rFonts w:eastAsia="Times New Roman"/>
        </w:rPr>
      </w:pPr>
      <w:r>
        <w:rPr>
          <w:rFonts w:eastAsia="Times New Roman"/>
          <w:b/>
          <w:bCs/>
          <w:i/>
          <w:iCs/>
          <w:color w:val="000000"/>
          <w:sz w:val="20"/>
          <w:szCs w:val="20"/>
        </w:rPr>
        <w:t>S</w:t>
      </w:r>
      <w:r>
        <w:rPr>
          <w:rFonts w:eastAsia="Times New Roman"/>
          <w:b/>
          <w:bCs/>
          <w:i/>
          <w:iCs/>
          <w:color w:val="000000"/>
          <w:sz w:val="20"/>
          <w:szCs w:val="20"/>
        </w:rPr>
        <w:t>EC -</w:t>
      </w:r>
      <w:r>
        <w:rPr>
          <w:rFonts w:eastAsia="Times New Roman"/>
          <w:color w:val="000000"/>
          <w:sz w:val="20"/>
          <w:szCs w:val="20"/>
        </w:rPr>
        <w:t xml:space="preserve"> U.S. Securities and Exchange Commission</w:t>
      </w:r>
    </w:p>
    <w:p w:rsidR="00000000" w:rsidRDefault="00844BCF">
      <w:pPr>
        <w:jc w:val="both"/>
        <w:divId w:val="55595871"/>
        <w:rPr>
          <w:rFonts w:eastAsia="Times New Roman"/>
        </w:rPr>
      </w:pPr>
      <w:r>
        <w:rPr>
          <w:rFonts w:eastAsia="Times New Roman"/>
          <w:b/>
          <w:bCs/>
          <w:i/>
          <w:iCs/>
          <w:color w:val="000000"/>
          <w:sz w:val="20"/>
          <w:szCs w:val="20"/>
        </w:rPr>
        <w:t>Stonehenge Acquisition</w:t>
      </w:r>
      <w:r>
        <w:rPr>
          <w:rFonts w:eastAsia="Times New Roman"/>
          <w:color w:val="000000"/>
          <w:sz w:val="20"/>
          <w:szCs w:val="20"/>
        </w:rPr>
        <w:t xml:space="preserve"> - Acquisition of Stonehenge Appalachia, LLC, which closed January 27, 2022</w:t>
      </w:r>
    </w:p>
    <w:p w:rsidR="00000000" w:rsidRDefault="00844BCF">
      <w:pPr>
        <w:jc w:val="center"/>
        <w:divId w:val="301235263"/>
        <w:rPr>
          <w:rFonts w:eastAsia="Times New Roman"/>
        </w:rPr>
      </w:pPr>
      <w:r>
        <w:rPr>
          <w:rFonts w:eastAsia="Times New Roman"/>
          <w:color w:val="000000"/>
          <w:sz w:val="20"/>
          <w:szCs w:val="20"/>
        </w:rPr>
        <w:t>3</w:t>
      </w:r>
    </w:p>
    <w:p w:rsidR="00000000" w:rsidRDefault="00844BCF">
      <w:pPr>
        <w:rPr>
          <w:rFonts w:eastAsia="Times New Roman"/>
        </w:rPr>
      </w:pPr>
      <w:r>
        <w:rPr>
          <w:rFonts w:eastAsia="Times New Roman"/>
        </w:rPr>
        <w:pict>
          <v:rect id="_x0000_i1029" style="width:0;height:1.5pt" o:hralign="center" o:hrstd="t" o:hr="t" fillcolor="#a0a0a0" stroked="f"/>
        </w:pict>
      </w:r>
    </w:p>
    <w:p w:rsidR="00000000" w:rsidRDefault="00844BCF">
      <w:pPr>
        <w:divId w:val="1451893552"/>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265381683"/>
        <w:rPr>
          <w:rFonts w:eastAsia="Times New Roman"/>
        </w:rPr>
      </w:pPr>
    </w:p>
    <w:p w:rsidR="00000000" w:rsidRDefault="00844BCF">
      <w:pPr>
        <w:divId w:val="234240586"/>
        <w:rPr>
          <w:rFonts w:eastAsia="Times New Roman"/>
        </w:rPr>
      </w:pPr>
    </w:p>
    <w:p w:rsidR="00000000" w:rsidRDefault="00844BCF">
      <w:pPr>
        <w:jc w:val="both"/>
        <w:divId w:val="345593714"/>
        <w:rPr>
          <w:rFonts w:eastAsia="Times New Roman"/>
        </w:rPr>
      </w:pPr>
      <w:r>
        <w:rPr>
          <w:rFonts w:eastAsia="Times New Roman"/>
          <w:b/>
          <w:bCs/>
          <w:i/>
          <w:iCs/>
          <w:color w:val="000000"/>
          <w:sz w:val="20"/>
          <w:szCs w:val="20"/>
        </w:rPr>
        <w:t xml:space="preserve">UGI Corporation Senior Credit Facility - </w:t>
      </w:r>
      <w:r>
        <w:rPr>
          <w:rFonts w:eastAsia="Times New Roman"/>
          <w:color w:val="000000"/>
          <w:sz w:val="20"/>
          <w:szCs w:val="20"/>
        </w:rPr>
        <w:t>An amended unsecured senior facilities agreement entered into on May 4, 2021, by UGI comprising (1) a $250 million term loan due August</w:t>
      </w:r>
      <w:r>
        <w:rPr>
          <w:rFonts w:eastAsia="Times New Roman"/>
          <w:color w:val="000000"/>
          <w:sz w:val="20"/>
          <w:szCs w:val="20"/>
        </w:rPr>
        <w:t xml:space="preserve"> 2024; (2) a $300 million term loan due May 2025; (3) a $215 million term loan due May 2025 and (3) a five-year $300 million revolving credit facility (including a $10 million sublimit for letters of credit)</w:t>
      </w:r>
    </w:p>
    <w:p w:rsidR="00000000" w:rsidRDefault="00844BCF">
      <w:pPr>
        <w:jc w:val="both"/>
        <w:divId w:val="1609043454"/>
        <w:rPr>
          <w:rFonts w:eastAsia="Times New Roman"/>
        </w:rPr>
      </w:pPr>
      <w:r>
        <w:rPr>
          <w:rFonts w:eastAsia="Times New Roman"/>
          <w:b/>
          <w:bCs/>
          <w:i/>
          <w:iCs/>
          <w:color w:val="000000"/>
          <w:sz w:val="20"/>
          <w:szCs w:val="20"/>
        </w:rPr>
        <w:t>UGI International 2.50% Senior Notes -</w:t>
      </w:r>
      <w:r>
        <w:rPr>
          <w:rFonts w:eastAsia="Times New Roman"/>
          <w:color w:val="000000"/>
          <w:sz w:val="20"/>
          <w:szCs w:val="20"/>
        </w:rPr>
        <w:t xml:space="preserve"> An underw</w:t>
      </w:r>
      <w:r>
        <w:rPr>
          <w:rFonts w:eastAsia="Times New Roman"/>
          <w:color w:val="000000"/>
          <w:sz w:val="20"/>
          <w:szCs w:val="20"/>
        </w:rPr>
        <w:t>ritten private placement of €400 million principal amount of senior unsecured notes due December 1, 2029, issued by UGI International, LLC</w:t>
      </w:r>
    </w:p>
    <w:p w:rsidR="00000000" w:rsidRDefault="00844BCF">
      <w:pPr>
        <w:jc w:val="both"/>
        <w:divId w:val="1129712357"/>
        <w:rPr>
          <w:rFonts w:eastAsia="Times New Roman"/>
        </w:rPr>
      </w:pPr>
      <w:r>
        <w:rPr>
          <w:rFonts w:eastAsia="Times New Roman"/>
          <w:b/>
          <w:bCs/>
          <w:i/>
          <w:iCs/>
          <w:color w:val="000000"/>
          <w:sz w:val="20"/>
          <w:szCs w:val="20"/>
        </w:rPr>
        <w:t>UGI International 3.25% Senior Notes -</w:t>
      </w:r>
      <w:r>
        <w:rPr>
          <w:rFonts w:eastAsia="Times New Roman"/>
          <w:color w:val="000000"/>
          <w:sz w:val="20"/>
          <w:szCs w:val="20"/>
        </w:rPr>
        <w:t xml:space="preserve"> An underwritten private placement of €350 million principal amount of senior u</w:t>
      </w:r>
      <w:r>
        <w:rPr>
          <w:rFonts w:eastAsia="Times New Roman"/>
          <w:color w:val="000000"/>
          <w:sz w:val="20"/>
          <w:szCs w:val="20"/>
        </w:rPr>
        <w:t>nsecured notes due November 1, 2025, issued by UGI International, LLC</w:t>
      </w:r>
    </w:p>
    <w:p w:rsidR="00000000" w:rsidRDefault="00844BCF">
      <w:pPr>
        <w:jc w:val="both"/>
        <w:divId w:val="2133284560"/>
        <w:rPr>
          <w:rFonts w:eastAsia="Times New Roman"/>
        </w:rPr>
      </w:pPr>
      <w:r>
        <w:rPr>
          <w:rFonts w:eastAsia="Times New Roman"/>
          <w:b/>
          <w:bCs/>
          <w:i/>
          <w:iCs/>
          <w:color w:val="000000"/>
          <w:sz w:val="20"/>
          <w:szCs w:val="20"/>
        </w:rPr>
        <w:t xml:space="preserve">UGI International Credit Facilities Agreement - </w:t>
      </w:r>
      <w:r>
        <w:rPr>
          <w:rFonts w:eastAsia="Times New Roman"/>
          <w:color w:val="000000"/>
          <w:sz w:val="20"/>
          <w:szCs w:val="20"/>
        </w:rPr>
        <w:t>A five-year unsecured senior facilities agreement entered into in October 2018, by UGI International, LLC comprising a €300 million term l</w:t>
      </w:r>
      <w:r>
        <w:rPr>
          <w:rFonts w:eastAsia="Times New Roman"/>
          <w:color w:val="000000"/>
          <w:sz w:val="20"/>
          <w:szCs w:val="20"/>
        </w:rPr>
        <w:t>oan facility and a €300 million revolving credit facility, scheduled to expire in October 2023</w:t>
      </w:r>
    </w:p>
    <w:p w:rsidR="00000000" w:rsidRDefault="00844BCF">
      <w:pPr>
        <w:jc w:val="both"/>
        <w:divId w:val="303698454"/>
        <w:rPr>
          <w:rFonts w:eastAsia="Times New Roman"/>
        </w:rPr>
      </w:pPr>
      <w:r>
        <w:rPr>
          <w:rFonts w:eastAsia="Times New Roman"/>
          <w:b/>
          <w:bCs/>
          <w:i/>
          <w:iCs/>
          <w:color w:val="000000"/>
          <w:sz w:val="20"/>
          <w:szCs w:val="20"/>
        </w:rPr>
        <w:t>U.S.</w:t>
      </w:r>
      <w:r>
        <w:rPr>
          <w:rFonts w:eastAsia="Times New Roman"/>
          <w:color w:val="000000"/>
          <w:sz w:val="20"/>
          <w:szCs w:val="20"/>
        </w:rPr>
        <w:t xml:space="preserve"> - United States of America</w:t>
      </w:r>
    </w:p>
    <w:p w:rsidR="00000000" w:rsidRDefault="00844BCF">
      <w:pPr>
        <w:jc w:val="both"/>
        <w:divId w:val="1355688371"/>
        <w:rPr>
          <w:rFonts w:eastAsia="Times New Roman"/>
        </w:rPr>
      </w:pPr>
      <w:r>
        <w:rPr>
          <w:rFonts w:eastAsia="Times New Roman"/>
          <w:b/>
          <w:bCs/>
          <w:i/>
          <w:iCs/>
          <w:color w:val="000000"/>
          <w:sz w:val="20"/>
          <w:szCs w:val="20"/>
        </w:rPr>
        <w:t xml:space="preserve">USD </w:t>
      </w:r>
      <w:r>
        <w:rPr>
          <w:rFonts w:eastAsia="Times New Roman"/>
          <w:color w:val="000000"/>
          <w:sz w:val="20"/>
          <w:szCs w:val="20"/>
        </w:rPr>
        <w:t>- U.S. dollar</w:t>
      </w:r>
    </w:p>
    <w:p w:rsidR="00000000" w:rsidRDefault="00844BCF">
      <w:pPr>
        <w:jc w:val="both"/>
        <w:divId w:val="1600261640"/>
        <w:rPr>
          <w:rFonts w:eastAsia="Times New Roman"/>
        </w:rPr>
      </w:pPr>
      <w:r>
        <w:rPr>
          <w:rFonts w:eastAsia="Times New Roman"/>
          <w:b/>
          <w:bCs/>
          <w:i/>
          <w:iCs/>
          <w:color w:val="000000"/>
          <w:sz w:val="20"/>
          <w:szCs w:val="20"/>
        </w:rPr>
        <w:t>WHO</w:t>
      </w:r>
      <w:r>
        <w:rPr>
          <w:rFonts w:eastAsia="Times New Roman"/>
          <w:color w:val="000000"/>
          <w:sz w:val="20"/>
          <w:szCs w:val="20"/>
        </w:rPr>
        <w:t xml:space="preserve"> - World Health Organization</w:t>
      </w:r>
    </w:p>
    <w:p w:rsidR="00000000" w:rsidRDefault="00844BCF">
      <w:pPr>
        <w:jc w:val="both"/>
        <w:divId w:val="1729183998"/>
        <w:rPr>
          <w:rFonts w:eastAsia="Times New Roman"/>
        </w:rPr>
      </w:pPr>
      <w:r>
        <w:rPr>
          <w:rFonts w:eastAsia="Times New Roman"/>
          <w:b/>
          <w:bCs/>
          <w:i/>
          <w:iCs/>
          <w:color w:val="000000"/>
          <w:sz w:val="20"/>
          <w:szCs w:val="20"/>
        </w:rPr>
        <w:t>WVPSC</w:t>
      </w:r>
      <w:r>
        <w:rPr>
          <w:rFonts w:eastAsia="Times New Roman"/>
          <w:color w:val="000000"/>
          <w:sz w:val="20"/>
          <w:szCs w:val="20"/>
        </w:rPr>
        <w:t xml:space="preserve"> </w:t>
      </w:r>
      <w:r>
        <w:rPr>
          <w:rFonts w:eastAsia="Times New Roman"/>
          <w:color w:val="000000"/>
          <w:sz w:val="20"/>
          <w:szCs w:val="20"/>
        </w:rPr>
        <w:t>- Public Service Commission of West Virginia</w:t>
      </w:r>
    </w:p>
    <w:p w:rsidR="00000000" w:rsidRDefault="00844BCF">
      <w:pPr>
        <w:jc w:val="center"/>
        <w:divId w:val="1553809236"/>
        <w:rPr>
          <w:rFonts w:eastAsia="Times New Roman"/>
        </w:rPr>
      </w:pPr>
      <w:r>
        <w:rPr>
          <w:rFonts w:eastAsia="Times New Roman"/>
          <w:color w:val="000000"/>
          <w:sz w:val="20"/>
          <w:szCs w:val="20"/>
        </w:rPr>
        <w:t>4</w:t>
      </w:r>
    </w:p>
    <w:p w:rsidR="00000000" w:rsidRDefault="00844BCF">
      <w:pPr>
        <w:rPr>
          <w:rFonts w:eastAsia="Times New Roman"/>
        </w:rPr>
      </w:pPr>
      <w:r>
        <w:rPr>
          <w:rFonts w:eastAsia="Times New Roman"/>
        </w:rPr>
        <w:pict>
          <v:rect id="_x0000_i1030" style="width:0;height:1.5pt" o:hralign="center" o:hrstd="t" o:hr="t" fillcolor="#a0a0a0" stroked="f"/>
        </w:pict>
      </w:r>
    </w:p>
    <w:p w:rsidR="00000000" w:rsidRDefault="00844BCF">
      <w:pPr>
        <w:divId w:val="925455692"/>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495145898"/>
        <w:rPr>
          <w:rFonts w:eastAsia="Times New Roman"/>
        </w:rPr>
      </w:pPr>
      <w:r>
        <w:rPr>
          <w:rFonts w:eastAsia="Times New Roman"/>
          <w:b/>
          <w:bCs/>
          <w:color w:val="000000"/>
          <w:sz w:val="20"/>
          <w:szCs w:val="20"/>
        </w:rPr>
        <w:t>UGI CORPORATION AND SUBSIDIARIES</w:t>
      </w:r>
    </w:p>
    <w:p w:rsidR="00000000" w:rsidRDefault="00844BCF">
      <w:pPr>
        <w:jc w:val="center"/>
        <w:divId w:val="212622696"/>
        <w:rPr>
          <w:rFonts w:eastAsia="Times New Roman"/>
        </w:rPr>
      </w:pPr>
      <w:r>
        <w:rPr>
          <w:rFonts w:eastAsia="Times New Roman"/>
          <w:b/>
          <w:bCs/>
          <w:color w:val="000000"/>
          <w:sz w:val="20"/>
          <w:szCs w:val="20"/>
        </w:rPr>
        <w:t>PART I FINANCIAL INFORMATION</w:t>
      </w:r>
    </w:p>
    <w:p w:rsidR="00000000" w:rsidRDefault="00844BCF">
      <w:pPr>
        <w:jc w:val="center"/>
        <w:divId w:val="1960531524"/>
        <w:rPr>
          <w:rFonts w:eastAsia="Times New Roman"/>
        </w:rPr>
      </w:pPr>
      <w:r>
        <w:rPr>
          <w:rFonts w:eastAsia="Times New Roman"/>
          <w:b/>
          <w:bCs/>
          <w:color w:val="000000"/>
          <w:sz w:val="20"/>
          <w:szCs w:val="20"/>
        </w:rPr>
        <w:t>ITEM 1. FINANCIAL STATEMENTS</w:t>
      </w:r>
    </w:p>
    <w:p w:rsidR="00000000" w:rsidRDefault="00844BCF">
      <w:pPr>
        <w:jc w:val="center"/>
        <w:rPr>
          <w:rFonts w:eastAsia="Times New Roman"/>
        </w:rPr>
      </w:pPr>
      <w:r>
        <w:rPr>
          <w:rFonts w:eastAsia="Times New Roman"/>
          <w:b/>
          <w:bCs/>
          <w:color w:val="000000"/>
          <w:sz w:val="20"/>
          <w:szCs w:val="20"/>
        </w:rPr>
        <w:t>CONDE</w:t>
      </w:r>
      <w:r>
        <w:rPr>
          <w:rFonts w:eastAsia="Times New Roman"/>
          <w:b/>
          <w:bCs/>
          <w:color w:val="000000"/>
          <w:sz w:val="20"/>
          <w:szCs w:val="20"/>
        </w:rPr>
        <w:t>NSED CONSOLIDATED BALANCE SHEETS</w:t>
      </w:r>
    </w:p>
    <w:p w:rsidR="00000000" w:rsidRDefault="00844BCF">
      <w:pPr>
        <w:jc w:val="center"/>
        <w:rPr>
          <w:rFonts w:eastAsia="Times New Roman"/>
        </w:rPr>
      </w:pPr>
      <w:r>
        <w:rPr>
          <w:rFonts w:eastAsia="Times New Roman"/>
          <w:color w:val="000000"/>
          <w:sz w:val="20"/>
          <w:szCs w:val="20"/>
        </w:rPr>
        <w:t>(unaudited)</w:t>
      </w:r>
    </w:p>
    <w:p w:rsidR="00000000" w:rsidRDefault="00844BCF">
      <w:pPr>
        <w:jc w:val="center"/>
        <w:rPr>
          <w:rFonts w:eastAsia="Times New Roman"/>
        </w:rPr>
      </w:pPr>
      <w:r>
        <w:rPr>
          <w:rFonts w:eastAsia="Times New Roman"/>
          <w:color w:val="000000"/>
          <w:sz w:val="20"/>
          <w:szCs w:val="20"/>
        </w:rPr>
        <w:t>(Millions of dollars)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85"/>
        <w:gridCol w:w="39"/>
        <w:gridCol w:w="36"/>
        <w:gridCol w:w="36"/>
        <w:gridCol w:w="36"/>
        <w:gridCol w:w="110"/>
        <w:gridCol w:w="784"/>
        <w:gridCol w:w="36"/>
        <w:gridCol w:w="36"/>
        <w:gridCol w:w="36"/>
        <w:gridCol w:w="36"/>
        <w:gridCol w:w="111"/>
        <w:gridCol w:w="796"/>
        <w:gridCol w:w="36"/>
        <w:gridCol w:w="36"/>
        <w:gridCol w:w="36"/>
        <w:gridCol w:w="36"/>
        <w:gridCol w:w="110"/>
        <w:gridCol w:w="798"/>
        <w:gridCol w:w="36"/>
      </w:tblGrid>
      <w:tr w:rsidR="00000000">
        <w:trPr>
          <w:divId w:val="1614558278"/>
          <w:jc w:val="center"/>
        </w:trPr>
        <w:tc>
          <w:tcPr>
            <w:tcW w:w="50" w:type="pct"/>
            <w:vAlign w:val="center"/>
            <w:hideMark/>
          </w:tcPr>
          <w:p w:rsidR="00000000" w:rsidRDefault="00844BCF">
            <w:pPr>
              <w:jc w:val="center"/>
              <w:rPr>
                <w:rFonts w:eastAsia="Times New Roman"/>
              </w:rPr>
            </w:pPr>
          </w:p>
        </w:tc>
        <w:tc>
          <w:tcPr>
            <w:tcW w:w="308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2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2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March 31,</w:t>
            </w:r>
            <w:r>
              <w:rPr>
                <w:rFonts w:eastAsia="Times New Roman"/>
                <w:color w:val="000000"/>
                <w:sz w:val="18"/>
                <w:szCs w:val="18"/>
              </w:rPr>
              <w:b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September 30,</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March 31,</w:t>
            </w:r>
            <w:r>
              <w:rPr>
                <w:rFonts w:eastAsia="Times New Roman"/>
                <w:color w:val="000000"/>
                <w:sz w:val="18"/>
                <w:szCs w:val="18"/>
              </w:rPr>
              <w:br/>
              <w:t>2021</w:t>
            </w:r>
          </w:p>
        </w:tc>
      </w:tr>
      <w:tr w:rsidR="00000000">
        <w:trPr>
          <w:divId w:val="1614558278"/>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CCEE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718 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855 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444 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divId w:val="97339814"/>
              <w:rPr>
                <w:rFonts w:eastAsia="Times New Roman"/>
              </w:rPr>
            </w:pPr>
            <w:r>
              <w:rPr>
                <w:rFonts w:eastAsia="Times New Roman"/>
                <w:color w:val="000000"/>
                <w:sz w:val="18"/>
                <w:szCs w:val="18"/>
              </w:rPr>
              <w:t>Accounts receivable (less allowances for doubtful accounts of $70, $53 and $52, respectively)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1,690 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880 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1,183 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Accrued utility revenues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Income taxes receivable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398 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469 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CCEE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877 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665 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FFFF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211 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236 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74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divId w:val="1928071292"/>
              <w:rPr>
                <w:rFonts w:eastAsia="Times New Roman"/>
              </w:rPr>
            </w:pPr>
            <w:r>
              <w:rPr>
                <w:rFonts w:eastAsia="Times New Roman"/>
                <w:color w:val="000000"/>
                <w:sz w:val="18"/>
                <w:szCs w:val="18"/>
              </w:rPr>
              <w:t>Property, plant and equipment, (less accumulated depreciation of $4,117, $3,950 and $3,869, respectively)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7,812 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7,558 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7,020 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3,722 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3,770 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3,524 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545 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583 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640 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Utility regulatory assets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372 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373 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392 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340 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338 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832 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831 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924 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74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17,777 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16,723 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14,945 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LIABILITIES AND EQUITY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CCEE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Current maturities of long-term debt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FFFF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Short-term borrowings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447 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367 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340 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915 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837 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627 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FFFF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938 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923 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832 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74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Total current liabilities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2,499 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2,297 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1,892 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6,390 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6,339 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5,953 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Deferred income taxes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1,306 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1,137 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833 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1,332 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1,381 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1,393 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74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Total liabilities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11,567 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11,192 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10,117 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Commitments and contingencies (Note 9)</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Equity: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UGI Corporation stockholders’ equity: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614558278"/>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divId w:val="2142843120"/>
              <w:rPr>
                <w:rFonts w:eastAsia="Times New Roman"/>
              </w:rPr>
            </w:pPr>
            <w:r>
              <w:rPr>
                <w:rFonts w:eastAsia="Times New Roman"/>
                <w:color w:val="000000"/>
                <w:sz w:val="18"/>
                <w:szCs w:val="18"/>
              </w:rPr>
              <w:t>Preferred stock, without par value (authorized – 5,000,000 shares; issued – 220,000, 220,000 and 0 Series A shares, respectively)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161 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divId w:val="2010325300"/>
              <w:rPr>
                <w:rFonts w:eastAsia="Times New Roman"/>
              </w:rPr>
            </w:pPr>
            <w:r>
              <w:rPr>
                <w:rFonts w:eastAsia="Times New Roman"/>
                <w:color w:val="000000"/>
                <w:sz w:val="18"/>
                <w:szCs w:val="18"/>
              </w:rPr>
              <w:t>UGI Common Stock, without par value (authorized — 450,000,000 shares; issued — 210,127,957, 209,843,296 and 209,636,619 shares, respectively)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1,465 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1,394 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1,428 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Retained earnings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4,757 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4,081 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3,557 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(178)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(140)</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(126)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Treasury stock, at cost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74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Total UGI Corporation stockholders’ equity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5,522 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4,819 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38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FFFFFF"/>
            <w:tcMar>
              <w:top w:w="30" w:type="dxa"/>
              <w:left w:w="74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Total equity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5,531 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4,828 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14558278"/>
          <w:jc w:val="center"/>
        </w:trPr>
        <w:tc>
          <w:tcPr>
            <w:tcW w:w="0" w:type="auto"/>
            <w:gridSpan w:val="3"/>
            <w:shd w:val="clear" w:color="auto" w:fill="CCEEFF"/>
            <w:tcMar>
              <w:top w:w="30" w:type="dxa"/>
              <w:left w:w="74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Total liabilities and equity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17,777 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16,723 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14,945 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divId w:val="2132967103"/>
        <w:rPr>
          <w:rFonts w:eastAsia="Times New Roman"/>
        </w:rPr>
      </w:pPr>
      <w:r>
        <w:rPr>
          <w:rFonts w:eastAsia="Times New Roman"/>
          <w:color w:val="000000"/>
          <w:sz w:val="20"/>
          <w:szCs w:val="20"/>
        </w:rPr>
        <w:t>See accompanying notes to condensed consolidated financial statements.</w:t>
      </w:r>
    </w:p>
    <w:p w:rsidR="00000000" w:rsidRDefault="00844BCF">
      <w:pPr>
        <w:jc w:val="center"/>
        <w:divId w:val="69736147"/>
        <w:rPr>
          <w:rFonts w:eastAsia="Times New Roman"/>
        </w:rPr>
      </w:pPr>
      <w:r>
        <w:rPr>
          <w:rFonts w:eastAsia="Times New Roman"/>
          <w:color w:val="000000"/>
          <w:sz w:val="20"/>
          <w:szCs w:val="20"/>
        </w:rPr>
        <w:t>5</w:t>
      </w:r>
    </w:p>
    <w:p w:rsidR="00000000" w:rsidRDefault="00844BCF">
      <w:pPr>
        <w:rPr>
          <w:rFonts w:eastAsia="Times New Roman"/>
        </w:rPr>
      </w:pPr>
      <w:r>
        <w:rPr>
          <w:rFonts w:eastAsia="Times New Roman"/>
        </w:rPr>
        <w:pict>
          <v:rect id="_x0000_i1031" style="width:0;height:1.5pt" o:hralign="center" o:hrstd="t" o:hr="t" fillcolor="#a0a0a0" stroked="f"/>
        </w:pict>
      </w:r>
    </w:p>
    <w:p w:rsidR="00000000" w:rsidRDefault="00844BCF">
      <w:pPr>
        <w:divId w:val="163200889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994450191"/>
        <w:rPr>
          <w:rFonts w:eastAsia="Times New Roman"/>
        </w:rPr>
      </w:pPr>
      <w:r>
        <w:rPr>
          <w:rFonts w:eastAsia="Times New Roman"/>
          <w:b/>
          <w:bCs/>
          <w:color w:val="000000"/>
          <w:sz w:val="20"/>
          <w:szCs w:val="20"/>
        </w:rPr>
        <w:t>UGI CORPORATION AND SUBSIDIARIES</w:t>
      </w:r>
    </w:p>
    <w:p w:rsidR="00000000" w:rsidRDefault="00844BCF">
      <w:pPr>
        <w:jc w:val="center"/>
        <w:rPr>
          <w:rFonts w:eastAsia="Times New Roman"/>
        </w:rPr>
      </w:pPr>
      <w:r>
        <w:rPr>
          <w:rFonts w:eastAsia="Times New Roman"/>
          <w:b/>
          <w:bCs/>
          <w:color w:val="000000"/>
          <w:sz w:val="20"/>
          <w:szCs w:val="20"/>
        </w:rPr>
        <w:t xml:space="preserve">CONDENSED CONSOLIDATED STATEMENTS OF </w:t>
      </w:r>
      <w:r>
        <w:rPr>
          <w:rFonts w:eastAsia="Times New Roman"/>
          <w:b/>
          <w:bCs/>
          <w:color w:val="000000"/>
          <w:sz w:val="20"/>
          <w:szCs w:val="20"/>
        </w:rPr>
        <w:t>INCOME</w:t>
      </w:r>
    </w:p>
    <w:p w:rsidR="00000000" w:rsidRDefault="00844BCF">
      <w:pPr>
        <w:jc w:val="center"/>
        <w:rPr>
          <w:rFonts w:eastAsia="Times New Roman"/>
        </w:rPr>
      </w:pPr>
      <w:r>
        <w:rPr>
          <w:rFonts w:eastAsia="Times New Roman"/>
          <w:color w:val="000000"/>
          <w:sz w:val="20"/>
          <w:szCs w:val="20"/>
        </w:rPr>
        <w:t>(unaudited)</w:t>
      </w:r>
    </w:p>
    <w:p w:rsidR="00000000" w:rsidRDefault="00844BCF">
      <w:pPr>
        <w:jc w:val="center"/>
        <w:rPr>
          <w:rFonts w:eastAsia="Times New Roman"/>
        </w:rPr>
      </w:pPr>
      <w:r>
        <w:rPr>
          <w:rFonts w:eastAsia="Times New Roman"/>
          <w:color w:val="000000"/>
          <w:sz w:val="20"/>
          <w:szCs w:val="20"/>
        </w:rPr>
        <w:t>(Millions of dollars,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33"/>
        <w:gridCol w:w="38"/>
        <w:gridCol w:w="36"/>
        <w:gridCol w:w="36"/>
        <w:gridCol w:w="36"/>
        <w:gridCol w:w="121"/>
        <w:gridCol w:w="784"/>
        <w:gridCol w:w="36"/>
        <w:gridCol w:w="36"/>
        <w:gridCol w:w="36"/>
        <w:gridCol w:w="36"/>
        <w:gridCol w:w="121"/>
        <w:gridCol w:w="784"/>
        <w:gridCol w:w="36"/>
        <w:gridCol w:w="36"/>
        <w:gridCol w:w="36"/>
        <w:gridCol w:w="36"/>
        <w:gridCol w:w="121"/>
        <w:gridCol w:w="834"/>
        <w:gridCol w:w="36"/>
        <w:gridCol w:w="36"/>
        <w:gridCol w:w="36"/>
        <w:gridCol w:w="36"/>
        <w:gridCol w:w="121"/>
        <w:gridCol w:w="834"/>
        <w:gridCol w:w="36"/>
      </w:tblGrid>
      <w:tr w:rsidR="00000000">
        <w:trPr>
          <w:divId w:val="341124249"/>
        </w:trPr>
        <w:tc>
          <w:tcPr>
            <w:tcW w:w="50" w:type="pct"/>
            <w:vAlign w:val="center"/>
            <w:hideMark/>
          </w:tcPr>
          <w:p w:rsidR="00000000" w:rsidRDefault="00844BCF">
            <w:pPr>
              <w:jc w:val="center"/>
              <w:rPr>
                <w:rFonts w:eastAsia="Times New Roman"/>
              </w:rPr>
            </w:pPr>
          </w:p>
        </w:tc>
        <w:tc>
          <w:tcPr>
            <w:tcW w:w="240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2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2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341124249"/>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March 31,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Six Months Ended</w:t>
            </w:r>
            <w:r>
              <w:rPr>
                <w:rFonts w:eastAsia="Times New Roman"/>
                <w:color w:val="000000"/>
                <w:sz w:val="18"/>
                <w:szCs w:val="18"/>
              </w:rPr>
              <w:br/>
              <w:t>March 31,</w:t>
            </w:r>
          </w:p>
        </w:tc>
      </w:tr>
      <w:tr w:rsidR="00000000">
        <w:trPr>
          <w:divId w:val="341124249"/>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2021</w:t>
            </w:r>
          </w:p>
        </w:tc>
      </w:tr>
      <w:tr w:rsidR="00000000">
        <w:trPr>
          <w:divId w:val="341124249"/>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4,513 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341124249"/>
        </w:trPr>
        <w:tc>
          <w:tcPr>
            <w:tcW w:w="0" w:type="auto"/>
            <w:gridSpan w:val="3"/>
            <w:shd w:val="clear" w:color="auto" w:fill="CCEE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Cost of sales (excluding depreciation and amortization shown below)</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1,470 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1,274 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3,590 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2,107 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553 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515 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1,067 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1,004 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341124249"/>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341124249"/>
        </w:trPr>
        <w:tc>
          <w:tcPr>
            <w:tcW w:w="0" w:type="auto"/>
            <w:gridSpan w:val="3"/>
            <w:shd w:val="clear" w:color="auto" w:fill="CCEE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341124249"/>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Other operating income, net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341124249"/>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Other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Income tax expense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Net income including 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Deduct net income attributable to noncontrolling interests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Net income attributable to UGI Corporation</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Earnings per common share attributable to UGI Corporation stockholders: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341124249"/>
        </w:trPr>
        <w:tc>
          <w:tcPr>
            <w:tcW w:w="0" w:type="auto"/>
            <w:gridSpan w:val="3"/>
            <w:shd w:val="clear" w:color="auto" w:fill="CCEE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4.44 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3.79 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4.32 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3.77 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Weighted-average common shares outstanding (thousands):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341124249"/>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210,163 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208,930 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209,919 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208,849 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shd w:val="clear" w:color="auto" w:fill="CCEE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215,928 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210,092 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215,936 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209,863 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41124249"/>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bl>
    <w:p w:rsidR="00000000" w:rsidRDefault="00844BCF">
      <w:pPr>
        <w:divId w:val="109708673"/>
        <w:rPr>
          <w:rFonts w:eastAsia="Times New Roman"/>
        </w:rPr>
      </w:pPr>
      <w:r>
        <w:rPr>
          <w:rFonts w:eastAsia="Times New Roman"/>
          <w:color w:val="000000"/>
          <w:sz w:val="20"/>
          <w:szCs w:val="20"/>
        </w:rPr>
        <w:t>See accompanying notes to condensed consolidated financial statements.</w:t>
      </w:r>
    </w:p>
    <w:p w:rsidR="00000000" w:rsidRDefault="00844BCF">
      <w:pPr>
        <w:jc w:val="center"/>
        <w:rPr>
          <w:rFonts w:eastAsia="Times New Roman"/>
        </w:rPr>
      </w:pPr>
    </w:p>
    <w:p w:rsidR="00000000" w:rsidRDefault="00844BCF">
      <w:pPr>
        <w:jc w:val="center"/>
        <w:divId w:val="814302883"/>
        <w:rPr>
          <w:rFonts w:eastAsia="Times New Roman"/>
        </w:rPr>
      </w:pPr>
      <w:r>
        <w:rPr>
          <w:rFonts w:eastAsia="Times New Roman"/>
          <w:color w:val="000000"/>
          <w:sz w:val="20"/>
          <w:szCs w:val="20"/>
        </w:rPr>
        <w:t>6</w:t>
      </w:r>
    </w:p>
    <w:p w:rsidR="00000000" w:rsidRDefault="00844BCF">
      <w:pPr>
        <w:rPr>
          <w:rFonts w:eastAsia="Times New Roman"/>
        </w:rPr>
      </w:pPr>
      <w:r>
        <w:rPr>
          <w:rFonts w:eastAsia="Times New Roman"/>
        </w:rPr>
        <w:pict>
          <v:rect id="_x0000_i1032" style="width:0;height:1.5pt" o:hralign="center" o:hrstd="t" o:hr="t" fillcolor="#a0a0a0" stroked="f"/>
        </w:pict>
      </w:r>
    </w:p>
    <w:p w:rsidR="00000000" w:rsidRDefault="00844BCF">
      <w:pPr>
        <w:divId w:val="52035903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2034652655"/>
        <w:rPr>
          <w:rFonts w:eastAsia="Times New Roman"/>
        </w:rPr>
      </w:pPr>
      <w:r>
        <w:rPr>
          <w:rFonts w:eastAsia="Times New Roman"/>
          <w:b/>
          <w:bCs/>
          <w:color w:val="000000"/>
          <w:sz w:val="20"/>
          <w:szCs w:val="20"/>
        </w:rPr>
        <w:t>UGI CORPORATION AND SUBSIDIARIES</w:t>
      </w:r>
    </w:p>
    <w:p w:rsidR="00000000" w:rsidRDefault="00844BCF">
      <w:pPr>
        <w:jc w:val="center"/>
        <w:rPr>
          <w:rFonts w:eastAsia="Times New Roman"/>
        </w:rPr>
      </w:pPr>
      <w:r>
        <w:rPr>
          <w:rFonts w:eastAsia="Times New Roman"/>
          <w:b/>
          <w:bCs/>
          <w:color w:val="000000"/>
          <w:sz w:val="20"/>
          <w:szCs w:val="20"/>
        </w:rPr>
        <w:t>CONDENSED CONSOLIDATED STATEMENTS OF COMPREHENSIVE INCOME</w:t>
      </w:r>
    </w:p>
    <w:p w:rsidR="00000000" w:rsidRDefault="00844BCF">
      <w:pPr>
        <w:jc w:val="center"/>
        <w:rPr>
          <w:rFonts w:eastAsia="Times New Roman"/>
        </w:rPr>
      </w:pPr>
      <w:r>
        <w:rPr>
          <w:rFonts w:eastAsia="Times New Roman"/>
          <w:color w:val="000000"/>
          <w:sz w:val="20"/>
          <w:szCs w:val="20"/>
        </w:rPr>
        <w:t>(unaudited)</w:t>
      </w:r>
    </w:p>
    <w:p w:rsidR="00000000" w:rsidRDefault="00844BCF">
      <w:pPr>
        <w:jc w:val="center"/>
        <w:rPr>
          <w:rFonts w:eastAsia="Times New Roman"/>
        </w:rPr>
      </w:pPr>
      <w:r>
        <w:rPr>
          <w:rFonts w:eastAsia="Times New Roman"/>
          <w:color w:val="000000"/>
          <w:sz w:val="20"/>
          <w:szCs w:val="20"/>
        </w:rPr>
        <w:t>(Millions of dollars)</w:t>
      </w:r>
    </w:p>
    <w:tbl>
      <w:tblPr>
        <w:tblW w:w="5000" w:type="pct"/>
        <w:tblCellMar>
          <w:top w:w="15" w:type="dxa"/>
          <w:left w:w="15" w:type="dxa"/>
          <w:bottom w:w="15" w:type="dxa"/>
          <w:right w:w="15" w:type="dxa"/>
        </w:tblCellMar>
        <w:tblLook w:val="04A0" w:firstRow="1" w:lastRow="0" w:firstColumn="1" w:lastColumn="0" w:noHBand="0" w:noVBand="1"/>
      </w:tblPr>
      <w:tblGrid>
        <w:gridCol w:w="39"/>
        <w:gridCol w:w="4493"/>
        <w:gridCol w:w="38"/>
        <w:gridCol w:w="120"/>
        <w:gridCol w:w="721"/>
        <w:gridCol w:w="36"/>
        <w:gridCol w:w="36"/>
        <w:gridCol w:w="36"/>
        <w:gridCol w:w="36"/>
        <w:gridCol w:w="120"/>
        <w:gridCol w:w="689"/>
        <w:gridCol w:w="36"/>
        <w:gridCol w:w="36"/>
        <w:gridCol w:w="36"/>
        <w:gridCol w:w="36"/>
        <w:gridCol w:w="120"/>
        <w:gridCol w:w="689"/>
        <w:gridCol w:w="36"/>
        <w:gridCol w:w="36"/>
        <w:gridCol w:w="36"/>
        <w:gridCol w:w="36"/>
        <w:gridCol w:w="120"/>
        <w:gridCol w:w="689"/>
        <w:gridCol w:w="36"/>
      </w:tblGrid>
      <w:tr w:rsidR="00000000">
        <w:trPr>
          <w:divId w:val="397633548"/>
        </w:trPr>
        <w:tc>
          <w:tcPr>
            <w:tcW w:w="50" w:type="pct"/>
            <w:vAlign w:val="center"/>
            <w:hideMark/>
          </w:tcPr>
          <w:p w:rsidR="00000000" w:rsidRDefault="00844BCF">
            <w:pPr>
              <w:jc w:val="center"/>
              <w:rPr>
                <w:rFonts w:eastAsia="Times New Roman"/>
              </w:rPr>
            </w:pPr>
          </w:p>
        </w:tc>
        <w:tc>
          <w:tcPr>
            <w:tcW w:w="273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6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7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7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7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397633548"/>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March 31,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Six Months Ended</w:t>
            </w:r>
            <w:r>
              <w:rPr>
                <w:rFonts w:eastAsia="Times New Roman"/>
                <w:color w:val="000000"/>
                <w:sz w:val="18"/>
                <w:szCs w:val="18"/>
              </w:rPr>
              <w:br/>
              <w:t>March 31,</w:t>
            </w:r>
          </w:p>
        </w:tc>
      </w:tr>
      <w:tr w:rsidR="00000000">
        <w:trPr>
          <w:divId w:val="397633548"/>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2021</w:t>
            </w:r>
          </w:p>
        </w:tc>
      </w:tr>
      <w:tr w:rsidR="00000000">
        <w:trPr>
          <w:divId w:val="397633548"/>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Net income including noncontrolling interests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97633548"/>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397633548"/>
        </w:trPr>
        <w:tc>
          <w:tcPr>
            <w:tcW w:w="0" w:type="auto"/>
            <w:gridSpan w:val="3"/>
            <w:shd w:val="clear" w:color="auto" w:fill="CCEEFF"/>
            <w:tcMar>
              <w:top w:w="30" w:type="dxa"/>
              <w:left w:w="20" w:type="dxa"/>
              <w:bottom w:w="30" w:type="dxa"/>
              <w:right w:w="20" w:type="dxa"/>
            </w:tcMar>
            <w:hideMark/>
          </w:tcPr>
          <w:p w:rsidR="00000000" w:rsidRDefault="00844BCF">
            <w:pPr>
              <w:spacing w:after="100"/>
              <w:divId w:val="1482498783"/>
              <w:rPr>
                <w:rFonts w:eastAsia="Times New Roman"/>
              </w:rPr>
            </w:pPr>
            <w:r>
              <w:rPr>
                <w:rFonts w:eastAsia="Times New Roman"/>
                <w:color w:val="000000"/>
                <w:sz w:val="20"/>
                <w:szCs w:val="20"/>
              </w:rPr>
              <w:t>Net gains on derivative instruments (net of tax of $(12), $(2), $(14) and $(2</w:t>
            </w:r>
            <w:r>
              <w:rPr>
                <w:rFonts w:eastAsia="Times New Roman"/>
                <w:color w:val="000000"/>
                <w:sz w:val="20"/>
                <w:szCs w:val="20"/>
              </w:rPr>
              <w:t>), respectively)</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97633548"/>
        </w:trPr>
        <w:tc>
          <w:tcPr>
            <w:tcW w:w="0" w:type="auto"/>
            <w:gridSpan w:val="3"/>
            <w:shd w:val="clear" w:color="auto" w:fill="FFFFFF"/>
            <w:tcMar>
              <w:top w:w="30" w:type="dxa"/>
              <w:left w:w="20" w:type="dxa"/>
              <w:bottom w:w="30" w:type="dxa"/>
              <w:right w:w="20" w:type="dxa"/>
            </w:tcMar>
            <w:hideMark/>
          </w:tcPr>
          <w:p w:rsidR="00000000" w:rsidRDefault="00844BCF">
            <w:pPr>
              <w:spacing w:after="100"/>
              <w:divId w:val="1624073739"/>
              <w:rPr>
                <w:rFonts w:eastAsia="Times New Roman"/>
              </w:rPr>
            </w:pPr>
            <w:r>
              <w:rPr>
                <w:rFonts w:eastAsia="Times New Roman"/>
                <w:color w:val="000000"/>
                <w:sz w:val="20"/>
                <w:szCs w:val="20"/>
              </w:rPr>
              <w:t>Reclassifications of net losses on derivative instruments (net of tax of $(1), $(2), $(3) and $(4), respectively)</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97633548"/>
        </w:trPr>
        <w:tc>
          <w:tcPr>
            <w:tcW w:w="0" w:type="auto"/>
            <w:gridSpan w:val="3"/>
            <w:shd w:val="clear" w:color="auto" w:fill="CCEEFF"/>
            <w:tcMar>
              <w:top w:w="30" w:type="dxa"/>
              <w:left w:w="20" w:type="dxa"/>
              <w:bottom w:w="30" w:type="dxa"/>
              <w:right w:w="20" w:type="dxa"/>
            </w:tcMar>
            <w:hideMark/>
          </w:tcPr>
          <w:p w:rsidR="00000000" w:rsidRDefault="00844BCF">
            <w:pPr>
              <w:spacing w:after="100"/>
              <w:divId w:val="1246914939"/>
              <w:rPr>
                <w:rFonts w:eastAsia="Times New Roman"/>
              </w:rPr>
            </w:pPr>
            <w:r>
              <w:rPr>
                <w:rFonts w:eastAsia="Times New Roman"/>
                <w:color w:val="000000"/>
                <w:sz w:val="20"/>
                <w:szCs w:val="20"/>
              </w:rPr>
              <w:t>Foreign currency adjustments (net of tax of $(9), $(10), $(13) and $2, respectively)</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97633548"/>
        </w:trPr>
        <w:tc>
          <w:tcPr>
            <w:tcW w:w="0" w:type="auto"/>
            <w:gridSpan w:val="3"/>
            <w:shd w:val="clear" w:color="auto" w:fill="FFFFFF"/>
            <w:tcMar>
              <w:top w:w="30" w:type="dxa"/>
              <w:left w:w="20" w:type="dxa"/>
              <w:bottom w:w="30" w:type="dxa"/>
              <w:right w:w="20" w:type="dxa"/>
            </w:tcMar>
            <w:hideMark/>
          </w:tcPr>
          <w:p w:rsidR="00000000" w:rsidRDefault="00844BCF">
            <w:pPr>
              <w:spacing w:after="100"/>
              <w:divId w:val="789664027"/>
              <w:rPr>
                <w:rFonts w:eastAsia="Times New Roman"/>
              </w:rPr>
            </w:pPr>
            <w:r>
              <w:rPr>
                <w:rFonts w:eastAsia="Times New Roman"/>
                <w:color w:val="000000"/>
                <w:sz w:val="20"/>
                <w:szCs w:val="20"/>
              </w:rPr>
              <w:t>Benefit plans (net of tax of $0, $0, $(1) and $0, respectively)</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97633548"/>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Other comprehensive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97633548"/>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Comprehensive income including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97633548"/>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Deduct comprehensive income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397633548"/>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Comprehensive income attributable to UGI Corporation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divId w:val="1291589140"/>
        <w:rPr>
          <w:rFonts w:eastAsia="Times New Roman"/>
        </w:rPr>
      </w:pPr>
    </w:p>
    <w:p w:rsidR="00000000" w:rsidRDefault="00844BCF">
      <w:pPr>
        <w:divId w:val="482550484"/>
        <w:rPr>
          <w:rFonts w:eastAsia="Times New Roman"/>
        </w:rPr>
      </w:pPr>
      <w:r>
        <w:rPr>
          <w:rFonts w:eastAsia="Times New Roman"/>
          <w:color w:val="000000"/>
          <w:sz w:val="20"/>
          <w:szCs w:val="20"/>
        </w:rPr>
        <w:t>See accompanying notes to condensed consolidated financial statements.</w:t>
      </w:r>
    </w:p>
    <w:p w:rsidR="00000000" w:rsidRDefault="00844BCF">
      <w:pPr>
        <w:jc w:val="center"/>
        <w:rPr>
          <w:rFonts w:eastAsia="Times New Roman"/>
        </w:rPr>
      </w:pPr>
    </w:p>
    <w:p w:rsidR="00000000" w:rsidRDefault="00844BCF">
      <w:pPr>
        <w:jc w:val="center"/>
        <w:divId w:val="882986193"/>
        <w:rPr>
          <w:rFonts w:eastAsia="Times New Roman"/>
        </w:rPr>
      </w:pPr>
      <w:r>
        <w:rPr>
          <w:rFonts w:eastAsia="Times New Roman"/>
          <w:color w:val="000000"/>
          <w:sz w:val="20"/>
          <w:szCs w:val="20"/>
        </w:rPr>
        <w:t>7</w:t>
      </w:r>
    </w:p>
    <w:p w:rsidR="00000000" w:rsidRDefault="00844BCF">
      <w:pPr>
        <w:rPr>
          <w:rFonts w:eastAsia="Times New Roman"/>
        </w:rPr>
      </w:pPr>
      <w:r>
        <w:rPr>
          <w:rFonts w:eastAsia="Times New Roman"/>
        </w:rPr>
        <w:pict>
          <v:rect id="_x0000_i1033" style="width:0;height:1.5pt" o:hralign="center" o:hrstd="t" o:hr="t" fillcolor="#a0a0a0" stroked="f"/>
        </w:pict>
      </w:r>
    </w:p>
    <w:p w:rsidR="00000000" w:rsidRDefault="00844BCF">
      <w:pPr>
        <w:divId w:val="2014642421"/>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998071818"/>
        <w:rPr>
          <w:rFonts w:eastAsia="Times New Roman"/>
        </w:rPr>
      </w:pPr>
      <w:r>
        <w:rPr>
          <w:rFonts w:eastAsia="Times New Roman"/>
          <w:b/>
          <w:bCs/>
          <w:color w:val="000000"/>
          <w:sz w:val="20"/>
          <w:szCs w:val="20"/>
        </w:rPr>
        <w:t>UGI CORPORATION AND SUBSIDIARIES</w:t>
      </w:r>
    </w:p>
    <w:p w:rsidR="00000000" w:rsidRDefault="00844BCF">
      <w:pPr>
        <w:jc w:val="center"/>
        <w:rPr>
          <w:rFonts w:eastAsia="Times New Roman"/>
        </w:rPr>
      </w:pPr>
      <w:r>
        <w:rPr>
          <w:rFonts w:eastAsia="Times New Roman"/>
          <w:b/>
          <w:bCs/>
          <w:color w:val="000000"/>
          <w:sz w:val="20"/>
          <w:szCs w:val="20"/>
        </w:rPr>
        <w:t>CONDENSED CONSOLIDATED STATEMENTS OF CASH FLOWS</w:t>
      </w:r>
    </w:p>
    <w:p w:rsidR="00000000" w:rsidRDefault="00844BCF">
      <w:pPr>
        <w:jc w:val="center"/>
        <w:rPr>
          <w:rFonts w:eastAsia="Times New Roman"/>
        </w:rPr>
      </w:pPr>
      <w:r>
        <w:rPr>
          <w:rFonts w:eastAsia="Times New Roman"/>
          <w:color w:val="000000"/>
          <w:sz w:val="20"/>
          <w:szCs w:val="20"/>
        </w:rPr>
        <w:t>(unaudited)</w:t>
      </w:r>
    </w:p>
    <w:p w:rsidR="00000000" w:rsidRDefault="00844BCF">
      <w:pPr>
        <w:jc w:val="center"/>
        <w:rPr>
          <w:rFonts w:eastAsia="Times New Roman"/>
        </w:rPr>
      </w:pPr>
      <w:r>
        <w:rPr>
          <w:rFonts w:eastAsia="Times New Roman"/>
          <w:color w:val="000000"/>
          <w:sz w:val="20"/>
          <w:szCs w:val="20"/>
        </w:rPr>
        <w:t>(Millions of dollars)</w:t>
      </w:r>
    </w:p>
    <w:tbl>
      <w:tblPr>
        <w:tblW w:w="4978" w:type="pct"/>
        <w:tblCellMar>
          <w:top w:w="15" w:type="dxa"/>
          <w:left w:w="15" w:type="dxa"/>
          <w:bottom w:w="15" w:type="dxa"/>
          <w:right w:w="15" w:type="dxa"/>
        </w:tblCellMar>
        <w:tblLook w:val="04A0" w:firstRow="1" w:lastRow="0" w:firstColumn="1" w:lastColumn="0" w:noHBand="0" w:noVBand="1"/>
      </w:tblPr>
      <w:tblGrid>
        <w:gridCol w:w="42"/>
        <w:gridCol w:w="6381"/>
        <w:gridCol w:w="41"/>
        <w:gridCol w:w="36"/>
        <w:gridCol w:w="36"/>
        <w:gridCol w:w="36"/>
        <w:gridCol w:w="120"/>
        <w:gridCol w:w="614"/>
        <w:gridCol w:w="36"/>
        <w:gridCol w:w="36"/>
        <w:gridCol w:w="36"/>
        <w:gridCol w:w="36"/>
        <w:gridCol w:w="120"/>
        <w:gridCol w:w="663"/>
        <w:gridCol w:w="36"/>
      </w:tblGrid>
      <w:tr w:rsidR="00000000">
        <w:trPr>
          <w:divId w:val="640424712"/>
        </w:trPr>
        <w:tc>
          <w:tcPr>
            <w:tcW w:w="50" w:type="pct"/>
            <w:vAlign w:val="center"/>
            <w:hideMark/>
          </w:tcPr>
          <w:p w:rsidR="00000000" w:rsidRDefault="00844BCF">
            <w:pPr>
              <w:jc w:val="center"/>
              <w:rPr>
                <w:rFonts w:eastAsia="Times New Roman"/>
              </w:rPr>
            </w:pPr>
          </w:p>
        </w:tc>
        <w:tc>
          <w:tcPr>
            <w:tcW w:w="388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2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5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Six Months Ended</w:t>
            </w:r>
            <w:r>
              <w:rPr>
                <w:rFonts w:eastAsia="Times New Roman"/>
                <w:color w:val="000000"/>
                <w:sz w:val="18"/>
                <w:szCs w:val="18"/>
              </w:rPr>
              <w:br/>
              <w:t>March 31,</w:t>
            </w:r>
          </w:p>
        </w:tc>
      </w:tr>
      <w:tr w:rsidR="00000000">
        <w:trPr>
          <w:divId w:val="640424712"/>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2021</w:t>
            </w:r>
          </w:p>
        </w:tc>
      </w:tr>
      <w:tr w:rsidR="00000000">
        <w:trPr>
          <w:divId w:val="640424712"/>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b/>
                <w:bCs/>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FFFF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Net income including noncontrolling interest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838 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Adjustments to reconcile net income including noncontrolling interests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FFFF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Deferred income tax expense, net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Provision for uncollectible accounts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CCEE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Changes in unrealized gains and losses on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FFFF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FFFF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Other, net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Net change in:</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FFFFFF"/>
            <w:tcMar>
              <w:top w:w="30" w:type="dxa"/>
              <w:left w:w="1235" w:type="dxa"/>
              <w:bottom w:w="30" w:type="dxa"/>
              <w:right w:w="20" w:type="dxa"/>
            </w:tcMar>
            <w:hideMark/>
          </w:tcPr>
          <w:p w:rsidR="00000000" w:rsidRDefault="00844BCF">
            <w:pPr>
              <w:spacing w:after="100"/>
              <w:rPr>
                <w:rFonts w:eastAsia="Times New Roman"/>
              </w:rPr>
            </w:pPr>
            <w:r>
              <w:rPr>
                <w:rFonts w:eastAsia="Times New Roman"/>
                <w:color w:val="000000"/>
                <w:sz w:val="20"/>
                <w:szCs w:val="20"/>
              </w:rPr>
              <w:t>Accounts receivable and accrued utility revenues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(943)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(573)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1235"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Income taxes receivable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1235"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1235" w:type="dxa"/>
              <w:bottom w:w="30" w:type="dxa"/>
              <w:right w:w="20" w:type="dxa"/>
            </w:tcMar>
            <w:hideMark/>
          </w:tcPr>
          <w:p w:rsidR="00000000" w:rsidRDefault="00844BCF">
            <w:pPr>
              <w:spacing w:after="100"/>
              <w:rPr>
                <w:rFonts w:eastAsia="Times New Roman"/>
              </w:rPr>
            </w:pPr>
            <w:r>
              <w:rPr>
                <w:rFonts w:eastAsia="Times New Roman"/>
                <w:color w:val="000000"/>
                <w:sz w:val="20"/>
                <w:szCs w:val="20"/>
              </w:rPr>
              <w:t>Utility deferred fuel and power costs, net of changes in unsettled derivatives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1235" w:type="dxa"/>
              <w:bottom w:w="30" w:type="dxa"/>
              <w:right w:w="20" w:type="dxa"/>
            </w:tcMar>
            <w:hideMark/>
          </w:tcPr>
          <w:p w:rsidR="00000000" w:rsidRDefault="00844BCF">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1235" w:type="dxa"/>
              <w:bottom w:w="30" w:type="dxa"/>
              <w:right w:w="20" w:type="dxa"/>
            </w:tcMar>
            <w:hideMark/>
          </w:tcPr>
          <w:p w:rsidR="00000000" w:rsidRDefault="00844BCF">
            <w:pPr>
              <w:spacing w:after="100"/>
              <w:rPr>
                <w:rFonts w:eastAsia="Times New Roman"/>
              </w:rPr>
            </w:pPr>
            <w:r>
              <w:rPr>
                <w:rFonts w:eastAsia="Times New Roman"/>
                <w:color w:val="000000"/>
                <w:sz w:val="20"/>
                <w:szCs w:val="20"/>
              </w:rPr>
              <w:t>Derivative instruments collateral deposits received</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1235" w:type="dxa"/>
              <w:bottom w:w="30" w:type="dxa"/>
              <w:right w:w="20" w:type="dxa"/>
            </w:tcMar>
            <w:hideMark/>
          </w:tcPr>
          <w:p w:rsidR="00000000" w:rsidRDefault="00844BCF">
            <w:pPr>
              <w:spacing w:after="100"/>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1235" w:type="dxa"/>
              <w:bottom w:w="30" w:type="dxa"/>
              <w:right w:w="20" w:type="dxa"/>
            </w:tcMar>
            <w:hideMark/>
          </w:tcPr>
          <w:p w:rsidR="00000000" w:rsidRDefault="00844BCF">
            <w:pPr>
              <w:spacing w:after="100"/>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FFFF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Expenditures for property, plant and equipment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(304)</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Acquisitions of businesses and assets, net of cash and restricted cash acquired</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(188)</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Investments in equity method investees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Other, net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Net cash used by investing activities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FFFF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Dividends on UGI Common Stock</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Issuances of long-term debt, net of issuance costs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Repayments of long-term debt and finance leases, including redemption premiums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(552)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Increase (decrease) in short-term borrowings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Receivables Facility net repayments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Payments on Purchase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Issuances of UGI Common Stock</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CCEE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Net cash provided (used) by financing activities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Cash, cash equivalents and restricted cash (decrease) increase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b/>
                <w:bCs/>
                <w:color w:val="000000"/>
                <w:sz w:val="20"/>
                <w:szCs w:val="20"/>
              </w:rPr>
              <w:t>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640424712"/>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Cash, cash equivalents and restricted cash at end of period</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773 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472 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FFFF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877 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40424712"/>
        </w:trPr>
        <w:tc>
          <w:tcPr>
            <w:tcW w:w="0" w:type="auto"/>
            <w:gridSpan w:val="3"/>
            <w:shd w:val="clear" w:color="auto" w:fill="CCEEFF"/>
            <w:tcMar>
              <w:top w:w="30" w:type="dxa"/>
              <w:left w:w="74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Cash, cash equivalents and restricted cash (decrease) increase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divId w:val="83302964"/>
        <w:rPr>
          <w:rFonts w:eastAsia="Times New Roman"/>
        </w:rPr>
      </w:pPr>
      <w:r>
        <w:rPr>
          <w:rFonts w:eastAsia="Times New Roman"/>
          <w:color w:val="000000"/>
          <w:sz w:val="20"/>
          <w:szCs w:val="20"/>
        </w:rPr>
        <w:t>See accompanying notes to condensed consolidated financial statements.</w:t>
      </w:r>
    </w:p>
    <w:p w:rsidR="00000000" w:rsidRDefault="00844BCF">
      <w:pPr>
        <w:jc w:val="center"/>
        <w:divId w:val="1454248887"/>
        <w:rPr>
          <w:rFonts w:eastAsia="Times New Roman"/>
        </w:rPr>
      </w:pPr>
      <w:r>
        <w:rPr>
          <w:rFonts w:eastAsia="Times New Roman"/>
          <w:color w:val="000000"/>
          <w:sz w:val="20"/>
          <w:szCs w:val="20"/>
        </w:rPr>
        <w:t>8</w:t>
      </w:r>
    </w:p>
    <w:p w:rsidR="00000000" w:rsidRDefault="00844BCF">
      <w:pPr>
        <w:rPr>
          <w:rFonts w:eastAsia="Times New Roman"/>
        </w:rPr>
      </w:pPr>
      <w:r>
        <w:rPr>
          <w:rFonts w:eastAsia="Times New Roman"/>
        </w:rPr>
        <w:pict>
          <v:rect id="_x0000_i1034" style="width:0;height:1.5pt" o:hralign="center" o:hrstd="t" o:hr="t" fillcolor="#a0a0a0" stroked="f"/>
        </w:pict>
      </w:r>
    </w:p>
    <w:p w:rsidR="00000000" w:rsidRDefault="00844BCF">
      <w:pPr>
        <w:divId w:val="649675351"/>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765931025"/>
        <w:rPr>
          <w:rFonts w:eastAsia="Times New Roman"/>
        </w:rPr>
      </w:pPr>
      <w:r>
        <w:rPr>
          <w:rFonts w:eastAsia="Times New Roman"/>
          <w:b/>
          <w:bCs/>
          <w:color w:val="000000"/>
          <w:sz w:val="20"/>
          <w:szCs w:val="20"/>
        </w:rPr>
        <w:t>UGI CORPORATION AND SUBSIDIARIES</w:t>
      </w:r>
    </w:p>
    <w:p w:rsidR="00000000" w:rsidRDefault="00844BCF">
      <w:pPr>
        <w:jc w:val="center"/>
        <w:rPr>
          <w:rFonts w:eastAsia="Times New Roman"/>
        </w:rPr>
      </w:pPr>
      <w:r>
        <w:rPr>
          <w:rFonts w:eastAsia="Times New Roman"/>
          <w:b/>
          <w:bCs/>
          <w:color w:val="000000"/>
          <w:sz w:val="20"/>
          <w:szCs w:val="20"/>
        </w:rPr>
        <w:t>CONDENSED CONSOLIDATED STATEMENTS OF CHANGES IN EQUITY</w:t>
      </w:r>
    </w:p>
    <w:p w:rsidR="00000000" w:rsidRDefault="00844BCF">
      <w:pPr>
        <w:jc w:val="center"/>
        <w:rPr>
          <w:rFonts w:eastAsia="Times New Roman"/>
        </w:rPr>
      </w:pPr>
      <w:r>
        <w:rPr>
          <w:rFonts w:eastAsia="Times New Roman"/>
          <w:color w:val="000000"/>
          <w:sz w:val="20"/>
          <w:szCs w:val="20"/>
        </w:rPr>
        <w:t>(unaudited)</w:t>
      </w:r>
    </w:p>
    <w:p w:rsidR="00000000" w:rsidRDefault="00844BCF">
      <w:pPr>
        <w:jc w:val="center"/>
        <w:rPr>
          <w:rFonts w:eastAsia="Times New Roman"/>
        </w:rPr>
      </w:pPr>
      <w:r>
        <w:rPr>
          <w:rFonts w:eastAsia="Times New Roman"/>
          <w:color w:val="000000"/>
          <w:sz w:val="20"/>
          <w:szCs w:val="20"/>
        </w:rPr>
        <w:t>(Millions of dollars, except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1"/>
        <w:gridCol w:w="4671"/>
        <w:gridCol w:w="40"/>
        <w:gridCol w:w="120"/>
        <w:gridCol w:w="683"/>
        <w:gridCol w:w="36"/>
        <w:gridCol w:w="36"/>
        <w:gridCol w:w="36"/>
        <w:gridCol w:w="36"/>
        <w:gridCol w:w="120"/>
        <w:gridCol w:w="641"/>
        <w:gridCol w:w="36"/>
        <w:gridCol w:w="36"/>
        <w:gridCol w:w="36"/>
        <w:gridCol w:w="36"/>
        <w:gridCol w:w="120"/>
        <w:gridCol w:w="641"/>
        <w:gridCol w:w="36"/>
        <w:gridCol w:w="36"/>
        <w:gridCol w:w="36"/>
        <w:gridCol w:w="36"/>
        <w:gridCol w:w="120"/>
        <w:gridCol w:w="641"/>
        <w:gridCol w:w="36"/>
      </w:tblGrid>
      <w:tr w:rsidR="00000000">
        <w:trPr>
          <w:divId w:val="1878276620"/>
        </w:trPr>
        <w:tc>
          <w:tcPr>
            <w:tcW w:w="50" w:type="pct"/>
            <w:vAlign w:val="center"/>
            <w:hideMark/>
          </w:tcPr>
          <w:p w:rsidR="00000000" w:rsidRDefault="00844BCF">
            <w:pPr>
              <w:jc w:val="center"/>
              <w:rPr>
                <w:rFonts w:eastAsia="Times New Roman"/>
              </w:rPr>
            </w:pPr>
          </w:p>
        </w:tc>
        <w:tc>
          <w:tcPr>
            <w:tcW w:w="284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4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4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4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4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878276620"/>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Three Months Ended</w:t>
            </w:r>
            <w:r>
              <w:rPr>
                <w:rFonts w:eastAsia="Times New Roman"/>
                <w:color w:val="000000"/>
                <w:sz w:val="18"/>
                <w:szCs w:val="18"/>
              </w:rPr>
              <w:br/>
              <w:t>March 31,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Six Months Ended</w:t>
            </w:r>
            <w:r>
              <w:rPr>
                <w:rFonts w:eastAsia="Times New Roman"/>
                <w:color w:val="000000"/>
                <w:sz w:val="18"/>
                <w:szCs w:val="18"/>
              </w:rPr>
              <w:br/>
              <w:t>March 31,</w:t>
            </w:r>
          </w:p>
        </w:tc>
      </w:tr>
      <w:tr w:rsidR="00000000">
        <w:trPr>
          <w:divId w:val="1878276620"/>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2021</w:t>
            </w:r>
          </w:p>
        </w:tc>
      </w:tr>
      <w:tr w:rsidR="00000000">
        <w:trPr>
          <w:divId w:val="1878276620"/>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Preferred stock, without par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Balance, end of period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Common stock, without par value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1,402 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1,419 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1,394 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1,416 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Equity-based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Retained earnings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3,908 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3,139 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4,081 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2,908 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Losses on common stock transactions in connection with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Net income attributable to UGI Corporation</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933 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836 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792 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divId w:val="1455714223"/>
              <w:rPr>
                <w:rFonts w:eastAsia="Times New Roman"/>
              </w:rPr>
            </w:pPr>
            <w:r>
              <w:rPr>
                <w:rFonts w:eastAsia="Times New Roman"/>
                <w:color w:val="000000"/>
                <w:sz w:val="20"/>
                <w:szCs w:val="20"/>
              </w:rPr>
              <w:t>Cash dividends on UGI Common Stock ($0.345, $0.33, $0.69, and $0.66, respectively)</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4,757 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4,757 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Accumulated other comprehensive income (loss)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Net gains on derivative instruments</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Reclassification of net losses on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Benefit plans</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Foreign currency adjustments</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w:t>
            </w:r>
            <w:r>
              <w:rPr>
                <w:rFonts w:eastAsia="Times New Roman"/>
                <w:color w:val="000000"/>
                <w:sz w:val="20"/>
                <w:szCs w:val="20"/>
              </w:rPr>
              <w:t>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Treasury stock</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Common Stock issued in connection with employee and director plans, net of tax withheld</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Reacquired UGI Common Stock - employee and director plans</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Total UGI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Noncontrolling interests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Net income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78276620"/>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Balance,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78276620"/>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Total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6,210 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6,210 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divId w:val="1972859809"/>
        <w:rPr>
          <w:rFonts w:eastAsia="Times New Roman"/>
        </w:rPr>
      </w:pPr>
      <w:r>
        <w:rPr>
          <w:rFonts w:eastAsia="Times New Roman"/>
          <w:color w:val="000000"/>
          <w:sz w:val="20"/>
          <w:szCs w:val="20"/>
        </w:rPr>
        <w:t>See accompanying notes to condensed consolidated financial statements.</w:t>
      </w:r>
    </w:p>
    <w:p w:rsidR="00000000" w:rsidRDefault="00844BCF">
      <w:pPr>
        <w:jc w:val="center"/>
        <w:divId w:val="476461710"/>
        <w:rPr>
          <w:rFonts w:eastAsia="Times New Roman"/>
        </w:rPr>
      </w:pPr>
      <w:r>
        <w:rPr>
          <w:rFonts w:eastAsia="Times New Roman"/>
          <w:color w:val="000000"/>
          <w:sz w:val="20"/>
          <w:szCs w:val="20"/>
        </w:rPr>
        <w:t>9</w:t>
      </w:r>
    </w:p>
    <w:p w:rsidR="00000000" w:rsidRDefault="00844BCF">
      <w:pPr>
        <w:rPr>
          <w:rFonts w:eastAsia="Times New Roman"/>
        </w:rPr>
      </w:pPr>
      <w:r>
        <w:rPr>
          <w:rFonts w:eastAsia="Times New Roman"/>
        </w:rPr>
        <w:pict>
          <v:rect id="_x0000_i1035" style="width:0;height:1.5pt" o:hralign="center" o:hrstd="t" o:hr="t" fillcolor="#a0a0a0" stroked="f"/>
        </w:pict>
      </w:r>
    </w:p>
    <w:p w:rsidR="00000000" w:rsidRDefault="00844BCF">
      <w:pPr>
        <w:divId w:val="1120611942"/>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955867999"/>
        <w:rPr>
          <w:rFonts w:eastAsia="Times New Roman"/>
        </w:rPr>
      </w:pPr>
      <w:r>
        <w:rPr>
          <w:rFonts w:eastAsia="Times New Roman"/>
          <w:b/>
          <w:bCs/>
          <w:color w:val="000000"/>
          <w:sz w:val="20"/>
          <w:szCs w:val="20"/>
        </w:rPr>
        <w:t>UGI CORPORATION AND SUBSIDIARIES</w:t>
      </w:r>
    </w:p>
    <w:p w:rsidR="00000000" w:rsidRDefault="00844BCF">
      <w:pPr>
        <w:jc w:val="center"/>
        <w:divId w:val="79716473"/>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955867999"/>
        <w:rPr>
          <w:rFonts w:eastAsia="Times New Roman"/>
        </w:rPr>
      </w:pPr>
      <w:r>
        <w:rPr>
          <w:rFonts w:eastAsia="Times New Roman"/>
          <w:color w:val="000000"/>
          <w:sz w:val="20"/>
          <w:szCs w:val="20"/>
        </w:rPr>
        <w:t>(unaudited)</w:t>
      </w:r>
    </w:p>
    <w:p w:rsidR="00000000" w:rsidRDefault="00844BCF">
      <w:pPr>
        <w:jc w:val="center"/>
        <w:divId w:val="955867999"/>
        <w:rPr>
          <w:rFonts w:eastAsia="Times New Roman"/>
        </w:rPr>
      </w:pPr>
      <w:r>
        <w:rPr>
          <w:rFonts w:eastAsia="Times New Roman"/>
          <w:color w:val="000000"/>
          <w:sz w:val="20"/>
          <w:szCs w:val="20"/>
        </w:rPr>
        <w:t>(Currency in millions, except per share amounts and where indicated otherwise)</w:t>
      </w:r>
    </w:p>
    <w:p w:rsidR="00000000" w:rsidRDefault="00844BCF">
      <w:pPr>
        <w:divId w:val="1417048213"/>
        <w:rPr>
          <w:rFonts w:eastAsia="Times New Roman"/>
        </w:rPr>
      </w:pPr>
    </w:p>
    <w:p w:rsidR="00000000" w:rsidRDefault="00844BCF">
      <w:pPr>
        <w:ind w:hanging="540"/>
        <w:divId w:val="475102722"/>
        <w:rPr>
          <w:rFonts w:eastAsia="Times New Roman"/>
        </w:rPr>
      </w:pPr>
      <w:r>
        <w:rPr>
          <w:rFonts w:eastAsia="Times New Roman"/>
          <w:b/>
          <w:bCs/>
          <w:color w:val="000000"/>
          <w:sz w:val="20"/>
          <w:szCs w:val="20"/>
          <w:u w:val="single"/>
        </w:rPr>
        <w:t>Note 1 — Nature of Operations</w:t>
      </w:r>
      <w:r>
        <w:rPr>
          <w:rFonts w:eastAsia="Times New Roman"/>
          <w:b/>
          <w:bCs/>
          <w:color w:val="000000"/>
          <w:sz w:val="20"/>
          <w:szCs w:val="20"/>
        </w:rPr>
        <w:t xml:space="preserve"> </w:t>
      </w:r>
    </w:p>
    <w:p w:rsidR="00000000" w:rsidRDefault="00844BCF">
      <w:pPr>
        <w:divId w:val="1259411662"/>
        <w:rPr>
          <w:rFonts w:eastAsia="Times New Roman"/>
        </w:rPr>
      </w:pPr>
    </w:p>
    <w:p w:rsidR="00000000" w:rsidRDefault="00844BCF">
      <w:pPr>
        <w:jc w:val="both"/>
        <w:rPr>
          <w:rFonts w:eastAsia="Times New Roman"/>
        </w:rPr>
      </w:pPr>
      <w:r>
        <w:rPr>
          <w:rFonts w:eastAsia="Times New Roman"/>
          <w:color w:val="000000"/>
          <w:sz w:val="20"/>
          <w:szCs w:val="20"/>
        </w:rPr>
        <w:t>UGI is a holding company that, through subsidiaries and affiliates, distributes, stores, transports and markets energy products and related se</w:t>
      </w:r>
      <w:r>
        <w:rPr>
          <w:rFonts w:eastAsia="Times New Roman"/>
          <w:color w:val="000000"/>
          <w:sz w:val="20"/>
          <w:szCs w:val="20"/>
        </w:rPr>
        <w:t>rvices. In the United States, we own and operate (1) a retail propane marketing and distribution business; (2) natural gas and electric distribution utilities; and (3) energy marketing, midstream infrastructure, storage, natural gas gathering and processin</w:t>
      </w:r>
      <w:r>
        <w:rPr>
          <w:rFonts w:eastAsia="Times New Roman"/>
          <w:color w:val="000000"/>
          <w:sz w:val="20"/>
          <w:szCs w:val="20"/>
        </w:rPr>
        <w:t xml:space="preserve">g, natural gas production, electricity generation and energy services businesses. In Europe, we market and distribute propane and other LPG and market other energy products and services. </w:t>
      </w:r>
    </w:p>
    <w:p w:rsidR="00000000" w:rsidRDefault="00844BCF">
      <w:pPr>
        <w:divId w:val="483012092"/>
        <w:rPr>
          <w:rFonts w:eastAsia="Times New Roman"/>
        </w:rPr>
      </w:pPr>
    </w:p>
    <w:p w:rsidR="00000000" w:rsidRDefault="00844BCF">
      <w:pPr>
        <w:jc w:val="both"/>
        <w:rPr>
          <w:rFonts w:eastAsia="Times New Roman"/>
        </w:rPr>
      </w:pPr>
      <w:r>
        <w:rPr>
          <w:rFonts w:eastAsia="Times New Roman"/>
          <w:color w:val="000000"/>
          <w:sz w:val="20"/>
          <w:szCs w:val="20"/>
        </w:rPr>
        <w:t xml:space="preserve">We conduct a domestic propane marketing and distribution business </w:t>
      </w:r>
      <w:r>
        <w:rPr>
          <w:rFonts w:eastAsia="Times New Roman"/>
          <w:color w:val="000000"/>
          <w:sz w:val="20"/>
          <w:szCs w:val="20"/>
        </w:rPr>
        <w:t xml:space="preserve">through AmeriGas Partners. AmeriGas Partners conducts a national propane distribution business through its principal operating subsidiary AmeriGas OLP. </w:t>
      </w:r>
    </w:p>
    <w:p w:rsidR="00000000" w:rsidRDefault="00844BCF">
      <w:pPr>
        <w:divId w:val="1144540943"/>
        <w:rPr>
          <w:rFonts w:eastAsia="Times New Roman"/>
        </w:rPr>
      </w:pPr>
    </w:p>
    <w:p w:rsidR="00000000" w:rsidRDefault="00844BCF">
      <w:pPr>
        <w:jc w:val="both"/>
        <w:rPr>
          <w:rFonts w:eastAsia="Times New Roman"/>
        </w:rPr>
      </w:pPr>
      <w:r>
        <w:rPr>
          <w:rFonts w:eastAsia="Times New Roman"/>
          <w:color w:val="000000"/>
          <w:sz w:val="20"/>
          <w:szCs w:val="20"/>
        </w:rPr>
        <w:t>UGI International, through subsidiaries and affiliates, conducts (1) an LPG distribution business throughout much of Europe and (2) an energy marketing business in France, Belgium, the Netherlands and the United Kingdom. These businesses are conducted prin</w:t>
      </w:r>
      <w:r>
        <w:rPr>
          <w:rFonts w:eastAsia="Times New Roman"/>
          <w:color w:val="000000"/>
          <w:sz w:val="20"/>
          <w:szCs w:val="20"/>
        </w:rPr>
        <w:t>cipally through our subsidiaries, UGI France, Flaga, AvantiGas, DVEP and UniverGas.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Energy Services conducts, directly and through subsidiaries and affiliates, energy marketing, including RNG, midstream transmission, LNG storage, natural gas gathering an</w:t>
      </w:r>
      <w:r>
        <w:rPr>
          <w:rFonts w:eastAsia="Times New Roman"/>
          <w:color w:val="000000"/>
          <w:sz w:val="20"/>
          <w:szCs w:val="20"/>
        </w:rPr>
        <w:t>d processing, natural gas and RNG production, electricity generation and energy services businesses primarily in the eastern region of the U.S., eastern Ohio, the panhandle of West Virginia and California. UGID owns electricity generation facilities princi</w:t>
      </w:r>
      <w:r>
        <w:rPr>
          <w:rFonts w:eastAsia="Times New Roman"/>
          <w:color w:val="000000"/>
          <w:sz w:val="20"/>
          <w:szCs w:val="20"/>
        </w:rPr>
        <w:t>pally located in Pennsylvania. Energy Services and its subsidiaries’ storage, LNG and portions of its midstream transmission operations are subject to regulation by the FERC.</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On September 1, 2021, UGI acquired Mountaineer, the largest natural gas distrib</w:t>
      </w:r>
      <w:r>
        <w:rPr>
          <w:rFonts w:eastAsia="Times New Roman"/>
          <w:color w:val="000000"/>
          <w:sz w:val="20"/>
          <w:szCs w:val="20"/>
        </w:rPr>
        <w:t xml:space="preserve">ution company in West Virginia for a purchase price of $540, which includes the assumption of approximately $140 principal amounts of long-term debt. </w:t>
      </w:r>
      <w:r>
        <w:rPr>
          <w:rFonts w:eastAsia="Times New Roman"/>
          <w:color w:val="000000"/>
          <w:sz w:val="20"/>
          <w:szCs w:val="20"/>
          <w:shd w:val="clear" w:color="auto" w:fill="FFFFFF"/>
        </w:rPr>
        <w:t>Mountaineer serves more than 200,000 customers across 50 of the state’s 55 counties. Mountaineer is subjec</w:t>
      </w:r>
      <w:r>
        <w:rPr>
          <w:rFonts w:eastAsia="Times New Roman"/>
          <w:color w:val="000000"/>
          <w:sz w:val="20"/>
          <w:szCs w:val="20"/>
          <w:shd w:val="clear" w:color="auto" w:fill="FFFFFF"/>
        </w:rPr>
        <w:t>t to regulation by the WVPSC. For additional information on the Mountaineer Acquisition, see Note 5.</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Upon the acquisition of Mountaineer, our Utilities segment includes UGI Utilities and Mountaintop Energy Holdings, LLC. UGI Utilities directly owns and o</w:t>
      </w:r>
      <w:r>
        <w:rPr>
          <w:rFonts w:eastAsia="Times New Roman"/>
          <w:color w:val="000000"/>
          <w:sz w:val="20"/>
          <w:szCs w:val="20"/>
        </w:rPr>
        <w:t xml:space="preserve">perates PA Gas Utility, a natural gas distribution utility business in eastern and central Pennsylvania and in a portion of one Maryland county. PA Gas Utility is subject to regulation by the PAPUC, the FERC, and, with respect to a small service territory </w:t>
      </w:r>
      <w:r>
        <w:rPr>
          <w:rFonts w:eastAsia="Times New Roman"/>
          <w:color w:val="000000"/>
          <w:sz w:val="20"/>
          <w:szCs w:val="20"/>
        </w:rPr>
        <w:t>in one Maryland county, the MDPSC. UGI Utilities also owns and operates Electric Utility, an electric distribution utility located in northeastern Pennsylvania. Electric Utility is subject to regulation by the PAPUC and the FERC.</w:t>
      </w:r>
    </w:p>
    <w:p w:rsidR="00000000" w:rsidRDefault="00844BCF">
      <w:pPr>
        <w:jc w:val="both"/>
        <w:rPr>
          <w:rFonts w:eastAsia="Times New Roman"/>
        </w:rPr>
      </w:pPr>
    </w:p>
    <w:p w:rsidR="00000000" w:rsidRDefault="00844BCF">
      <w:pPr>
        <w:ind w:hanging="540"/>
        <w:jc w:val="both"/>
        <w:rPr>
          <w:rFonts w:eastAsia="Times New Roman"/>
        </w:rPr>
      </w:pPr>
      <w:r>
        <w:rPr>
          <w:rFonts w:eastAsia="Times New Roman"/>
          <w:b/>
          <w:bCs/>
          <w:color w:val="000000"/>
          <w:sz w:val="20"/>
          <w:szCs w:val="20"/>
          <w:u w:val="single"/>
        </w:rPr>
        <w:t>Note 2 — Summary of Sign</w:t>
      </w:r>
      <w:r>
        <w:rPr>
          <w:rFonts w:eastAsia="Times New Roman"/>
          <w:b/>
          <w:bCs/>
          <w:color w:val="000000"/>
          <w:sz w:val="20"/>
          <w:szCs w:val="20"/>
          <w:u w:val="single"/>
        </w:rPr>
        <w:t>ificant Accounting Policies</w:t>
      </w:r>
    </w:p>
    <w:p w:rsidR="00000000" w:rsidRDefault="00844BCF">
      <w:pPr>
        <w:ind w:hanging="540"/>
        <w:divId w:val="581917480"/>
        <w:rPr>
          <w:rFonts w:eastAsia="Times New Roman"/>
        </w:rPr>
      </w:pPr>
    </w:p>
    <w:p w:rsidR="00000000" w:rsidRDefault="00844BCF">
      <w:pPr>
        <w:jc w:val="both"/>
        <w:rPr>
          <w:rFonts w:eastAsia="Times New Roman"/>
        </w:rPr>
      </w:pPr>
      <w:r>
        <w:rPr>
          <w:rFonts w:eastAsia="Times New Roman"/>
          <w:color w:val="000000"/>
          <w:sz w:val="20"/>
          <w:szCs w:val="20"/>
        </w:rPr>
        <w:t>The accompanying condensed consolidated financial statements are unaudited and have been prepared in accordance with the rules and regulations of the SEC. They include all adjustments that we consider necessary for a fair stat</w:t>
      </w:r>
      <w:r>
        <w:rPr>
          <w:rFonts w:eastAsia="Times New Roman"/>
          <w:color w:val="000000"/>
          <w:sz w:val="20"/>
          <w:szCs w:val="20"/>
        </w:rPr>
        <w:t>ement of the results for the interim periods presented. Such adjustments consisted only of normal recurring items unless otherwise disclosed. The September 30, 2021, Condensed Consolidated Balance Sheet was derived from audited financial statements but doe</w:t>
      </w:r>
      <w:r>
        <w:rPr>
          <w:rFonts w:eastAsia="Times New Roman"/>
          <w:color w:val="000000"/>
          <w:sz w:val="20"/>
          <w:szCs w:val="20"/>
        </w:rPr>
        <w:t>s not include all footnote disclosures from the annual financial statements.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These financial statements should be read in conjunction with the financial statements and related notes included in the Company’s 2021 Annual Report. Due to the seasonal nature</w:t>
      </w:r>
      <w:r>
        <w:rPr>
          <w:rFonts w:eastAsia="Times New Roman"/>
          <w:color w:val="000000"/>
          <w:sz w:val="20"/>
          <w:szCs w:val="20"/>
        </w:rPr>
        <w:t xml:space="preserve"> of our businesses, the results of operations for interim periods are not necessarily indicative of the results to be expected for a full year.</w:t>
      </w:r>
    </w:p>
    <w:p w:rsidR="00000000" w:rsidRDefault="00844BCF">
      <w:pPr>
        <w:jc w:val="both"/>
        <w:divId w:val="784927833"/>
        <w:rPr>
          <w:rFonts w:eastAsia="Times New Roman"/>
        </w:rPr>
      </w:pPr>
      <w:r>
        <w:rPr>
          <w:rFonts w:eastAsia="Times New Roman"/>
          <w:b/>
          <w:bCs/>
          <w:i/>
          <w:iCs/>
          <w:color w:val="000000"/>
          <w:sz w:val="20"/>
          <w:szCs w:val="20"/>
        </w:rPr>
        <w:t>Restricted Cash.</w:t>
      </w:r>
      <w:r>
        <w:rPr>
          <w:rFonts w:eastAsia="Times New Roman"/>
          <w:b/>
          <w:bCs/>
          <w:color w:val="000000"/>
          <w:sz w:val="20"/>
          <w:szCs w:val="20"/>
        </w:rPr>
        <w:t xml:space="preserve"> </w:t>
      </w:r>
      <w:r>
        <w:rPr>
          <w:rFonts w:eastAsia="Times New Roman"/>
          <w:color w:val="000000"/>
          <w:sz w:val="20"/>
          <w:szCs w:val="20"/>
        </w:rPr>
        <w:t>Restricted cash principally represents those cash balances in our commodity futures brokerage a</w:t>
      </w:r>
      <w:r>
        <w:rPr>
          <w:rFonts w:eastAsia="Times New Roman"/>
          <w:color w:val="000000"/>
          <w:sz w:val="20"/>
          <w:szCs w:val="20"/>
        </w:rPr>
        <w:t xml:space="preserve">ccounts that are restricted from withdrawal. The following table provides a reconciliation of the total cash, cash equivalents and restricted </w:t>
      </w:r>
    </w:p>
    <w:p w:rsidR="00000000" w:rsidRDefault="00844BCF">
      <w:pPr>
        <w:jc w:val="center"/>
        <w:divId w:val="1192108628"/>
        <w:rPr>
          <w:rFonts w:eastAsia="Times New Roman"/>
        </w:rPr>
      </w:pPr>
      <w:r>
        <w:rPr>
          <w:rFonts w:eastAsia="Times New Roman"/>
          <w:color w:val="000000"/>
          <w:sz w:val="20"/>
          <w:szCs w:val="20"/>
        </w:rPr>
        <w:t>10</w:t>
      </w:r>
    </w:p>
    <w:p w:rsidR="00000000" w:rsidRDefault="00844BCF">
      <w:pPr>
        <w:rPr>
          <w:rFonts w:eastAsia="Times New Roman"/>
        </w:rPr>
      </w:pPr>
      <w:r>
        <w:rPr>
          <w:rFonts w:eastAsia="Times New Roman"/>
        </w:rPr>
        <w:pict>
          <v:rect id="_x0000_i1036" style="width:0;height:1.5pt" o:hralign="center" o:hrstd="t" o:hr="t" fillcolor="#a0a0a0" stroked="f"/>
        </w:pict>
      </w:r>
    </w:p>
    <w:p w:rsidR="00000000" w:rsidRDefault="00844BCF">
      <w:pPr>
        <w:divId w:val="1282300958"/>
        <w:rPr>
          <w:rFonts w:eastAsia="Times New Roman"/>
        </w:rPr>
      </w:pPr>
      <w:hyperlink w:anchor="i0e86e801f9b0414490bd181a9bfe7913_7" w:history="1">
        <w:r>
          <w:rPr>
            <w:rStyle w:val="a3"/>
            <w:rFonts w:eastAsia="Times New Roman"/>
            <w:sz w:val="20"/>
            <w:szCs w:val="20"/>
          </w:rPr>
          <w:t>Table of Content</w:t>
        </w:r>
        <w:r>
          <w:rPr>
            <w:rStyle w:val="a3"/>
            <w:rFonts w:eastAsia="Times New Roman"/>
            <w:sz w:val="20"/>
            <w:szCs w:val="20"/>
          </w:rPr>
          <w:t>s</w:t>
        </w:r>
      </w:hyperlink>
    </w:p>
    <w:p w:rsidR="00000000" w:rsidRDefault="00844BCF">
      <w:pPr>
        <w:jc w:val="center"/>
        <w:divId w:val="1099640142"/>
        <w:rPr>
          <w:rFonts w:eastAsia="Times New Roman"/>
        </w:rPr>
      </w:pPr>
      <w:r>
        <w:rPr>
          <w:rFonts w:eastAsia="Times New Roman"/>
          <w:b/>
          <w:bCs/>
          <w:color w:val="000000"/>
          <w:sz w:val="20"/>
          <w:szCs w:val="20"/>
        </w:rPr>
        <w:t>UGI CORPORATION AND SUBSIDIARIES</w:t>
      </w:r>
    </w:p>
    <w:p w:rsidR="00000000" w:rsidRDefault="00844BCF">
      <w:pPr>
        <w:jc w:val="center"/>
        <w:divId w:val="375398741"/>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1099640142"/>
        <w:rPr>
          <w:rFonts w:eastAsia="Times New Roman"/>
        </w:rPr>
      </w:pPr>
      <w:r>
        <w:rPr>
          <w:rFonts w:eastAsia="Times New Roman"/>
          <w:color w:val="000000"/>
          <w:sz w:val="20"/>
          <w:szCs w:val="20"/>
        </w:rPr>
        <w:t>(unaudited)</w:t>
      </w:r>
    </w:p>
    <w:p w:rsidR="00000000" w:rsidRDefault="00844BCF">
      <w:pPr>
        <w:jc w:val="center"/>
        <w:divId w:val="1099640142"/>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divId w:val="210698577"/>
        <w:rPr>
          <w:rFonts w:eastAsia="Times New Roman"/>
        </w:rPr>
      </w:pPr>
      <w:r>
        <w:rPr>
          <w:rFonts w:eastAsia="Times New Roman"/>
          <w:color w:val="000000"/>
          <w:sz w:val="20"/>
          <w:szCs w:val="20"/>
        </w:rPr>
        <w:t>cash reported on the Condensed Consolidated Balance Sheets to the correspondi</w:t>
      </w:r>
      <w:r>
        <w:rPr>
          <w:rFonts w:eastAsia="Times New Roman"/>
          <w:color w:val="000000"/>
          <w:sz w:val="20"/>
          <w:szCs w:val="20"/>
        </w:rPr>
        <w:t>ng amounts reported on the Condensed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97"/>
        <w:gridCol w:w="36"/>
        <w:gridCol w:w="36"/>
        <w:gridCol w:w="36"/>
        <w:gridCol w:w="36"/>
        <w:gridCol w:w="121"/>
        <w:gridCol w:w="846"/>
        <w:gridCol w:w="36"/>
        <w:gridCol w:w="36"/>
        <w:gridCol w:w="36"/>
        <w:gridCol w:w="36"/>
        <w:gridCol w:w="121"/>
        <w:gridCol w:w="859"/>
        <w:gridCol w:w="36"/>
      </w:tblGrid>
      <w:tr w:rsidR="00000000">
        <w:trPr>
          <w:divId w:val="912012780"/>
          <w:jc w:val="center"/>
        </w:trPr>
        <w:tc>
          <w:tcPr>
            <w:tcW w:w="50" w:type="pct"/>
            <w:vAlign w:val="center"/>
            <w:hideMark/>
          </w:tcPr>
          <w:p w:rsidR="00000000" w:rsidRDefault="00844BCF">
            <w:pPr>
              <w:jc w:val="both"/>
              <w:rPr>
                <w:rFonts w:eastAsia="Times New Roman"/>
              </w:rPr>
            </w:pPr>
          </w:p>
        </w:tc>
        <w:tc>
          <w:tcPr>
            <w:tcW w:w="363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6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91201278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March 31,</w:t>
            </w:r>
            <w:r>
              <w:rPr>
                <w:rFonts w:eastAsia="Times New Roman"/>
                <w:color w:val="000000"/>
                <w:sz w:val="20"/>
                <w:szCs w:val="20"/>
              </w:rPr>
              <w:b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March 31,</w:t>
            </w:r>
            <w:r>
              <w:rPr>
                <w:rFonts w:eastAsia="Times New Roman"/>
                <w:color w:val="000000"/>
                <w:sz w:val="20"/>
                <w:szCs w:val="20"/>
              </w:rPr>
              <w:br/>
              <w:t>2021</w:t>
            </w:r>
          </w:p>
        </w:tc>
      </w:tr>
      <w:tr w:rsidR="00000000">
        <w:trPr>
          <w:divId w:val="912012780"/>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912012780"/>
          <w:jc w:val="center"/>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Restricted cash</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55 </w:t>
            </w:r>
          </w:p>
        </w:tc>
        <w:tc>
          <w:tcPr>
            <w:tcW w:w="0" w:type="auto"/>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28 </w:t>
            </w:r>
          </w:p>
        </w:tc>
        <w:tc>
          <w:tcPr>
            <w:tcW w:w="0" w:type="auto"/>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912012780"/>
          <w:jc w:val="center"/>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Ea</w:t>
      </w:r>
      <w:r>
        <w:rPr>
          <w:rFonts w:eastAsia="Times New Roman"/>
          <w:b/>
          <w:bCs/>
          <w:i/>
          <w:iCs/>
          <w:color w:val="000000"/>
          <w:sz w:val="20"/>
          <w:szCs w:val="20"/>
        </w:rPr>
        <w:t>rnings Per Common Share.</w:t>
      </w:r>
      <w:r>
        <w:rPr>
          <w:rFonts w:eastAsia="Times New Roman"/>
          <w:i/>
          <w:iCs/>
          <w:color w:val="000000"/>
          <w:sz w:val="20"/>
          <w:szCs w:val="20"/>
        </w:rPr>
        <w:t xml:space="preserve"> </w:t>
      </w:r>
      <w:r>
        <w:rPr>
          <w:rFonts w:eastAsia="Times New Roman"/>
          <w:color w:val="000000"/>
          <w:sz w:val="20"/>
          <w:szCs w:val="20"/>
        </w:rPr>
        <w:t xml:space="preserve">Basic earnings per share attributable to UGI stockholders reflect the weighted-average number of common shares outstanding. Diluted earnings per share attributable to UGI stockholders include the effects of dilutive stock options, </w:t>
      </w:r>
      <w:r>
        <w:rPr>
          <w:rFonts w:eastAsia="Times New Roman"/>
          <w:color w:val="000000"/>
          <w:sz w:val="20"/>
          <w:szCs w:val="20"/>
        </w:rPr>
        <w:t>common stock awards and Equity Units. Shares used in computing basic and diluted earnings per share are as follows:</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4765"/>
        <w:gridCol w:w="36"/>
        <w:gridCol w:w="36"/>
        <w:gridCol w:w="36"/>
        <w:gridCol w:w="36"/>
        <w:gridCol w:w="85"/>
        <w:gridCol w:w="635"/>
        <w:gridCol w:w="38"/>
        <w:gridCol w:w="37"/>
        <w:gridCol w:w="37"/>
        <w:gridCol w:w="37"/>
        <w:gridCol w:w="85"/>
        <w:gridCol w:w="635"/>
        <w:gridCol w:w="37"/>
        <w:gridCol w:w="36"/>
        <w:gridCol w:w="36"/>
        <w:gridCol w:w="36"/>
        <w:gridCol w:w="85"/>
        <w:gridCol w:w="635"/>
        <w:gridCol w:w="38"/>
        <w:gridCol w:w="37"/>
        <w:gridCol w:w="37"/>
        <w:gridCol w:w="37"/>
        <w:gridCol w:w="85"/>
        <w:gridCol w:w="635"/>
        <w:gridCol w:w="37"/>
      </w:tblGrid>
      <w:tr w:rsidR="00000000">
        <w:trPr>
          <w:divId w:val="715204217"/>
        </w:trPr>
        <w:tc>
          <w:tcPr>
            <w:tcW w:w="50" w:type="pct"/>
            <w:vAlign w:val="center"/>
            <w:hideMark/>
          </w:tcPr>
          <w:p w:rsidR="00000000" w:rsidRDefault="00844BCF">
            <w:pPr>
              <w:jc w:val="both"/>
              <w:rPr>
                <w:rFonts w:eastAsia="Times New Roman"/>
              </w:rPr>
            </w:pPr>
          </w:p>
        </w:tc>
        <w:tc>
          <w:tcPr>
            <w:tcW w:w="307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7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7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7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7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715204217"/>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844BCF">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March 31,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844BCF">
            <w:pPr>
              <w:spacing w:after="100"/>
              <w:jc w:val="center"/>
              <w:rPr>
                <w:rFonts w:eastAsia="Times New Roman"/>
              </w:rPr>
            </w:pPr>
            <w:r>
              <w:rPr>
                <w:rFonts w:eastAsia="Times New Roman"/>
                <w:color w:val="000000"/>
                <w:sz w:val="20"/>
                <w:szCs w:val="20"/>
              </w:rPr>
              <w:t>Six Months Ended</w:t>
            </w:r>
            <w:r>
              <w:rPr>
                <w:rFonts w:eastAsia="Times New Roman"/>
                <w:color w:val="000000"/>
                <w:sz w:val="20"/>
                <w:szCs w:val="20"/>
              </w:rPr>
              <w:br/>
              <w:t>March 31,</w:t>
            </w:r>
          </w:p>
        </w:tc>
      </w:tr>
      <w:tr w:rsidR="00000000">
        <w:trPr>
          <w:divId w:val="715204217"/>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r>
      <w:tr w:rsidR="00000000">
        <w:trPr>
          <w:divId w:val="715204217"/>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Denominator (thousands of shares):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5204217"/>
        </w:trPr>
        <w:tc>
          <w:tcPr>
            <w:tcW w:w="0" w:type="auto"/>
            <w:gridSpan w:val="3"/>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Weighted-average common shares outstanding — basic</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210,163 </w:t>
            </w:r>
          </w:p>
        </w:tc>
        <w:tc>
          <w:tcPr>
            <w:tcW w:w="0" w:type="auto"/>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208,930 </w:t>
            </w:r>
          </w:p>
        </w:tc>
        <w:tc>
          <w:tcPr>
            <w:tcW w:w="0" w:type="auto"/>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209,919 </w:t>
            </w:r>
          </w:p>
        </w:tc>
        <w:tc>
          <w:tcPr>
            <w:tcW w:w="0" w:type="auto"/>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208,849 </w:t>
            </w:r>
          </w:p>
        </w:tc>
        <w:tc>
          <w:tcPr>
            <w:tcW w:w="0" w:type="auto"/>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715204217"/>
        </w:trPr>
        <w:tc>
          <w:tcPr>
            <w:tcW w:w="0" w:type="auto"/>
            <w:gridSpan w:val="3"/>
            <w:shd w:val="clear" w:color="auto" w:fill="CCEE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Incremental shares issuable for stock options, common stock awards and Equity Units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5,765 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1,162 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6,017 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1,014 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715204217"/>
        </w:trPr>
        <w:tc>
          <w:tcPr>
            <w:tcW w:w="0" w:type="auto"/>
            <w:gridSpan w:val="3"/>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Weighted-average common shares outstanding — diluted</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215,928 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210,092 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215,936 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209,863 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ind w:hanging="360"/>
        <w:jc w:val="both"/>
        <w:rPr>
          <w:rFonts w:eastAsia="Times New Roman"/>
        </w:rPr>
      </w:pPr>
      <w:r>
        <w:rPr>
          <w:rFonts w:eastAsia="Times New Roman"/>
          <w:color w:val="000000"/>
          <w:sz w:val="20"/>
          <w:szCs w:val="20"/>
        </w:rPr>
        <w:t>(a)For the three and six months ended March 31, 2022 and 2021, there were 6,535 and 5,102 shares, respectively, associated wit</w:t>
      </w:r>
      <w:r>
        <w:rPr>
          <w:rFonts w:eastAsia="Times New Roman"/>
          <w:color w:val="000000"/>
          <w:sz w:val="20"/>
          <w:szCs w:val="20"/>
        </w:rPr>
        <w:t>h outstanding stock option awards that were not included in the computation of diluted earnings per share above because their effect was antidilutive.</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 xml:space="preserve">Derivative Instruments. </w:t>
      </w:r>
      <w:r>
        <w:rPr>
          <w:rFonts w:eastAsia="Times New Roman"/>
          <w:color w:val="000000"/>
          <w:sz w:val="20"/>
          <w:szCs w:val="20"/>
        </w:rPr>
        <w:t>Derivative instruments are reported on the Condensed Consolidated Balance Sheet</w:t>
      </w:r>
      <w:r>
        <w:rPr>
          <w:rFonts w:eastAsia="Times New Roman"/>
          <w:color w:val="000000"/>
          <w:sz w:val="20"/>
          <w:szCs w:val="20"/>
        </w:rPr>
        <w:t xml:space="preserve">s at their fair values, unless the NPNS exception is elected. The accounting for changes in fair value depends upon the purpose of the derivative instrument, whether it is subject to regulatory ratemaking mechanisms or if it qualifies and is designated as </w:t>
      </w:r>
      <w:r>
        <w:rPr>
          <w:rFonts w:eastAsia="Times New Roman"/>
          <w:color w:val="000000"/>
          <w:sz w:val="20"/>
          <w:szCs w:val="20"/>
        </w:rPr>
        <w:t>a hedge for accounting purposes.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Certain of our derivative instruments qualify and are designated as cash flow hedges. For cash flow hedges, changes in the fair values of the derivative instruments are recorded in AOCI, to the extent effective at offsetting changes in the hedged item, unt</w:t>
      </w:r>
      <w:r>
        <w:rPr>
          <w:rFonts w:eastAsia="Times New Roman"/>
          <w:color w:val="000000"/>
          <w:sz w:val="20"/>
          <w:szCs w:val="20"/>
        </w:rPr>
        <w:t>il earnings are affected by the hedged item. We discontinue cash flow hedge accounting if occurrence of the forecasted transaction is determined to be no longer probable. Hedge accounting is also discontinued for derivatives that cease to be highly effecti</w:t>
      </w:r>
      <w:r>
        <w:rPr>
          <w:rFonts w:eastAsia="Times New Roman"/>
          <w:color w:val="000000"/>
          <w:sz w:val="20"/>
          <w:szCs w:val="20"/>
        </w:rPr>
        <w:t>ve. We do not designate our commodity and certain foreign currency derivative instruments as hedges under GAAP. Changes in the fair values of these derivative instruments are reflected in net income. Gains and losses on substantially all of the commodity d</w:t>
      </w:r>
      <w:r>
        <w:rPr>
          <w:rFonts w:eastAsia="Times New Roman"/>
          <w:color w:val="000000"/>
          <w:sz w:val="20"/>
          <w:szCs w:val="20"/>
        </w:rPr>
        <w:t>erivative instruments used by Utilities are included in regulatory assets or liabilities because it is probable such gains or losses will be recoverable from, or refundable to, customers. From time to time, we also enter into net investment hedges. Gains a</w:t>
      </w:r>
      <w:r>
        <w:rPr>
          <w:rFonts w:eastAsia="Times New Roman"/>
          <w:color w:val="000000"/>
          <w:sz w:val="20"/>
          <w:szCs w:val="20"/>
        </w:rPr>
        <w:t>nd losses on net investment hedges that relate to our foreign operations are included in the cumulative translation adjustment component in AOCI until such foreign net investment is substantially sold or liquidated.</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Cash flows from derivative instruments</w:t>
      </w:r>
      <w:r>
        <w:rPr>
          <w:rFonts w:eastAsia="Times New Roman"/>
          <w:color w:val="000000"/>
          <w:sz w:val="20"/>
          <w:szCs w:val="20"/>
        </w:rPr>
        <w:t xml:space="preserve">, other than certain cross-currency swaps and net investment hedges, if any, are included in cash flows from operating activities on the Condensed Consolidated Statements of Cash Flows. Cash flows from the interest portion of our cross-currency hedges, if </w:t>
      </w:r>
      <w:r>
        <w:rPr>
          <w:rFonts w:eastAsia="Times New Roman"/>
          <w:color w:val="000000"/>
          <w:sz w:val="20"/>
          <w:szCs w:val="20"/>
        </w:rPr>
        <w:t>any, are included in cash flows from operating activities while cash flows from the currency portion of such hedges, if any, are included in cash flows from financing activities. Cash flows from net investment hedges, if any, are included in cash flows fro</w:t>
      </w:r>
      <w:r>
        <w:rPr>
          <w:rFonts w:eastAsia="Times New Roman"/>
          <w:color w:val="000000"/>
          <w:sz w:val="20"/>
          <w:szCs w:val="20"/>
        </w:rPr>
        <w:t>m investing activities on the Condensed Consolidated Statements of Cash Flows.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For a more detailed description of the derivative instruments we use, our accounting for derivatives, our objectives for using them and other information, see Note 12.</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Use o</w:t>
      </w:r>
      <w:r>
        <w:rPr>
          <w:rFonts w:eastAsia="Times New Roman"/>
          <w:b/>
          <w:bCs/>
          <w:i/>
          <w:iCs/>
          <w:color w:val="000000"/>
          <w:sz w:val="20"/>
          <w:szCs w:val="20"/>
        </w:rPr>
        <w:t>f Estimates.</w:t>
      </w:r>
      <w:r>
        <w:rPr>
          <w:rFonts w:eastAsia="Times New Roman"/>
          <w:i/>
          <w:iCs/>
          <w:color w:val="000000"/>
          <w:sz w:val="20"/>
          <w:szCs w:val="20"/>
        </w:rPr>
        <w:t xml:space="preserve"> </w:t>
      </w:r>
      <w:r>
        <w:rPr>
          <w:rFonts w:eastAsia="Times New Roman"/>
          <w:color w:val="000000"/>
          <w:sz w:val="20"/>
          <w:szCs w:val="20"/>
        </w:rPr>
        <w:t xml:space="preserve">The preparation of financial statements in accordance with GAAP requires management to make estimates and assumptions that affect the reported amounts of assets, liabilities, revenues, expenses and costs. These estimates are based </w:t>
      </w:r>
    </w:p>
    <w:p w:rsidR="00000000" w:rsidRDefault="00844BCF">
      <w:pPr>
        <w:jc w:val="center"/>
        <w:divId w:val="158232162"/>
        <w:rPr>
          <w:rFonts w:eastAsia="Times New Roman"/>
        </w:rPr>
      </w:pPr>
      <w:r>
        <w:rPr>
          <w:rFonts w:eastAsia="Times New Roman"/>
          <w:color w:val="000000"/>
          <w:sz w:val="20"/>
          <w:szCs w:val="20"/>
        </w:rPr>
        <w:t>11</w:t>
      </w:r>
    </w:p>
    <w:p w:rsidR="00000000" w:rsidRDefault="00844BCF">
      <w:pPr>
        <w:rPr>
          <w:rFonts w:eastAsia="Times New Roman"/>
        </w:rPr>
      </w:pPr>
      <w:r>
        <w:rPr>
          <w:rFonts w:eastAsia="Times New Roman"/>
        </w:rPr>
        <w:pict>
          <v:rect id="_x0000_i1037" style="width:0;height:1.5pt" o:hralign="center" o:hrstd="t" o:hr="t" fillcolor="#a0a0a0" stroked="f"/>
        </w:pict>
      </w:r>
    </w:p>
    <w:p w:rsidR="00000000" w:rsidRDefault="00844BCF">
      <w:pPr>
        <w:divId w:val="741954349"/>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686565985"/>
        <w:rPr>
          <w:rFonts w:eastAsia="Times New Roman"/>
        </w:rPr>
      </w:pPr>
      <w:r>
        <w:rPr>
          <w:rFonts w:eastAsia="Times New Roman"/>
          <w:b/>
          <w:bCs/>
          <w:color w:val="000000"/>
          <w:sz w:val="20"/>
          <w:szCs w:val="20"/>
        </w:rPr>
        <w:t>UGI CORPORATION AND SUBSIDIARIES</w:t>
      </w:r>
    </w:p>
    <w:p w:rsidR="00000000" w:rsidRDefault="00844BCF">
      <w:pPr>
        <w:jc w:val="center"/>
        <w:divId w:val="403337345"/>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686565985"/>
        <w:rPr>
          <w:rFonts w:eastAsia="Times New Roman"/>
        </w:rPr>
      </w:pPr>
      <w:r>
        <w:rPr>
          <w:rFonts w:eastAsia="Times New Roman"/>
          <w:color w:val="000000"/>
          <w:sz w:val="20"/>
          <w:szCs w:val="20"/>
        </w:rPr>
        <w:t>(unaudited)</w:t>
      </w:r>
    </w:p>
    <w:p w:rsidR="00000000" w:rsidRDefault="00844BCF">
      <w:pPr>
        <w:jc w:val="center"/>
        <w:divId w:val="686565985"/>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rPr>
          <w:rFonts w:eastAsia="Times New Roman"/>
        </w:rPr>
      </w:pPr>
      <w:r>
        <w:rPr>
          <w:rFonts w:eastAsia="Times New Roman"/>
          <w:color w:val="000000"/>
          <w:sz w:val="20"/>
          <w:szCs w:val="20"/>
        </w:rPr>
        <w:t xml:space="preserve">on management’s knowledge of current events, historical experience and various other assumptions that are believed to be reasonable under the circumstances. Accordingly, actual </w:t>
      </w:r>
      <w:r>
        <w:rPr>
          <w:rFonts w:eastAsia="Times New Roman"/>
          <w:color w:val="000000"/>
          <w:sz w:val="20"/>
          <w:szCs w:val="20"/>
        </w:rPr>
        <w:t>results may be different from these estimates and assumptions.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Reclassifications.</w:t>
      </w:r>
      <w:r>
        <w:rPr>
          <w:rFonts w:eastAsia="Times New Roman"/>
          <w:i/>
          <w:iCs/>
          <w:color w:val="000000"/>
          <w:sz w:val="20"/>
          <w:szCs w:val="20"/>
        </w:rPr>
        <w:t xml:space="preserve"> </w:t>
      </w:r>
      <w:r>
        <w:rPr>
          <w:rFonts w:eastAsia="Times New Roman"/>
          <w:color w:val="000000"/>
          <w:sz w:val="20"/>
          <w:szCs w:val="20"/>
        </w:rPr>
        <w:t xml:space="preserve">For purposes of comparability, certain prior-period amounts have been reclassified to conform to the current-period presentation. During the second quarter of Fiscal 2022, </w:t>
      </w:r>
      <w:r>
        <w:rPr>
          <w:rFonts w:eastAsia="Times New Roman"/>
          <w:color w:val="000000"/>
          <w:sz w:val="20"/>
          <w:szCs w:val="20"/>
        </w:rPr>
        <w:t>the Company reclassified certain amounts on the Consolidated Balance Sheet and Consolidated Statement of Changes in Equity related to the accounting for the Equity Units issued in May 2021.</w:t>
      </w:r>
    </w:p>
    <w:p w:rsidR="00000000" w:rsidRDefault="00844BCF">
      <w:pPr>
        <w:jc w:val="both"/>
        <w:rPr>
          <w:rFonts w:eastAsia="Times New Roman"/>
        </w:rPr>
      </w:pPr>
    </w:p>
    <w:p w:rsidR="00000000" w:rsidRDefault="00844BCF">
      <w:pPr>
        <w:ind w:hanging="540"/>
        <w:jc w:val="both"/>
        <w:rPr>
          <w:rFonts w:eastAsia="Times New Roman"/>
        </w:rPr>
      </w:pPr>
      <w:r>
        <w:rPr>
          <w:rFonts w:eastAsia="Times New Roman"/>
          <w:b/>
          <w:bCs/>
          <w:color w:val="000000"/>
          <w:sz w:val="20"/>
          <w:szCs w:val="20"/>
          <w:u w:val="single"/>
        </w:rPr>
        <w:t>Note 3 — Accounting Changes</w:t>
      </w:r>
    </w:p>
    <w:p w:rsidR="00000000" w:rsidRDefault="00844BCF">
      <w:pPr>
        <w:ind w:hanging="540"/>
        <w:jc w:val="both"/>
        <w:rPr>
          <w:rFonts w:eastAsia="Times New Roman"/>
        </w:rPr>
      </w:pPr>
    </w:p>
    <w:p w:rsidR="00000000" w:rsidRDefault="00844BCF">
      <w:pPr>
        <w:jc w:val="both"/>
        <w:rPr>
          <w:rFonts w:eastAsia="Times New Roman"/>
        </w:rPr>
      </w:pPr>
      <w:r>
        <w:rPr>
          <w:rFonts w:eastAsia="Times New Roman"/>
          <w:b/>
          <w:bCs/>
          <w:color w:val="000000"/>
          <w:sz w:val="20"/>
          <w:szCs w:val="20"/>
        </w:rPr>
        <w:t>New Accounting Standard Adopted in</w:t>
      </w:r>
      <w:r>
        <w:rPr>
          <w:rFonts w:eastAsia="Times New Roman"/>
          <w:b/>
          <w:bCs/>
          <w:color w:val="000000"/>
          <w:sz w:val="20"/>
          <w:szCs w:val="20"/>
        </w:rPr>
        <w:t xml:space="preserve"> Fiscal 2022</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 xml:space="preserve">Income Taxes. </w:t>
      </w:r>
      <w:r>
        <w:rPr>
          <w:rFonts w:eastAsia="Times New Roman"/>
          <w:color w:val="000000"/>
          <w:sz w:val="20"/>
          <w:szCs w:val="20"/>
        </w:rPr>
        <w:t>Effective October 1, 2021, the Company adopted ASU 2019-12, “Income Taxes (Topic 740): Simplifying the Accounting for Income Taxes” prospectively and retrospectively where deemed applicable. This ASU simplifies the accounting f</w:t>
      </w:r>
      <w:r>
        <w:rPr>
          <w:rFonts w:eastAsia="Times New Roman"/>
          <w:color w:val="000000"/>
          <w:sz w:val="20"/>
          <w:szCs w:val="20"/>
        </w:rPr>
        <w:t>or income taxes by eliminating certain exceptions within the existing guidance for recognizing deferred taxes for equity method investments, performing intraperiod allocations and calculating income taxes in interim periods. Further, this ASU clarifies exi</w:t>
      </w:r>
      <w:r>
        <w:rPr>
          <w:rFonts w:eastAsia="Times New Roman"/>
          <w:color w:val="000000"/>
          <w:sz w:val="20"/>
          <w:szCs w:val="20"/>
        </w:rPr>
        <w:t>sting guidance related to, among other things, recognizing deferred taxes for goodwill and allocated taxes to members of a consolidated group. The adoption of the new guidance did not have a material impact on our consolidated financial statements.</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Accou</w:t>
      </w:r>
      <w:r>
        <w:rPr>
          <w:rFonts w:eastAsia="Times New Roman"/>
          <w:b/>
          <w:bCs/>
          <w:color w:val="000000"/>
          <w:sz w:val="20"/>
          <w:szCs w:val="20"/>
        </w:rPr>
        <w:t>nting Standard Not Yet Adopted</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 xml:space="preserve">Debt and Derivatives and Hedging. </w:t>
      </w:r>
      <w:r>
        <w:rPr>
          <w:rFonts w:eastAsia="Times New Roman"/>
          <w:color w:val="000000"/>
          <w:sz w:val="20"/>
          <w:szCs w:val="20"/>
        </w:rPr>
        <w:t>In August 2020, the FASB issued ASU 2020-06, “Debt - Debt with Conversion and Other Options (Subtopic 470-20) and Derivatives and Hedging – Contracts in Entity’s Own Equity (Subtopic 815-40</w:t>
      </w:r>
      <w:r>
        <w:rPr>
          <w:rFonts w:eastAsia="Times New Roman"/>
          <w:color w:val="000000"/>
          <w:sz w:val="20"/>
          <w:szCs w:val="20"/>
        </w:rPr>
        <w:t>).” The amendments in this ASU affect entities that issue convertible instruments and/or contracts indexed to and potentially settled in an entity’s own equity. This ASU reduces the number of accounting models for convertible debt instruments and convertib</w:t>
      </w:r>
      <w:r>
        <w:rPr>
          <w:rFonts w:eastAsia="Times New Roman"/>
          <w:color w:val="000000"/>
          <w:sz w:val="20"/>
          <w:szCs w:val="20"/>
        </w:rPr>
        <w:t xml:space="preserve">le preferred stock, expands disclosure requirements for convertible instruments, and simplifies the related earnings per share guidance. This new guidance is effective for the Company for interim and annual periods beginning October 1, 2022 (Fiscal 2023). </w:t>
      </w:r>
      <w:r>
        <w:rPr>
          <w:rFonts w:eastAsia="Times New Roman"/>
          <w:color w:val="000000"/>
          <w:sz w:val="20"/>
          <w:szCs w:val="20"/>
        </w:rPr>
        <w:t xml:space="preserve">Early adoption is permitted. The amendments in this ASU may be adopted using the modified or full retrospective transition methods. The Company is in the process of assessing the impact on its financial statements from the adoption of the new guidance and </w:t>
      </w:r>
      <w:r>
        <w:rPr>
          <w:rFonts w:eastAsia="Times New Roman"/>
          <w:color w:val="000000"/>
          <w:sz w:val="20"/>
          <w:szCs w:val="20"/>
        </w:rPr>
        <w:t>determining the transition method and the period in which the new guidance will be adopted.</w:t>
      </w:r>
    </w:p>
    <w:p w:rsidR="00000000" w:rsidRDefault="00844BCF">
      <w:pPr>
        <w:jc w:val="both"/>
        <w:rPr>
          <w:rFonts w:eastAsia="Times New Roman"/>
        </w:rPr>
      </w:pPr>
    </w:p>
    <w:p w:rsidR="00000000" w:rsidRDefault="00844BCF">
      <w:pPr>
        <w:divId w:val="1617369506"/>
        <w:rPr>
          <w:rFonts w:eastAsia="Times New Roman"/>
        </w:rPr>
      </w:pPr>
      <w:r>
        <w:rPr>
          <w:rFonts w:eastAsia="Times New Roman"/>
          <w:b/>
          <w:bCs/>
          <w:color w:val="000000"/>
          <w:sz w:val="20"/>
          <w:szCs w:val="20"/>
          <w:u w:val="single"/>
        </w:rPr>
        <w:t>Note 4 — Revenue from Contracts with Customers</w:t>
      </w:r>
      <w:r>
        <w:rPr>
          <w:rFonts w:eastAsia="Times New Roman"/>
          <w:color w:val="000000"/>
          <w:sz w:val="20"/>
          <w:szCs w:val="20"/>
        </w:rPr>
        <w:t xml:space="preserve"> </w:t>
      </w:r>
    </w:p>
    <w:p w:rsidR="00000000" w:rsidRDefault="00844BCF">
      <w:pPr>
        <w:divId w:val="1956715240"/>
        <w:rPr>
          <w:rFonts w:eastAsia="Times New Roman"/>
        </w:rPr>
      </w:pPr>
    </w:p>
    <w:p w:rsidR="00000000" w:rsidRDefault="00844BCF">
      <w:pPr>
        <w:jc w:val="both"/>
        <w:rPr>
          <w:rFonts w:eastAsia="Times New Roman"/>
        </w:rPr>
      </w:pPr>
      <w:r>
        <w:rPr>
          <w:rFonts w:eastAsia="Times New Roman"/>
          <w:color w:val="000000"/>
          <w:sz w:val="20"/>
          <w:szCs w:val="20"/>
        </w:rPr>
        <w:t>The Company recognizes revenue when control of promised goods or services is transferred to customers in an amount that reflects the consideration to which we expect to be entitled in exchange for those goods or services. See Note 4 in the Company’s 2021 A</w:t>
      </w:r>
      <w:r>
        <w:rPr>
          <w:rFonts w:eastAsia="Times New Roman"/>
          <w:color w:val="000000"/>
          <w:sz w:val="20"/>
          <w:szCs w:val="20"/>
        </w:rPr>
        <w:t>nnual Report for additional information on our revenues from contracts with customers.</w:t>
      </w:r>
    </w:p>
    <w:p w:rsidR="00000000" w:rsidRDefault="00844BCF">
      <w:pPr>
        <w:jc w:val="both"/>
        <w:rPr>
          <w:rFonts w:eastAsia="Times New Roman"/>
        </w:rPr>
      </w:pPr>
    </w:p>
    <w:p w:rsidR="00000000" w:rsidRDefault="00844BCF">
      <w:pPr>
        <w:jc w:val="center"/>
        <w:divId w:val="1104613898"/>
        <w:rPr>
          <w:rFonts w:eastAsia="Times New Roman"/>
        </w:rPr>
      </w:pPr>
      <w:r>
        <w:rPr>
          <w:rFonts w:eastAsia="Times New Roman"/>
          <w:color w:val="000000"/>
          <w:sz w:val="20"/>
          <w:szCs w:val="20"/>
        </w:rPr>
        <w:t>12</w:t>
      </w:r>
    </w:p>
    <w:p w:rsidR="00000000" w:rsidRDefault="00844BCF">
      <w:pPr>
        <w:rPr>
          <w:rFonts w:eastAsia="Times New Roman"/>
        </w:rPr>
      </w:pPr>
      <w:r>
        <w:rPr>
          <w:rFonts w:eastAsia="Times New Roman"/>
        </w:rPr>
        <w:pict>
          <v:rect id="_x0000_i1038" style="width:0;height:1.5pt" o:hralign="center" o:hrstd="t" o:hr="t" fillcolor="#a0a0a0" stroked="f"/>
        </w:pict>
      </w:r>
    </w:p>
    <w:p w:rsidR="00000000" w:rsidRDefault="00844BCF">
      <w:pPr>
        <w:divId w:val="14636563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465733877"/>
        <w:rPr>
          <w:rFonts w:eastAsia="Times New Roman"/>
        </w:rPr>
      </w:pPr>
      <w:r>
        <w:rPr>
          <w:rFonts w:eastAsia="Times New Roman"/>
          <w:b/>
          <w:bCs/>
          <w:color w:val="000000"/>
          <w:sz w:val="20"/>
          <w:szCs w:val="20"/>
        </w:rPr>
        <w:t>UGI CORPORATION AND SUBSIDIARIES</w:t>
      </w:r>
    </w:p>
    <w:p w:rsidR="00000000" w:rsidRDefault="00844BCF">
      <w:pPr>
        <w:jc w:val="center"/>
        <w:divId w:val="1955013830"/>
        <w:rPr>
          <w:rFonts w:eastAsia="Times New Roman"/>
        </w:rPr>
      </w:pPr>
      <w:r>
        <w:rPr>
          <w:rFonts w:eastAsia="Times New Roman"/>
          <w:b/>
          <w:bCs/>
          <w:color w:val="000000"/>
          <w:sz w:val="20"/>
          <w:szCs w:val="20"/>
          <w:u w:val="single"/>
        </w:rPr>
        <w:t xml:space="preserve">Notes to Condensed </w:t>
      </w:r>
      <w:r>
        <w:rPr>
          <w:rFonts w:eastAsia="Times New Roman"/>
          <w:b/>
          <w:bCs/>
          <w:color w:val="000000"/>
          <w:sz w:val="20"/>
          <w:szCs w:val="20"/>
          <w:u w:val="single"/>
        </w:rPr>
        <w:t>Consolidated Financial Statements</w:t>
      </w:r>
    </w:p>
    <w:p w:rsidR="00000000" w:rsidRDefault="00844BCF">
      <w:pPr>
        <w:jc w:val="center"/>
        <w:divId w:val="1465733877"/>
        <w:rPr>
          <w:rFonts w:eastAsia="Times New Roman"/>
        </w:rPr>
      </w:pPr>
      <w:r>
        <w:rPr>
          <w:rFonts w:eastAsia="Times New Roman"/>
          <w:color w:val="000000"/>
          <w:sz w:val="20"/>
          <w:szCs w:val="20"/>
        </w:rPr>
        <w:t>(unaudited)</w:t>
      </w:r>
    </w:p>
    <w:p w:rsidR="00000000" w:rsidRDefault="00844BCF">
      <w:pPr>
        <w:jc w:val="center"/>
        <w:divId w:val="1465733877"/>
        <w:rPr>
          <w:rFonts w:eastAsia="Times New Roman"/>
        </w:rPr>
      </w:pPr>
      <w:r>
        <w:rPr>
          <w:rFonts w:eastAsia="Times New Roman"/>
          <w:color w:val="000000"/>
          <w:sz w:val="20"/>
          <w:szCs w:val="20"/>
        </w:rPr>
        <w:t>(Currency in millions, except per share amounts and where indicated otherwise)</w:t>
      </w:r>
    </w:p>
    <w:p w:rsidR="00000000" w:rsidRDefault="00844BCF">
      <w:pPr>
        <w:divId w:val="698748067"/>
        <w:rPr>
          <w:rFonts w:eastAsia="Times New Roman"/>
        </w:rPr>
      </w:pPr>
      <w:r>
        <w:rPr>
          <w:rFonts w:eastAsia="Times New Roman"/>
          <w:b/>
          <w:bCs/>
          <w:color w:val="000000"/>
          <w:sz w:val="20"/>
          <w:szCs w:val="20"/>
        </w:rPr>
        <w:t>Revenue Disaggregation</w:t>
      </w:r>
    </w:p>
    <w:p w:rsidR="00000000" w:rsidRDefault="00844BCF">
      <w:pPr>
        <w:divId w:val="1300526108"/>
        <w:rPr>
          <w:rFonts w:eastAsia="Times New Roman"/>
        </w:rPr>
      </w:pPr>
    </w:p>
    <w:p w:rsidR="00000000" w:rsidRDefault="00844BCF">
      <w:pPr>
        <w:divId w:val="218638417"/>
        <w:rPr>
          <w:rFonts w:eastAsia="Times New Roman"/>
        </w:rPr>
      </w:pPr>
      <w:r>
        <w:rPr>
          <w:rFonts w:eastAsia="Times New Roman"/>
          <w:color w:val="000000"/>
          <w:sz w:val="20"/>
          <w:szCs w:val="20"/>
        </w:rPr>
        <w:t>The following tables present our disaggregated revenues by reportable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67"/>
        <w:gridCol w:w="39"/>
        <w:gridCol w:w="36"/>
        <w:gridCol w:w="36"/>
        <w:gridCol w:w="36"/>
        <w:gridCol w:w="100"/>
        <w:gridCol w:w="408"/>
        <w:gridCol w:w="36"/>
        <w:gridCol w:w="36"/>
        <w:gridCol w:w="36"/>
        <w:gridCol w:w="36"/>
        <w:gridCol w:w="101"/>
        <w:gridCol w:w="800"/>
        <w:gridCol w:w="36"/>
        <w:gridCol w:w="36"/>
        <w:gridCol w:w="36"/>
        <w:gridCol w:w="36"/>
        <w:gridCol w:w="101"/>
        <w:gridCol w:w="647"/>
        <w:gridCol w:w="36"/>
        <w:gridCol w:w="36"/>
        <w:gridCol w:w="36"/>
        <w:gridCol w:w="36"/>
        <w:gridCol w:w="101"/>
        <w:gridCol w:w="762"/>
        <w:gridCol w:w="36"/>
        <w:gridCol w:w="36"/>
        <w:gridCol w:w="36"/>
        <w:gridCol w:w="36"/>
        <w:gridCol w:w="101"/>
        <w:gridCol w:w="684"/>
        <w:gridCol w:w="36"/>
        <w:gridCol w:w="36"/>
        <w:gridCol w:w="36"/>
        <w:gridCol w:w="36"/>
        <w:gridCol w:w="101"/>
        <w:gridCol w:w="517"/>
        <w:gridCol w:w="36"/>
        <w:gridCol w:w="36"/>
        <w:gridCol w:w="36"/>
        <w:gridCol w:w="36"/>
        <w:gridCol w:w="101"/>
        <w:gridCol w:w="628"/>
        <w:gridCol w:w="36"/>
      </w:tblGrid>
      <w:tr w:rsidR="00000000">
        <w:trPr>
          <w:jc w:val="center"/>
        </w:trPr>
        <w:tc>
          <w:tcPr>
            <w:tcW w:w="50" w:type="pct"/>
            <w:vAlign w:val="center"/>
            <w:hideMark/>
          </w:tcPr>
          <w:p w:rsidR="00000000" w:rsidRDefault="00844BCF">
            <w:pPr>
              <w:rPr>
                <w:rFonts w:eastAsia="Times New Roman"/>
              </w:rPr>
            </w:pPr>
          </w:p>
        </w:tc>
        <w:tc>
          <w:tcPr>
            <w:tcW w:w="13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9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4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9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3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6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7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Three Months Ended March 31, 2022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xml:space="preserve"> Total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w:t>
            </w:r>
            <w:r>
              <w:rPr>
                <w:rFonts w:eastAsia="Times New Roman"/>
                <w:color w:val="000000"/>
                <w:sz w:val="16"/>
                <w:szCs w:val="16"/>
              </w:rPr>
              <w:t xml:space="preserve">UGI International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Utilities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xml:space="preserve"> Corporate &amp; Other </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844BCF">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(40)</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1,554 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908 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646 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909 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466 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524 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w:t>
            </w:r>
            <w:r>
              <w:rPr>
                <w:rFonts w:eastAsia="Times New Roman"/>
                <w:color w:val="000000"/>
                <w:sz w:val="16"/>
                <w:szCs w:val="16"/>
              </w:rPr>
              <w:t>57)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3,442 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 xml:space="preserve">Total revenues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3,466 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center"/>
        <w:divId w:val="1670251396"/>
        <w:rPr>
          <w:rFonts w:eastAsia="Times New Roman"/>
        </w:rPr>
      </w:pPr>
      <w:r>
        <w:rPr>
          <w:rFonts w:eastAsia="Times New Roman"/>
          <w:color w:val="000000"/>
          <w:sz w:val="20"/>
          <w:szCs w:val="20"/>
        </w:rPr>
        <w:t>13</w:t>
      </w:r>
    </w:p>
    <w:p w:rsidR="00000000" w:rsidRDefault="00844BCF">
      <w:pPr>
        <w:rPr>
          <w:rFonts w:eastAsia="Times New Roman"/>
        </w:rPr>
      </w:pPr>
      <w:r>
        <w:rPr>
          <w:rFonts w:eastAsia="Times New Roman"/>
        </w:rPr>
        <w:pict>
          <v:rect id="_x0000_i1039" style="width:0;height:1.5pt" o:hralign="center" o:hrstd="t" o:hr="t" fillcolor="#a0a0a0" stroked="f"/>
        </w:pict>
      </w:r>
    </w:p>
    <w:p w:rsidR="00000000" w:rsidRDefault="00844BCF">
      <w:pPr>
        <w:divId w:val="1862438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572854927"/>
        <w:rPr>
          <w:rFonts w:eastAsia="Times New Roman"/>
        </w:rPr>
      </w:pPr>
      <w:r>
        <w:rPr>
          <w:rFonts w:eastAsia="Times New Roman"/>
          <w:b/>
          <w:bCs/>
          <w:color w:val="000000"/>
          <w:sz w:val="20"/>
          <w:szCs w:val="20"/>
        </w:rPr>
        <w:t>UGI CORPORATION AND SUBSIDIARIES</w:t>
      </w:r>
    </w:p>
    <w:p w:rsidR="00000000" w:rsidRDefault="00844BCF">
      <w:pPr>
        <w:jc w:val="center"/>
        <w:divId w:val="432434138"/>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572854927"/>
        <w:rPr>
          <w:rFonts w:eastAsia="Times New Roman"/>
        </w:rPr>
      </w:pPr>
      <w:r>
        <w:rPr>
          <w:rFonts w:eastAsia="Times New Roman"/>
          <w:color w:val="000000"/>
          <w:sz w:val="20"/>
          <w:szCs w:val="20"/>
        </w:rPr>
        <w:t>(unaudited)</w:t>
      </w:r>
    </w:p>
    <w:p w:rsidR="00000000" w:rsidRDefault="00844BCF">
      <w:pPr>
        <w:jc w:val="center"/>
        <w:divId w:val="572854927"/>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67"/>
        <w:gridCol w:w="39"/>
        <w:gridCol w:w="36"/>
        <w:gridCol w:w="36"/>
        <w:gridCol w:w="36"/>
        <w:gridCol w:w="100"/>
        <w:gridCol w:w="408"/>
        <w:gridCol w:w="36"/>
        <w:gridCol w:w="36"/>
        <w:gridCol w:w="36"/>
        <w:gridCol w:w="36"/>
        <w:gridCol w:w="101"/>
        <w:gridCol w:w="800"/>
        <w:gridCol w:w="36"/>
        <w:gridCol w:w="36"/>
        <w:gridCol w:w="36"/>
        <w:gridCol w:w="36"/>
        <w:gridCol w:w="101"/>
        <w:gridCol w:w="647"/>
        <w:gridCol w:w="36"/>
        <w:gridCol w:w="36"/>
        <w:gridCol w:w="36"/>
        <w:gridCol w:w="36"/>
        <w:gridCol w:w="101"/>
        <w:gridCol w:w="762"/>
        <w:gridCol w:w="36"/>
        <w:gridCol w:w="36"/>
        <w:gridCol w:w="36"/>
        <w:gridCol w:w="36"/>
        <w:gridCol w:w="101"/>
        <w:gridCol w:w="684"/>
        <w:gridCol w:w="36"/>
        <w:gridCol w:w="36"/>
        <w:gridCol w:w="36"/>
        <w:gridCol w:w="36"/>
        <w:gridCol w:w="101"/>
        <w:gridCol w:w="517"/>
        <w:gridCol w:w="36"/>
        <w:gridCol w:w="36"/>
        <w:gridCol w:w="36"/>
        <w:gridCol w:w="36"/>
        <w:gridCol w:w="101"/>
        <w:gridCol w:w="628"/>
        <w:gridCol w:w="36"/>
      </w:tblGrid>
      <w:tr w:rsidR="00000000">
        <w:trPr>
          <w:jc w:val="center"/>
        </w:trPr>
        <w:tc>
          <w:tcPr>
            <w:tcW w:w="50" w:type="pct"/>
            <w:vAlign w:val="center"/>
            <w:hideMark/>
          </w:tcPr>
          <w:p w:rsidR="00000000" w:rsidRDefault="00844BCF">
            <w:pPr>
              <w:jc w:val="center"/>
              <w:rPr>
                <w:rFonts w:eastAsia="Times New Roman"/>
              </w:rPr>
            </w:pPr>
          </w:p>
        </w:tc>
        <w:tc>
          <w:tcPr>
            <w:tcW w:w="13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9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4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9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3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6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7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Three Months Ended March 31, 2021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w:t>
            </w:r>
            <w:r>
              <w:rPr>
                <w:rFonts w:eastAsia="Times New Roman"/>
                <w:color w:val="000000"/>
                <w:sz w:val="16"/>
                <w:szCs w:val="16"/>
              </w:rPr>
              <w:t xml:space="preserve">UGI International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Utilities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Corporate &amp; Other</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844BCF">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243 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243 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xml:space="preserve">Other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1,395 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833 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562 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514 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186 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367 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2,552 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2,581 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center"/>
        <w:divId w:val="1932005665"/>
        <w:rPr>
          <w:rFonts w:eastAsia="Times New Roman"/>
        </w:rPr>
      </w:pPr>
      <w:r>
        <w:rPr>
          <w:rFonts w:eastAsia="Times New Roman"/>
          <w:color w:val="000000"/>
          <w:sz w:val="20"/>
          <w:szCs w:val="20"/>
        </w:rPr>
        <w:t>14</w:t>
      </w:r>
    </w:p>
    <w:p w:rsidR="00000000" w:rsidRDefault="00844BCF">
      <w:pPr>
        <w:rPr>
          <w:rFonts w:eastAsia="Times New Roman"/>
        </w:rPr>
      </w:pPr>
      <w:r>
        <w:rPr>
          <w:rFonts w:eastAsia="Times New Roman"/>
        </w:rPr>
        <w:pict>
          <v:rect id="_x0000_i1040" style="width:0;height:1.5pt" o:hralign="center" o:hrstd="t" o:hr="t" fillcolor="#a0a0a0" stroked="f"/>
        </w:pict>
      </w:r>
    </w:p>
    <w:p w:rsidR="00000000" w:rsidRDefault="00844BCF">
      <w:pPr>
        <w:divId w:val="259526754"/>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580331048"/>
        <w:rPr>
          <w:rFonts w:eastAsia="Times New Roman"/>
        </w:rPr>
      </w:pPr>
      <w:r>
        <w:rPr>
          <w:rFonts w:eastAsia="Times New Roman"/>
          <w:b/>
          <w:bCs/>
          <w:color w:val="000000"/>
          <w:sz w:val="20"/>
          <w:szCs w:val="20"/>
        </w:rPr>
        <w:t>UGI CORPORATION AND SUBSIDIARIES</w:t>
      </w:r>
    </w:p>
    <w:p w:rsidR="00000000" w:rsidRDefault="00844BCF">
      <w:pPr>
        <w:jc w:val="center"/>
        <w:divId w:val="173037341"/>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580331048"/>
        <w:rPr>
          <w:rFonts w:eastAsia="Times New Roman"/>
        </w:rPr>
      </w:pPr>
      <w:r>
        <w:rPr>
          <w:rFonts w:eastAsia="Times New Roman"/>
          <w:color w:val="000000"/>
          <w:sz w:val="20"/>
          <w:szCs w:val="20"/>
        </w:rPr>
        <w:t>(unaudited)</w:t>
      </w:r>
    </w:p>
    <w:p w:rsidR="00000000" w:rsidRDefault="00844BCF">
      <w:pPr>
        <w:jc w:val="center"/>
        <w:divId w:val="580331048"/>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66"/>
        <w:gridCol w:w="39"/>
        <w:gridCol w:w="36"/>
        <w:gridCol w:w="36"/>
        <w:gridCol w:w="36"/>
        <w:gridCol w:w="100"/>
        <w:gridCol w:w="408"/>
        <w:gridCol w:w="36"/>
        <w:gridCol w:w="36"/>
        <w:gridCol w:w="36"/>
        <w:gridCol w:w="36"/>
        <w:gridCol w:w="101"/>
        <w:gridCol w:w="800"/>
        <w:gridCol w:w="36"/>
        <w:gridCol w:w="36"/>
        <w:gridCol w:w="36"/>
        <w:gridCol w:w="36"/>
        <w:gridCol w:w="101"/>
        <w:gridCol w:w="645"/>
        <w:gridCol w:w="36"/>
        <w:gridCol w:w="36"/>
        <w:gridCol w:w="36"/>
        <w:gridCol w:w="36"/>
        <w:gridCol w:w="101"/>
        <w:gridCol w:w="762"/>
        <w:gridCol w:w="36"/>
        <w:gridCol w:w="36"/>
        <w:gridCol w:w="36"/>
        <w:gridCol w:w="36"/>
        <w:gridCol w:w="101"/>
        <w:gridCol w:w="684"/>
        <w:gridCol w:w="36"/>
        <w:gridCol w:w="36"/>
        <w:gridCol w:w="36"/>
        <w:gridCol w:w="36"/>
        <w:gridCol w:w="101"/>
        <w:gridCol w:w="520"/>
        <w:gridCol w:w="36"/>
        <w:gridCol w:w="36"/>
        <w:gridCol w:w="36"/>
        <w:gridCol w:w="36"/>
        <w:gridCol w:w="101"/>
        <w:gridCol w:w="628"/>
        <w:gridCol w:w="36"/>
      </w:tblGrid>
      <w:tr w:rsidR="00000000">
        <w:trPr>
          <w:jc w:val="center"/>
        </w:trPr>
        <w:tc>
          <w:tcPr>
            <w:tcW w:w="50" w:type="pct"/>
            <w:vAlign w:val="center"/>
            <w:hideMark/>
          </w:tcPr>
          <w:p w:rsidR="00000000" w:rsidRDefault="00844BCF">
            <w:pPr>
              <w:jc w:val="center"/>
              <w:rPr>
                <w:rFonts w:eastAsia="Times New Roman"/>
              </w:rPr>
            </w:pPr>
          </w:p>
        </w:tc>
        <w:tc>
          <w:tcPr>
            <w:tcW w:w="13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8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4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3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7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7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Six Months Ended March 31, 2022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xml:space="preserve"> UGI International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Utilities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Corporate &amp; Other</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844BCF">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634 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634 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261 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261 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2,804 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1,554 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1,250 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1,623 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799 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960 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(96)</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5,018 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6,078 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6,139 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1,826 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2,273 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center"/>
        <w:divId w:val="2119912474"/>
        <w:rPr>
          <w:rFonts w:eastAsia="Times New Roman"/>
        </w:rPr>
      </w:pPr>
      <w:r>
        <w:rPr>
          <w:rFonts w:eastAsia="Times New Roman"/>
          <w:color w:val="000000"/>
          <w:sz w:val="20"/>
          <w:szCs w:val="20"/>
        </w:rPr>
        <w:t>15</w:t>
      </w:r>
    </w:p>
    <w:p w:rsidR="00000000" w:rsidRDefault="00844BCF">
      <w:pPr>
        <w:rPr>
          <w:rFonts w:eastAsia="Times New Roman"/>
        </w:rPr>
      </w:pPr>
      <w:r>
        <w:rPr>
          <w:rFonts w:eastAsia="Times New Roman"/>
        </w:rPr>
        <w:pict>
          <v:rect id="_x0000_i1041" style="width:0;height:1.5pt" o:hralign="center" o:hrstd="t" o:hr="t" fillcolor="#a0a0a0" stroked="f"/>
        </w:pict>
      </w:r>
    </w:p>
    <w:p w:rsidR="00000000" w:rsidRDefault="00844BCF">
      <w:pPr>
        <w:divId w:val="405298962"/>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528981404"/>
        <w:rPr>
          <w:rFonts w:eastAsia="Times New Roman"/>
        </w:rPr>
      </w:pPr>
      <w:r>
        <w:rPr>
          <w:rFonts w:eastAsia="Times New Roman"/>
          <w:b/>
          <w:bCs/>
          <w:color w:val="000000"/>
          <w:sz w:val="20"/>
          <w:szCs w:val="20"/>
        </w:rPr>
        <w:t>UGI CORPORATION AND SUBSIDIARIES</w:t>
      </w:r>
    </w:p>
    <w:p w:rsidR="00000000" w:rsidRDefault="00844BCF">
      <w:pPr>
        <w:jc w:val="center"/>
        <w:divId w:val="1529567991"/>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1528981404"/>
        <w:rPr>
          <w:rFonts w:eastAsia="Times New Roman"/>
        </w:rPr>
      </w:pPr>
      <w:r>
        <w:rPr>
          <w:rFonts w:eastAsia="Times New Roman"/>
          <w:color w:val="000000"/>
          <w:sz w:val="20"/>
          <w:szCs w:val="20"/>
        </w:rPr>
        <w:t>(unaudited)</w:t>
      </w:r>
    </w:p>
    <w:p w:rsidR="00000000" w:rsidRDefault="00844BCF">
      <w:pPr>
        <w:jc w:val="center"/>
        <w:divId w:val="1528981404"/>
        <w:rPr>
          <w:rFonts w:eastAsia="Times New Roman"/>
        </w:rPr>
      </w:pPr>
      <w:r>
        <w:rPr>
          <w:rFonts w:eastAsia="Times New Roman"/>
          <w:color w:val="000000"/>
          <w:sz w:val="20"/>
          <w:szCs w:val="20"/>
        </w:rPr>
        <w:t>(Currency in millions, except per share amounts and where indicated otherwise)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068"/>
        <w:gridCol w:w="39"/>
        <w:gridCol w:w="36"/>
        <w:gridCol w:w="36"/>
        <w:gridCol w:w="36"/>
        <w:gridCol w:w="100"/>
        <w:gridCol w:w="408"/>
        <w:gridCol w:w="36"/>
        <w:gridCol w:w="36"/>
        <w:gridCol w:w="36"/>
        <w:gridCol w:w="36"/>
        <w:gridCol w:w="101"/>
        <w:gridCol w:w="800"/>
        <w:gridCol w:w="36"/>
        <w:gridCol w:w="36"/>
        <w:gridCol w:w="36"/>
        <w:gridCol w:w="36"/>
        <w:gridCol w:w="101"/>
        <w:gridCol w:w="645"/>
        <w:gridCol w:w="36"/>
        <w:gridCol w:w="36"/>
        <w:gridCol w:w="36"/>
        <w:gridCol w:w="36"/>
        <w:gridCol w:w="101"/>
        <w:gridCol w:w="762"/>
        <w:gridCol w:w="36"/>
        <w:gridCol w:w="36"/>
        <w:gridCol w:w="36"/>
        <w:gridCol w:w="36"/>
        <w:gridCol w:w="101"/>
        <w:gridCol w:w="684"/>
        <w:gridCol w:w="36"/>
        <w:gridCol w:w="36"/>
        <w:gridCol w:w="36"/>
        <w:gridCol w:w="36"/>
        <w:gridCol w:w="101"/>
        <w:gridCol w:w="517"/>
        <w:gridCol w:w="36"/>
        <w:gridCol w:w="36"/>
        <w:gridCol w:w="36"/>
        <w:gridCol w:w="36"/>
        <w:gridCol w:w="101"/>
        <w:gridCol w:w="629"/>
        <w:gridCol w:w="36"/>
      </w:tblGrid>
      <w:tr w:rsidR="00000000">
        <w:trPr>
          <w:jc w:val="center"/>
        </w:trPr>
        <w:tc>
          <w:tcPr>
            <w:tcW w:w="50" w:type="pct"/>
            <w:vAlign w:val="center"/>
            <w:hideMark/>
          </w:tcPr>
          <w:p w:rsidR="00000000" w:rsidRDefault="00844BCF">
            <w:pPr>
              <w:jc w:val="center"/>
              <w:rPr>
                <w:rFonts w:eastAsia="Times New Roman"/>
              </w:rPr>
            </w:pPr>
          </w:p>
        </w:tc>
        <w:tc>
          <w:tcPr>
            <w:tcW w:w="13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9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4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3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6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4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8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Six Months Ended March 31, 2021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Total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Eliminations</w:t>
            </w:r>
            <w:r>
              <w:rPr>
                <w:rFonts w:eastAsia="Times New Roman"/>
                <w:color w:val="000000"/>
                <w:sz w:val="16"/>
                <w:szCs w:val="16"/>
              </w:rPr>
              <w:br/>
              <w:t xml:space="preserve">(a)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xml:space="preserve"> AmeriGas Propane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w:t>
            </w:r>
            <w:r>
              <w:rPr>
                <w:rFonts w:eastAsia="Times New Roman"/>
                <w:color w:val="000000"/>
                <w:sz w:val="16"/>
                <w:szCs w:val="16"/>
              </w:rPr>
              <w:t xml:space="preserve">UGI International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Midstream &amp; Marketing</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Utilities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Corporate &amp; Other</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Revenues from contracts with customers: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u w:val="single"/>
              </w:rPr>
              <w:t>Utility: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Core Market: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844BCF">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Residential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408 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408 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Commercial &amp; Industrial</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Large delivery service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Off-system sales and capacity releases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Total Utility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u w:val="single"/>
              </w:rPr>
              <w:t>Non-Utility: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LPG:</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Retail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2,450 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1,405 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1,045 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Wholesale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Energy Marketing</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894 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341 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618 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Midstream:</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Pipeline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Peaking</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Electricity Generation</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Total Non-Utility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Total revenues from contracts with customers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 revenues (b)</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4,513 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divId w:val="1222448870"/>
        <w:rPr>
          <w:rFonts w:eastAsia="Times New Roman"/>
        </w:rPr>
      </w:pPr>
    </w:p>
    <w:p w:rsidR="00000000" w:rsidRDefault="00844BCF">
      <w:pPr>
        <w:ind w:hanging="360"/>
        <w:divId w:val="344602348"/>
        <w:rPr>
          <w:rFonts w:eastAsia="Times New Roman"/>
        </w:rPr>
      </w:pPr>
      <w:r>
        <w:rPr>
          <w:rFonts w:eastAsia="Times New Roman"/>
          <w:color w:val="000000"/>
          <w:sz w:val="20"/>
          <w:szCs w:val="20"/>
        </w:rPr>
        <w:t>(a)Includes intersegment revenues principally among Midstream &amp; Marketing, Utilitie</w:t>
      </w:r>
      <w:r>
        <w:rPr>
          <w:rFonts w:eastAsia="Times New Roman"/>
          <w:color w:val="000000"/>
          <w:sz w:val="20"/>
          <w:szCs w:val="20"/>
        </w:rPr>
        <w:t>s and AmeriGas Propane.</w:t>
      </w:r>
    </w:p>
    <w:p w:rsidR="00000000" w:rsidRDefault="00844BCF">
      <w:pPr>
        <w:ind w:hanging="360"/>
        <w:jc w:val="both"/>
        <w:rPr>
          <w:rFonts w:eastAsia="Times New Roman"/>
        </w:rPr>
      </w:pPr>
      <w:r>
        <w:rPr>
          <w:rFonts w:eastAsia="Times New Roman"/>
          <w:color w:val="000000"/>
          <w:sz w:val="20"/>
          <w:szCs w:val="20"/>
        </w:rPr>
        <w:t>(b)Primarily represents revenues from tank rentals at AmeriGas Propane and UGI International, revenues from certain gathering assets at Midstream &amp; Marketing, revenues from alternative revenue programs at UGI Utilities and gains and</w:t>
      </w:r>
      <w:r>
        <w:rPr>
          <w:rFonts w:eastAsia="Times New Roman"/>
          <w:color w:val="000000"/>
          <w:sz w:val="20"/>
          <w:szCs w:val="20"/>
        </w:rPr>
        <w:t xml:space="preserve"> losses on commodity derivative instruments not associated with current-period transactions reflected in Corporate &amp; Other, none of which are within the scope of ASC 606 and are accounted for in accordance with other GAAP.</w:t>
      </w:r>
    </w:p>
    <w:p w:rsidR="00000000" w:rsidRDefault="00844BCF">
      <w:pPr>
        <w:jc w:val="both"/>
        <w:rPr>
          <w:rFonts w:eastAsia="Times New Roman"/>
        </w:rPr>
      </w:pPr>
    </w:p>
    <w:p w:rsidR="00000000" w:rsidRDefault="00844BCF">
      <w:pPr>
        <w:jc w:val="both"/>
        <w:divId w:val="242422359"/>
        <w:rPr>
          <w:rFonts w:eastAsia="Times New Roman"/>
        </w:rPr>
      </w:pPr>
      <w:r>
        <w:rPr>
          <w:rFonts w:eastAsia="Times New Roman"/>
          <w:b/>
          <w:bCs/>
          <w:color w:val="000000"/>
          <w:sz w:val="20"/>
          <w:szCs w:val="20"/>
        </w:rPr>
        <w:t>Contract Balances</w:t>
      </w:r>
    </w:p>
    <w:p w:rsidR="00000000" w:rsidRDefault="00844BCF">
      <w:pPr>
        <w:jc w:val="both"/>
        <w:divId w:val="830485349"/>
        <w:rPr>
          <w:rFonts w:eastAsia="Times New Roman"/>
        </w:rPr>
      </w:pPr>
      <w:r>
        <w:rPr>
          <w:rFonts w:eastAsia="Times New Roman"/>
          <w:color w:val="000000"/>
          <w:sz w:val="20"/>
          <w:szCs w:val="20"/>
        </w:rPr>
        <w:t xml:space="preserve">The timing of revenue recognition may differ from the timing of invoicing to customers or cash receipts. Contract assets represent our right to consideration after the performance obligations have been satisfied when such right is conditioned on something </w:t>
      </w:r>
      <w:r>
        <w:rPr>
          <w:rFonts w:eastAsia="Times New Roman"/>
          <w:color w:val="000000"/>
          <w:sz w:val="20"/>
          <w:szCs w:val="20"/>
        </w:rPr>
        <w:t>other than the passage of time. Contract assets were not material for all periods presented. Substantially all of our receivables are unconditional rights to consideration and are included in “Accounts receivable” and, in the case of Utilities, “Accrued ut</w:t>
      </w:r>
      <w:r>
        <w:rPr>
          <w:rFonts w:eastAsia="Times New Roman"/>
          <w:color w:val="000000"/>
          <w:sz w:val="20"/>
          <w:szCs w:val="20"/>
        </w:rPr>
        <w:t xml:space="preserve">ility revenues” on the Condensed Consolidated Balance Sheets. Amounts billed are generally due within the following month. </w:t>
      </w:r>
    </w:p>
    <w:p w:rsidR="00000000" w:rsidRDefault="00844BCF">
      <w:pPr>
        <w:jc w:val="both"/>
        <w:rPr>
          <w:rFonts w:eastAsia="Times New Roman"/>
        </w:rPr>
      </w:pPr>
      <w:r>
        <w:rPr>
          <w:rFonts w:eastAsia="Times New Roman"/>
          <w:color w:val="000000"/>
          <w:sz w:val="20"/>
          <w:szCs w:val="20"/>
        </w:rPr>
        <w:t>Contract liabilities arise when payment from a customer is received before the performance obligations have been satisfied and repre</w:t>
      </w:r>
      <w:r>
        <w:rPr>
          <w:rFonts w:eastAsia="Times New Roman"/>
          <w:color w:val="000000"/>
          <w:sz w:val="20"/>
          <w:szCs w:val="20"/>
        </w:rPr>
        <w:t>sent the Company’s obligations to transfer goods or services to a customer for which we have received consideration. The balances of contract liabilities were $100, $149 and $93 at March 31, 2022, September 30, 2021 and March 31, 2021, respectively, and ar</w:t>
      </w:r>
      <w:r>
        <w:rPr>
          <w:rFonts w:eastAsia="Times New Roman"/>
          <w:color w:val="000000"/>
          <w:sz w:val="20"/>
          <w:szCs w:val="20"/>
        </w:rPr>
        <w:t>e included in “Other current liabilities” and “Other noncurrent liabilities” on the Condensed Consolidated Balance Sheets. Revenues recognized for the six months ended March 31, 2022 and 2021, from the amounts included in contract liabilities at September </w:t>
      </w:r>
      <w:r>
        <w:rPr>
          <w:rFonts w:eastAsia="Times New Roman"/>
          <w:color w:val="000000"/>
          <w:sz w:val="20"/>
          <w:szCs w:val="20"/>
        </w:rPr>
        <w:t xml:space="preserve">30, 2021 and 2020, were $112 and $131, respectively. </w:t>
      </w:r>
    </w:p>
    <w:p w:rsidR="00000000" w:rsidRDefault="00844BCF">
      <w:pPr>
        <w:jc w:val="both"/>
        <w:rPr>
          <w:rFonts w:eastAsia="Times New Roman"/>
        </w:rPr>
      </w:pPr>
    </w:p>
    <w:p w:rsidR="00000000" w:rsidRDefault="00844BCF">
      <w:pPr>
        <w:jc w:val="center"/>
        <w:divId w:val="777214224"/>
        <w:rPr>
          <w:rFonts w:eastAsia="Times New Roman"/>
        </w:rPr>
      </w:pPr>
      <w:r>
        <w:rPr>
          <w:rFonts w:eastAsia="Times New Roman"/>
          <w:color w:val="000000"/>
          <w:sz w:val="20"/>
          <w:szCs w:val="20"/>
        </w:rPr>
        <w:t>16</w:t>
      </w:r>
    </w:p>
    <w:p w:rsidR="00000000" w:rsidRDefault="00844BCF">
      <w:pPr>
        <w:rPr>
          <w:rFonts w:eastAsia="Times New Roman"/>
        </w:rPr>
      </w:pPr>
      <w:r>
        <w:rPr>
          <w:rFonts w:eastAsia="Times New Roman"/>
        </w:rPr>
        <w:pict>
          <v:rect id="_x0000_i1042" style="width:0;height:1.5pt" o:hralign="center" o:hrstd="t" o:hr="t" fillcolor="#a0a0a0" stroked="f"/>
        </w:pict>
      </w:r>
    </w:p>
    <w:p w:rsidR="00000000" w:rsidRDefault="00844BCF">
      <w:pPr>
        <w:divId w:val="979306548"/>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311053956"/>
        <w:rPr>
          <w:rFonts w:eastAsia="Times New Roman"/>
        </w:rPr>
      </w:pPr>
      <w:r>
        <w:rPr>
          <w:rFonts w:eastAsia="Times New Roman"/>
          <w:b/>
          <w:bCs/>
          <w:color w:val="000000"/>
          <w:sz w:val="20"/>
          <w:szCs w:val="20"/>
        </w:rPr>
        <w:t>UGI CORPORATION AND SUBSIDIARIES</w:t>
      </w:r>
    </w:p>
    <w:p w:rsidR="00000000" w:rsidRDefault="00844BCF">
      <w:pPr>
        <w:jc w:val="center"/>
        <w:divId w:val="1286038190"/>
        <w:rPr>
          <w:rFonts w:eastAsia="Times New Roman"/>
        </w:rPr>
      </w:pPr>
      <w:r>
        <w:rPr>
          <w:rFonts w:eastAsia="Times New Roman"/>
          <w:b/>
          <w:bCs/>
          <w:color w:val="000000"/>
          <w:sz w:val="20"/>
          <w:szCs w:val="20"/>
          <w:u w:val="single"/>
        </w:rPr>
        <w:t>Notes to Condensed Consolidated Financial Statement</w:t>
      </w:r>
      <w:r>
        <w:rPr>
          <w:rFonts w:eastAsia="Times New Roman"/>
          <w:b/>
          <w:bCs/>
          <w:color w:val="000000"/>
          <w:sz w:val="20"/>
          <w:szCs w:val="20"/>
          <w:u w:val="single"/>
        </w:rPr>
        <w:t>s</w:t>
      </w:r>
    </w:p>
    <w:p w:rsidR="00000000" w:rsidRDefault="00844BCF">
      <w:pPr>
        <w:jc w:val="center"/>
        <w:divId w:val="1311053956"/>
        <w:rPr>
          <w:rFonts w:eastAsia="Times New Roman"/>
        </w:rPr>
      </w:pPr>
      <w:r>
        <w:rPr>
          <w:rFonts w:eastAsia="Times New Roman"/>
          <w:color w:val="000000"/>
          <w:sz w:val="20"/>
          <w:szCs w:val="20"/>
        </w:rPr>
        <w:t>(unaudited)</w:t>
      </w:r>
    </w:p>
    <w:p w:rsidR="00000000" w:rsidRDefault="00844BCF">
      <w:pPr>
        <w:jc w:val="center"/>
        <w:divId w:val="1311053956"/>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divId w:val="52823607"/>
        <w:rPr>
          <w:rFonts w:eastAsia="Times New Roman"/>
        </w:rPr>
      </w:pPr>
      <w:r>
        <w:rPr>
          <w:rFonts w:eastAsia="Times New Roman"/>
          <w:b/>
          <w:bCs/>
          <w:color w:val="000000"/>
          <w:sz w:val="20"/>
          <w:szCs w:val="20"/>
        </w:rPr>
        <w:t>Remaining Performance Obligations</w:t>
      </w:r>
    </w:p>
    <w:p w:rsidR="00000000" w:rsidRDefault="00844BCF">
      <w:pPr>
        <w:jc w:val="both"/>
        <w:rPr>
          <w:rFonts w:eastAsia="Times New Roman"/>
        </w:rPr>
      </w:pPr>
      <w:r>
        <w:rPr>
          <w:rFonts w:eastAsia="Times New Roman"/>
          <w:color w:val="000000"/>
          <w:sz w:val="20"/>
          <w:szCs w:val="20"/>
        </w:rPr>
        <w:t>The Company excludes disclosures related to the aggregate amount of the transaction price allocated to certain performance obligations that are unsatisfied as of the end of the reporting period because these contracts have an initial expected term of one y</w:t>
      </w:r>
      <w:r>
        <w:rPr>
          <w:rFonts w:eastAsia="Times New Roman"/>
          <w:color w:val="000000"/>
          <w:sz w:val="20"/>
          <w:szCs w:val="20"/>
        </w:rPr>
        <w:t>ear or less, or we have a right to bill the customer in an amount that corresponds directly with the value of services provided to the customer to date. Certain contracts with customers at Midstream &amp; Marketing and Utilities contain minimum future performa</w:t>
      </w:r>
      <w:r>
        <w:rPr>
          <w:rFonts w:eastAsia="Times New Roman"/>
          <w:color w:val="000000"/>
          <w:sz w:val="20"/>
          <w:szCs w:val="20"/>
        </w:rPr>
        <w:t>nce obligations through 2047 and 2053, respectively. At March 31, 2022, Midstream &amp; Marketing and Utilities expect to record approximately $2.3 billion and $0.2 billion of revenues, respectively, related to the minimum future performance obligations over t</w:t>
      </w:r>
      <w:r>
        <w:rPr>
          <w:rFonts w:eastAsia="Times New Roman"/>
          <w:color w:val="000000"/>
          <w:sz w:val="20"/>
          <w:szCs w:val="20"/>
        </w:rPr>
        <w:t>he remaining terms of the related contracts.</w:t>
      </w:r>
    </w:p>
    <w:p w:rsidR="00000000" w:rsidRDefault="00844BCF">
      <w:pPr>
        <w:jc w:val="both"/>
        <w:rPr>
          <w:rFonts w:eastAsia="Times New Roman"/>
        </w:rPr>
      </w:pPr>
    </w:p>
    <w:p w:rsidR="00000000" w:rsidRDefault="00844BCF">
      <w:pPr>
        <w:divId w:val="18507786"/>
        <w:rPr>
          <w:rFonts w:eastAsia="Times New Roman"/>
        </w:rPr>
      </w:pPr>
      <w:r>
        <w:rPr>
          <w:rFonts w:eastAsia="Times New Roman"/>
          <w:b/>
          <w:bCs/>
          <w:color w:val="000000"/>
          <w:sz w:val="20"/>
          <w:szCs w:val="20"/>
          <w:u w:val="single"/>
        </w:rPr>
        <w:t>Note 5 — Acquisitions</w:t>
      </w:r>
    </w:p>
    <w:p w:rsidR="00000000" w:rsidRDefault="00844BCF">
      <w:pPr>
        <w:divId w:val="1761291194"/>
        <w:rPr>
          <w:rFonts w:eastAsia="Times New Roman"/>
        </w:rPr>
      </w:pPr>
    </w:p>
    <w:p w:rsidR="00000000" w:rsidRDefault="00844BCF">
      <w:pPr>
        <w:jc w:val="both"/>
        <w:rPr>
          <w:rFonts w:eastAsia="Times New Roman"/>
        </w:rPr>
      </w:pPr>
      <w:r>
        <w:rPr>
          <w:rFonts w:eastAsia="Times New Roman"/>
          <w:b/>
          <w:bCs/>
          <w:color w:val="000000"/>
          <w:sz w:val="20"/>
          <w:szCs w:val="20"/>
        </w:rPr>
        <w:t>Stonehenge Acquisition</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On January 27, 2022, UGI through its wholly owned indirect subsidiary, Energy Services, completed the Stonehenge Acquisition in which Energy Services acquired a</w:t>
      </w:r>
      <w:r>
        <w:rPr>
          <w:rFonts w:eastAsia="Times New Roman"/>
          <w:color w:val="000000"/>
          <w:sz w:val="20"/>
          <w:szCs w:val="20"/>
        </w:rPr>
        <w:t>ll of the equity interests in Stonehenge, for total cash consideration of approximately $190. The Stonehenge business includes a natural gas gathering system, located in Western Pennsylvania, with more than 47 miles of pipeline and associated compression a</w:t>
      </w:r>
      <w:r>
        <w:rPr>
          <w:rFonts w:eastAsia="Times New Roman"/>
          <w:color w:val="000000"/>
          <w:sz w:val="20"/>
          <w:szCs w:val="20"/>
        </w:rPr>
        <w:t>ssets. The Stonehenge Acquisition is consistent with our growth strategies, including expanding our midstream natural gas gathering assets within the Appalachian basin production region. The Stonehenge Acquisition was funded using available cash. The Compa</w:t>
      </w:r>
      <w:r>
        <w:rPr>
          <w:rFonts w:eastAsia="Times New Roman"/>
          <w:color w:val="000000"/>
          <w:sz w:val="20"/>
          <w:szCs w:val="20"/>
        </w:rPr>
        <w:t>ny has accounted for the Stonehenge Acquisition using the acquisition method and the purchase price has been primarily allocated to property, plant and equipment.</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Mountaineer Acquisition</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On September 1, 2021, UGI completed the Mountaineer Acquisition i</w:t>
      </w:r>
      <w:r>
        <w:rPr>
          <w:rFonts w:eastAsia="Times New Roman"/>
          <w:color w:val="000000"/>
          <w:sz w:val="20"/>
          <w:szCs w:val="20"/>
        </w:rPr>
        <w:t xml:space="preserve">n which UGI acquired all of the equity interests in Mountaineer, the largest natural gas distribution company in West Virginia, for a purchase price of $540, including the assumption of $140 principal amounts of long-term debt. The Mountaineer Acquisition </w:t>
      </w:r>
      <w:r>
        <w:rPr>
          <w:rFonts w:eastAsia="Times New Roman"/>
          <w:color w:val="000000"/>
          <w:sz w:val="20"/>
          <w:szCs w:val="20"/>
        </w:rPr>
        <w:t>was consummated pursuant to a purchase and sale agreement between UGI and the iCON Sellers and is consistent with our growth strategies, including expanding our core utility operations in the mid-Atlantic region.</w:t>
      </w:r>
      <w:r>
        <w:rPr>
          <w:rFonts w:eastAsia="Times New Roman"/>
          <w:color w:val="000000"/>
        </w:rPr>
        <w:t xml:space="preserve"> </w:t>
      </w:r>
      <w:r>
        <w:rPr>
          <w:rFonts w:eastAsia="Times New Roman"/>
          <w:color w:val="000000"/>
          <w:sz w:val="20"/>
          <w:szCs w:val="20"/>
        </w:rPr>
        <w:t>The Mountaineer Acquisition was funded with</w:t>
      </w:r>
      <w:r>
        <w:rPr>
          <w:rFonts w:eastAsia="Times New Roman"/>
          <w:color w:val="000000"/>
          <w:sz w:val="20"/>
          <w:szCs w:val="20"/>
        </w:rPr>
        <w:t xml:space="preserve"> cash proceeds from </w:t>
      </w:r>
      <w:r>
        <w:rPr>
          <w:rFonts w:eastAsia="Times New Roman"/>
          <w:color w:val="000000"/>
          <w:sz w:val="20"/>
          <w:szCs w:val="20"/>
          <w:shd w:val="clear" w:color="auto" w:fill="FFFFFF"/>
        </w:rPr>
        <w:t xml:space="preserve">the UGI Corporation Senior Credit Facility </w:t>
      </w:r>
      <w:r>
        <w:rPr>
          <w:rFonts w:eastAsia="Times New Roman"/>
          <w:color w:val="000000"/>
          <w:sz w:val="20"/>
          <w:szCs w:val="20"/>
        </w:rPr>
        <w:t>$215</w:t>
      </w:r>
      <w:r>
        <w:rPr>
          <w:rFonts w:eastAsia="Times New Roman"/>
          <w:color w:val="000000"/>
          <w:sz w:val="20"/>
          <w:szCs w:val="20"/>
          <w:shd w:val="clear" w:color="auto" w:fill="FFFFFF"/>
        </w:rPr>
        <w:t xml:space="preserve"> term loan and cash on hand including proceeds from the issuance of Equity Units</w:t>
      </w:r>
      <w:r>
        <w:rPr>
          <w:rFonts w:eastAsia="Times New Roman"/>
          <w:color w:val="000000"/>
          <w:sz w:val="20"/>
          <w:szCs w:val="20"/>
        </w:rPr>
        <w:t>. Accounts associated with Mountaineer are included within our Utilities reportable segment.</w:t>
      </w:r>
    </w:p>
    <w:p w:rsidR="00000000" w:rsidRDefault="00844BCF">
      <w:pPr>
        <w:divId w:val="252663391"/>
        <w:rPr>
          <w:rFonts w:eastAsia="Times New Roman"/>
        </w:rPr>
      </w:pPr>
    </w:p>
    <w:p w:rsidR="00000000" w:rsidRDefault="00844BCF">
      <w:pPr>
        <w:jc w:val="both"/>
        <w:rPr>
          <w:rFonts w:eastAsia="Times New Roman"/>
        </w:rPr>
      </w:pPr>
      <w:r>
        <w:rPr>
          <w:rFonts w:eastAsia="Times New Roman"/>
          <w:color w:val="000000"/>
          <w:sz w:val="20"/>
          <w:szCs w:val="20"/>
        </w:rPr>
        <w:t>The Company ha</w:t>
      </w:r>
      <w:r>
        <w:rPr>
          <w:rFonts w:eastAsia="Times New Roman"/>
          <w:color w:val="000000"/>
          <w:sz w:val="20"/>
          <w:szCs w:val="20"/>
        </w:rPr>
        <w:t>s accounted for the Mountaineer Acquisition using the acquisition method. During the six months ended March 31, 2022, the Company recorded an adjustment to decrease goodwill by $5 primarily reflecting an adjustment to a valuation allowance on certain defer</w:t>
      </w:r>
      <w:r>
        <w:rPr>
          <w:rFonts w:eastAsia="Times New Roman"/>
          <w:color w:val="000000"/>
          <w:sz w:val="20"/>
          <w:szCs w:val="20"/>
        </w:rPr>
        <w:t xml:space="preserve">red income taxes. The Condensed Balance Sheet at March 31, 2022, reflects the final allocation of the purchase price to the assets acquired and liabilities assumed for the Mountaineer Acquisition. </w:t>
      </w:r>
    </w:p>
    <w:p w:rsidR="00000000" w:rsidRDefault="00844BCF">
      <w:pPr>
        <w:jc w:val="center"/>
        <w:divId w:val="236325387"/>
        <w:rPr>
          <w:rFonts w:eastAsia="Times New Roman"/>
        </w:rPr>
      </w:pPr>
      <w:r>
        <w:rPr>
          <w:rFonts w:eastAsia="Times New Roman"/>
          <w:color w:val="000000"/>
          <w:sz w:val="20"/>
          <w:szCs w:val="20"/>
        </w:rPr>
        <w:t>17</w:t>
      </w:r>
    </w:p>
    <w:p w:rsidR="00000000" w:rsidRDefault="00844BCF">
      <w:pPr>
        <w:rPr>
          <w:rFonts w:eastAsia="Times New Roman"/>
        </w:rPr>
      </w:pPr>
      <w:r>
        <w:rPr>
          <w:rFonts w:eastAsia="Times New Roman"/>
        </w:rPr>
        <w:pict>
          <v:rect id="_x0000_i1043" style="width:0;height:1.5pt" o:hralign="center" o:hrstd="t" o:hr="t" fillcolor="#a0a0a0" stroked="f"/>
        </w:pict>
      </w:r>
    </w:p>
    <w:p w:rsidR="00000000" w:rsidRDefault="00844BCF">
      <w:pPr>
        <w:divId w:val="1323268349"/>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978341974"/>
        <w:rPr>
          <w:rFonts w:eastAsia="Times New Roman"/>
        </w:rPr>
      </w:pPr>
      <w:r>
        <w:rPr>
          <w:rFonts w:eastAsia="Times New Roman"/>
          <w:b/>
          <w:bCs/>
          <w:color w:val="000000"/>
          <w:sz w:val="20"/>
          <w:szCs w:val="20"/>
        </w:rPr>
        <w:t>UGI CORPORATION AND SUBSIDIARIES</w:t>
      </w:r>
    </w:p>
    <w:p w:rsidR="00000000" w:rsidRDefault="00844BCF">
      <w:pPr>
        <w:jc w:val="center"/>
        <w:divId w:val="862982241"/>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1978341974"/>
        <w:rPr>
          <w:rFonts w:eastAsia="Times New Roman"/>
        </w:rPr>
      </w:pPr>
      <w:r>
        <w:rPr>
          <w:rFonts w:eastAsia="Times New Roman"/>
          <w:color w:val="000000"/>
          <w:sz w:val="20"/>
          <w:szCs w:val="20"/>
        </w:rPr>
        <w:t>(unaudited)</w:t>
      </w:r>
    </w:p>
    <w:p w:rsidR="00000000" w:rsidRDefault="00844BCF">
      <w:pPr>
        <w:jc w:val="center"/>
        <w:divId w:val="1978341974"/>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The components of the Mountaineer purchase price allocations are as follows: </w:t>
      </w:r>
    </w:p>
    <w:p w:rsidR="00000000" w:rsidRDefault="00844BCF">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7006"/>
        <w:gridCol w:w="37"/>
        <w:gridCol w:w="120"/>
        <w:gridCol w:w="1055"/>
        <w:gridCol w:w="36"/>
      </w:tblGrid>
      <w:tr w:rsidR="00000000">
        <w:tc>
          <w:tcPr>
            <w:tcW w:w="50" w:type="pct"/>
            <w:vAlign w:val="center"/>
            <w:hideMark/>
          </w:tcPr>
          <w:p w:rsidR="00000000" w:rsidRDefault="00844BCF">
            <w:pPr>
              <w:jc w:val="both"/>
              <w:rPr>
                <w:rFonts w:eastAsia="Times New Roman"/>
              </w:rPr>
            </w:pPr>
          </w:p>
        </w:tc>
        <w:tc>
          <w:tcPr>
            <w:tcW w:w="423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65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Assets acquired:</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Cash and cash equivalents </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Accounts receivable </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Inventories </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Property, plant and equipment </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Other noncurrent assets </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trHeight w:val="300"/>
        </w:trPr>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Liabilities assumed:</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Short-term borrowings </w:t>
            </w: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Accounts payable </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Other current liabilities </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Long-term debt </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Pension and other postretirement benefit obligation </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Other noncurrent liabilities </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Total liabilities assumed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Goodwill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Net consideration transferred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Mountaineer is a regulated entity which accounts for the financial effects of regulation in accordance with ASC 980. The effects of regulation can impact the fair value of certain assets and liabilities acquired, and as such, the measurement of the fair va</w:t>
      </w:r>
      <w:r>
        <w:rPr>
          <w:rFonts w:eastAsia="Times New Roman"/>
          <w:color w:val="000000"/>
          <w:sz w:val="20"/>
          <w:szCs w:val="20"/>
        </w:rPr>
        <w:t>lue of regulated property assets using the predecessor’s carrying value is generally accepted since regulation attaches to the assets and regulation is so pervasive that the regulation extends to the individual assets. In certain other instances where asse</w:t>
      </w:r>
      <w:r>
        <w:rPr>
          <w:rFonts w:eastAsia="Times New Roman"/>
          <w:color w:val="000000"/>
          <w:sz w:val="20"/>
          <w:szCs w:val="20"/>
        </w:rPr>
        <w:t>ts or liabilities are subject to rate recovery, we recorded fair value adjustments to such assets and liabilities as regulatory assets and liabilities.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excess of the purchase price for the Mountaineer Acquisition over the fair values of the assets ac</w:t>
      </w:r>
      <w:r>
        <w:rPr>
          <w:rFonts w:eastAsia="Times New Roman"/>
          <w:color w:val="000000"/>
          <w:sz w:val="20"/>
          <w:szCs w:val="20"/>
        </w:rPr>
        <w:t>quired and liabilities assumed has been reflected as goodwill, assigned to the Utilities reportable segment. Goodwill is attributable to the assembled workforce of Mountaineer, planned customer growth and planned growth in rate base through continued inves</w:t>
      </w:r>
      <w:r>
        <w:rPr>
          <w:rFonts w:eastAsia="Times New Roman"/>
          <w:color w:val="000000"/>
          <w:sz w:val="20"/>
          <w:szCs w:val="20"/>
        </w:rPr>
        <w:t>tment in utility infrastructure. The goodwill recognized from the Mountaineer Acquisition is not expected to be deductible for income tax purposes.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impact of the Mountaineer Acquisition on a pro forma basis as if the Mountaineer Acquisition had occur</w:t>
      </w:r>
      <w:r>
        <w:rPr>
          <w:rFonts w:eastAsia="Times New Roman"/>
          <w:color w:val="000000"/>
          <w:sz w:val="20"/>
          <w:szCs w:val="20"/>
        </w:rPr>
        <w:t>red on October 1, 2020 was not material to the Company’s revenues or net income for the three and six months ended March 31, 2021.</w:t>
      </w:r>
    </w:p>
    <w:p w:rsidR="00000000" w:rsidRDefault="00844BCF">
      <w:pPr>
        <w:divId w:val="13388703"/>
        <w:rPr>
          <w:rFonts w:eastAsia="Times New Roman"/>
        </w:rPr>
      </w:pPr>
    </w:p>
    <w:p w:rsidR="00000000" w:rsidRDefault="00844BCF">
      <w:pPr>
        <w:jc w:val="center"/>
        <w:divId w:val="1092430537"/>
        <w:rPr>
          <w:rFonts w:eastAsia="Times New Roman"/>
        </w:rPr>
      </w:pPr>
      <w:r>
        <w:rPr>
          <w:rFonts w:eastAsia="Times New Roman"/>
          <w:color w:val="000000"/>
          <w:sz w:val="20"/>
          <w:szCs w:val="20"/>
        </w:rPr>
        <w:t>18</w:t>
      </w:r>
    </w:p>
    <w:p w:rsidR="00000000" w:rsidRDefault="00844BCF">
      <w:pPr>
        <w:rPr>
          <w:rFonts w:eastAsia="Times New Roman"/>
        </w:rPr>
      </w:pPr>
      <w:r>
        <w:rPr>
          <w:rFonts w:eastAsia="Times New Roman"/>
        </w:rPr>
        <w:pict>
          <v:rect id="_x0000_i1044" style="width:0;height:1.5pt" o:hralign="center" o:hrstd="t" o:hr="t" fillcolor="#a0a0a0" stroked="f"/>
        </w:pict>
      </w:r>
    </w:p>
    <w:p w:rsidR="00000000" w:rsidRDefault="00844BCF">
      <w:pPr>
        <w:divId w:val="2089157042"/>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311839516"/>
        <w:rPr>
          <w:rFonts w:eastAsia="Times New Roman"/>
        </w:rPr>
      </w:pPr>
      <w:r>
        <w:rPr>
          <w:rFonts w:eastAsia="Times New Roman"/>
          <w:b/>
          <w:bCs/>
          <w:color w:val="000000"/>
          <w:sz w:val="20"/>
          <w:szCs w:val="20"/>
        </w:rPr>
        <w:t>UGI CORPORATION AND SUBSIDIARIES</w:t>
      </w:r>
    </w:p>
    <w:p w:rsidR="00000000" w:rsidRDefault="00844BCF">
      <w:pPr>
        <w:jc w:val="center"/>
        <w:divId w:val="193929876"/>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311839516"/>
        <w:rPr>
          <w:rFonts w:eastAsia="Times New Roman"/>
        </w:rPr>
      </w:pPr>
      <w:r>
        <w:rPr>
          <w:rFonts w:eastAsia="Times New Roman"/>
          <w:color w:val="000000"/>
          <w:sz w:val="20"/>
          <w:szCs w:val="20"/>
        </w:rPr>
        <w:t>(unaudited)</w:t>
      </w:r>
    </w:p>
    <w:p w:rsidR="00000000" w:rsidRDefault="00844BCF">
      <w:pPr>
        <w:jc w:val="center"/>
        <w:divId w:val="311839516"/>
        <w:rPr>
          <w:rFonts w:eastAsia="Times New Roman"/>
        </w:rPr>
      </w:pPr>
      <w:r>
        <w:rPr>
          <w:rFonts w:eastAsia="Times New Roman"/>
          <w:color w:val="000000"/>
          <w:sz w:val="20"/>
          <w:szCs w:val="20"/>
        </w:rPr>
        <w:t>(Currency in millions, except per share amounts and where indicated otherwise)</w:t>
      </w:r>
    </w:p>
    <w:p w:rsidR="00000000" w:rsidRDefault="00844BCF">
      <w:pPr>
        <w:ind w:hanging="540"/>
        <w:jc w:val="both"/>
        <w:rPr>
          <w:rFonts w:eastAsia="Times New Roman"/>
        </w:rPr>
      </w:pPr>
      <w:r>
        <w:rPr>
          <w:rFonts w:eastAsia="Times New Roman"/>
          <w:b/>
          <w:bCs/>
          <w:color w:val="000000"/>
          <w:sz w:val="20"/>
          <w:szCs w:val="20"/>
          <w:u w:val="single"/>
        </w:rPr>
        <w:t>Note 6 — Inventories</w:t>
      </w:r>
      <w:r>
        <w:rPr>
          <w:rFonts w:eastAsia="Times New Roman"/>
          <w:b/>
          <w:bCs/>
          <w:color w:val="000000"/>
          <w:sz w:val="20"/>
          <w:szCs w:val="20"/>
        </w:rPr>
        <w:t xml:space="preserve">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Inventories comprise the following:</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4814"/>
        <w:gridCol w:w="37"/>
        <w:gridCol w:w="36"/>
        <w:gridCol w:w="36"/>
        <w:gridCol w:w="36"/>
        <w:gridCol w:w="120"/>
        <w:gridCol w:w="874"/>
        <w:gridCol w:w="36"/>
        <w:gridCol w:w="36"/>
        <w:gridCol w:w="36"/>
        <w:gridCol w:w="36"/>
        <w:gridCol w:w="121"/>
        <w:gridCol w:w="874"/>
        <w:gridCol w:w="36"/>
        <w:gridCol w:w="36"/>
        <w:gridCol w:w="36"/>
        <w:gridCol w:w="36"/>
        <w:gridCol w:w="120"/>
        <w:gridCol w:w="876"/>
        <w:gridCol w:w="36"/>
      </w:tblGrid>
      <w:tr w:rsidR="00000000">
        <w:trPr>
          <w:divId w:val="1016224449"/>
        </w:trPr>
        <w:tc>
          <w:tcPr>
            <w:tcW w:w="50" w:type="pct"/>
            <w:vAlign w:val="center"/>
            <w:hideMark/>
          </w:tcPr>
          <w:p w:rsidR="00000000" w:rsidRDefault="00844BCF">
            <w:pPr>
              <w:jc w:val="both"/>
              <w:rPr>
                <w:rFonts w:eastAsia="Times New Roman"/>
              </w:rPr>
            </w:pPr>
          </w:p>
        </w:tc>
        <w:tc>
          <w:tcPr>
            <w:tcW w:w="29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016224449"/>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March 31,</w:t>
            </w:r>
            <w:r>
              <w:rPr>
                <w:rFonts w:eastAsia="Times New Roman"/>
                <w:color w:val="000000"/>
                <w:sz w:val="18"/>
                <w:szCs w:val="18"/>
              </w:rPr>
              <w:b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September 30,</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March 31,</w:t>
            </w:r>
            <w:r>
              <w:rPr>
                <w:rFonts w:eastAsia="Times New Roman"/>
                <w:color w:val="000000"/>
                <w:sz w:val="18"/>
                <w:szCs w:val="18"/>
              </w:rPr>
              <w:br/>
              <w:t>2021</w:t>
            </w:r>
          </w:p>
        </w:tc>
      </w:tr>
      <w:tr w:rsidR="00000000">
        <w:trPr>
          <w:divId w:val="1016224449"/>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Non-utility LPG and natural gas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6224449"/>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Gas Utility natural gas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6224449"/>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Energy certificates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6224449"/>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Materials, supplies and 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6224449"/>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inventories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ind w:hanging="540"/>
        <w:jc w:val="both"/>
        <w:rPr>
          <w:rFonts w:eastAsia="Times New Roman"/>
        </w:rPr>
      </w:pPr>
      <w:r>
        <w:rPr>
          <w:rFonts w:eastAsia="Times New Roman"/>
          <w:b/>
          <w:bCs/>
          <w:color w:val="000000"/>
          <w:sz w:val="20"/>
          <w:szCs w:val="20"/>
          <w:u w:val="single"/>
        </w:rPr>
        <w:t>Note 7 — Utility Regulatory Assets and Liabilities and Regulatory Matters</w:t>
      </w:r>
      <w:r>
        <w:rPr>
          <w:rFonts w:eastAsia="Times New Roman"/>
          <w:b/>
          <w:bCs/>
          <w:color w:val="000000"/>
          <w:sz w:val="20"/>
          <w:szCs w:val="20"/>
        </w:rPr>
        <w:t xml:space="preserve">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For a description </w:t>
      </w:r>
      <w:r>
        <w:rPr>
          <w:rFonts w:eastAsia="Times New Roman"/>
          <w:color w:val="000000"/>
          <w:sz w:val="20"/>
          <w:szCs w:val="20"/>
        </w:rPr>
        <w:t xml:space="preserve">of the Company’s regulatory assets and liabilities other than those described below, see Note 9 in the Company’s 2021 Annual Report. Other than removal costs, Utilities currently does not recover a rate of return on its regulatory assets listed below. The </w:t>
      </w:r>
      <w:r>
        <w:rPr>
          <w:rFonts w:eastAsia="Times New Roman"/>
          <w:color w:val="000000"/>
          <w:sz w:val="20"/>
          <w:szCs w:val="20"/>
        </w:rPr>
        <w:t>following regulatory assets and liabilities associated with Utilities are included on the Condensed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0"/>
        <w:gridCol w:w="4811"/>
        <w:gridCol w:w="39"/>
        <w:gridCol w:w="36"/>
        <w:gridCol w:w="36"/>
        <w:gridCol w:w="36"/>
        <w:gridCol w:w="120"/>
        <w:gridCol w:w="873"/>
        <w:gridCol w:w="36"/>
        <w:gridCol w:w="36"/>
        <w:gridCol w:w="36"/>
        <w:gridCol w:w="36"/>
        <w:gridCol w:w="121"/>
        <w:gridCol w:w="874"/>
        <w:gridCol w:w="36"/>
        <w:gridCol w:w="36"/>
        <w:gridCol w:w="36"/>
        <w:gridCol w:w="36"/>
        <w:gridCol w:w="120"/>
        <w:gridCol w:w="876"/>
        <w:gridCol w:w="36"/>
      </w:tblGrid>
      <w:tr w:rsidR="00000000">
        <w:trPr>
          <w:divId w:val="635184987"/>
        </w:trPr>
        <w:tc>
          <w:tcPr>
            <w:tcW w:w="50" w:type="pct"/>
            <w:vAlign w:val="center"/>
            <w:hideMark/>
          </w:tcPr>
          <w:p w:rsidR="00000000" w:rsidRDefault="00844BCF">
            <w:pPr>
              <w:jc w:val="both"/>
              <w:rPr>
                <w:rFonts w:eastAsia="Times New Roman"/>
              </w:rPr>
            </w:pPr>
          </w:p>
        </w:tc>
        <w:tc>
          <w:tcPr>
            <w:tcW w:w="29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635184987"/>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March 31,</w:t>
            </w:r>
            <w:r>
              <w:rPr>
                <w:rFonts w:eastAsia="Times New Roman"/>
                <w:color w:val="000000"/>
                <w:sz w:val="18"/>
                <w:szCs w:val="18"/>
              </w:rPr>
              <w:b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September 30,</w:t>
            </w:r>
            <w:r>
              <w:rPr>
                <w:rFonts w:eastAsia="Times New Roman"/>
                <w:color w:val="000000"/>
                <w:sz w:val="18"/>
                <w:szCs w:val="18"/>
              </w:rPr>
              <w:b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March 31,</w:t>
            </w:r>
            <w:r>
              <w:rPr>
                <w:rFonts w:eastAsia="Times New Roman"/>
                <w:color w:val="000000"/>
                <w:sz w:val="18"/>
                <w:szCs w:val="18"/>
              </w:rPr>
              <w:br/>
              <w:t>2021</w:t>
            </w:r>
          </w:p>
        </w:tc>
      </w:tr>
      <w:tr w:rsidR="00000000">
        <w:trPr>
          <w:divId w:val="635184987"/>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b/>
                <w:bCs/>
                <w:color w:val="000000"/>
                <w:sz w:val="20"/>
                <w:szCs w:val="20"/>
              </w:rPr>
              <w:t>Regulatory assets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635184987"/>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Income taxes recoverable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shd w:val="clear" w:color="auto" w:fill="CCEE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Underfunded pension and postretirement plans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Environmental costs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shd w:val="clear" w:color="auto" w:fill="CCEE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Deferred fuel and power costs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Removal costs, net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shd w:val="clear" w:color="auto" w:fill="CCEE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regulatory assets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b/>
                <w:bCs/>
                <w:color w:val="000000"/>
                <w:sz w:val="20"/>
                <w:szCs w:val="20"/>
              </w:rPr>
              <w:t>Regulatory liabilities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635184987"/>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Postretirement benefit overcollections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635184987"/>
        </w:trPr>
        <w:tc>
          <w:tcPr>
            <w:tcW w:w="0" w:type="auto"/>
            <w:gridSpan w:val="3"/>
            <w:shd w:val="clear" w:color="auto" w:fill="CCEE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Deferred fuel and power refunds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 xml:space="preserve">State tax benefits — </w:t>
            </w:r>
            <w:r>
              <w:rPr>
                <w:rFonts w:eastAsia="Times New Roman"/>
                <w:color w:val="000000"/>
                <w:sz w:val="20"/>
                <w:szCs w:val="20"/>
              </w:rPr>
              <w:t>distribution system repairs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635184987"/>
        </w:trPr>
        <w:tc>
          <w:tcPr>
            <w:tcW w:w="0" w:type="auto"/>
            <w:gridSpan w:val="3"/>
            <w:shd w:val="clear" w:color="auto" w:fill="CCEE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Excess federal deferred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635184987"/>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regulatory liabilities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ind w:hanging="360"/>
        <w:jc w:val="both"/>
        <w:rPr>
          <w:rFonts w:eastAsia="Times New Roman"/>
        </w:rPr>
      </w:pPr>
      <w:r>
        <w:rPr>
          <w:rFonts w:eastAsia="Times New Roman"/>
          <w:color w:val="000000"/>
          <w:sz w:val="20"/>
          <w:szCs w:val="20"/>
        </w:rPr>
        <w:t>(a)Current regulatory assets are included in “Prepaid expenses and other current assets” and regulatory liabilities are included in “Other current liabilities”</w:t>
      </w:r>
      <w:r>
        <w:rPr>
          <w:rFonts w:eastAsia="Times New Roman"/>
          <w:color w:val="000000"/>
          <w:sz w:val="20"/>
          <w:szCs w:val="20"/>
        </w:rPr>
        <w:t xml:space="preserve"> and “Other noncurrent liabilities” on the Condensed Consolidated Balance Sheets.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Deferred fuel and power - costs and refunds.</w:t>
      </w:r>
      <w:r>
        <w:rPr>
          <w:rFonts w:eastAsia="Times New Roman"/>
          <w:color w:val="000000"/>
          <w:sz w:val="20"/>
          <w:szCs w:val="20"/>
        </w:rPr>
        <w:t xml:space="preserve"> Utilities’ tariffs contain clauses that permit recovery of all prudently incurred purchased gas and power costs through the app</w:t>
      </w:r>
      <w:r>
        <w:rPr>
          <w:rFonts w:eastAsia="Times New Roman"/>
          <w:color w:val="000000"/>
          <w:sz w:val="20"/>
          <w:szCs w:val="20"/>
        </w:rPr>
        <w:t>lication of PGC rates and DS tariffs. These clauses provide for periodic adjustments to PGC and DS rates for differences between the total amount of purchased gas and electric generation supply costs collected from customers and recoverable costs incurred.</w:t>
      </w:r>
      <w:r>
        <w:rPr>
          <w:rFonts w:eastAsia="Times New Roman"/>
          <w:color w:val="000000"/>
          <w:sz w:val="20"/>
          <w:szCs w:val="20"/>
        </w:rPr>
        <w:t xml:space="preserve"> Net undercollected costs are classified as a regulatory asset and net overcollections are classified as a regulatory liability.</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PA Gas Utility uses derivative instruments to reduce volatility in the cost of gas it purchases for retail core-market custom</w:t>
      </w:r>
      <w:r>
        <w:rPr>
          <w:rFonts w:eastAsia="Times New Roman"/>
          <w:color w:val="000000"/>
          <w:sz w:val="20"/>
          <w:szCs w:val="20"/>
        </w:rPr>
        <w:t>ers. Realized and unrealized gains or losses on natural gas derivative instruments are included in deferred fuel and power costs or refunds. Net unrealized gains on such contracts at March 31, 2022, September 30, 2021 and March 31, 2021 were $21, $35 and $</w:t>
      </w:r>
      <w:r>
        <w:rPr>
          <w:rFonts w:eastAsia="Times New Roman"/>
          <w:color w:val="000000"/>
          <w:sz w:val="20"/>
          <w:szCs w:val="20"/>
        </w:rPr>
        <w:t>1, respectively.</w:t>
      </w:r>
    </w:p>
    <w:p w:rsidR="00000000" w:rsidRDefault="00844BCF">
      <w:pPr>
        <w:jc w:val="both"/>
        <w:rPr>
          <w:rFonts w:eastAsia="Times New Roman"/>
        </w:rPr>
      </w:pPr>
    </w:p>
    <w:p w:rsidR="00000000" w:rsidRDefault="00844BCF">
      <w:pPr>
        <w:jc w:val="center"/>
        <w:divId w:val="1687051540"/>
        <w:rPr>
          <w:rFonts w:eastAsia="Times New Roman"/>
        </w:rPr>
      </w:pPr>
      <w:r>
        <w:rPr>
          <w:rFonts w:eastAsia="Times New Roman"/>
          <w:color w:val="000000"/>
          <w:sz w:val="20"/>
          <w:szCs w:val="20"/>
        </w:rPr>
        <w:t>19</w:t>
      </w:r>
    </w:p>
    <w:p w:rsidR="00000000" w:rsidRDefault="00844BCF">
      <w:pPr>
        <w:rPr>
          <w:rFonts w:eastAsia="Times New Roman"/>
        </w:rPr>
      </w:pPr>
      <w:r>
        <w:rPr>
          <w:rFonts w:eastAsia="Times New Roman"/>
        </w:rPr>
        <w:pict>
          <v:rect id="_x0000_i1045" style="width:0;height:1.5pt" o:hralign="center" o:hrstd="t" o:hr="t" fillcolor="#a0a0a0" stroked="f"/>
        </w:pict>
      </w:r>
    </w:p>
    <w:p w:rsidR="00000000" w:rsidRDefault="00844BCF">
      <w:pPr>
        <w:divId w:val="169338508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52773594"/>
        <w:rPr>
          <w:rFonts w:eastAsia="Times New Roman"/>
        </w:rPr>
      </w:pPr>
      <w:r>
        <w:rPr>
          <w:rFonts w:eastAsia="Times New Roman"/>
          <w:b/>
          <w:bCs/>
          <w:color w:val="000000"/>
          <w:sz w:val="20"/>
          <w:szCs w:val="20"/>
        </w:rPr>
        <w:t>UGI CORPORATION AND SUBSIDIARIES</w:t>
      </w:r>
    </w:p>
    <w:p w:rsidR="00000000" w:rsidRDefault="00844BCF">
      <w:pPr>
        <w:jc w:val="center"/>
        <w:divId w:val="1238706846"/>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52773594"/>
        <w:rPr>
          <w:rFonts w:eastAsia="Times New Roman"/>
        </w:rPr>
      </w:pPr>
      <w:r>
        <w:rPr>
          <w:rFonts w:eastAsia="Times New Roman"/>
          <w:color w:val="000000"/>
          <w:sz w:val="20"/>
          <w:szCs w:val="20"/>
        </w:rPr>
        <w:t>(unaudited)</w:t>
      </w:r>
    </w:p>
    <w:p w:rsidR="00000000" w:rsidRDefault="00844BCF">
      <w:pPr>
        <w:jc w:val="center"/>
        <w:divId w:val="52773594"/>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p w:rsidR="00000000" w:rsidRDefault="00844BCF">
      <w:pPr>
        <w:jc w:val="both"/>
        <w:rPr>
          <w:rFonts w:eastAsia="Times New Roman"/>
        </w:rPr>
      </w:pPr>
      <w:r>
        <w:rPr>
          <w:rFonts w:eastAsia="Times New Roman"/>
          <w:b/>
          <w:bCs/>
          <w:color w:val="000000"/>
          <w:sz w:val="20"/>
          <w:szCs w:val="20"/>
        </w:rPr>
        <w:t>Other Regulatory Matters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Base Rate Filings</w:t>
      </w:r>
      <w:r>
        <w:rPr>
          <w:rFonts w:eastAsia="Times New Roman"/>
          <w:b/>
          <w:bCs/>
          <w:color w:val="000000"/>
          <w:sz w:val="20"/>
          <w:szCs w:val="20"/>
        </w:rPr>
        <w:t>.</w:t>
      </w:r>
      <w:r>
        <w:rPr>
          <w:rFonts w:eastAsia="Times New Roman"/>
          <w:color w:val="000000"/>
          <w:sz w:val="20"/>
          <w:szCs w:val="20"/>
        </w:rPr>
        <w:t> </w:t>
      </w:r>
      <w:r>
        <w:rPr>
          <w:rFonts w:eastAsia="Times New Roman"/>
          <w:color w:val="000000"/>
          <w:sz w:val="20"/>
          <w:szCs w:val="20"/>
        </w:rPr>
        <w:t>On January 28, 2022, PA Gas Utility filed a request with the PAPUC to increase its base operating revenues for residential, commercial and industrial customers by $83 annually. The increased revenues would fund ongoing system improvements and operations ne</w:t>
      </w:r>
      <w:r>
        <w:rPr>
          <w:rFonts w:eastAsia="Times New Roman"/>
          <w:color w:val="000000"/>
          <w:sz w:val="20"/>
          <w:szCs w:val="20"/>
        </w:rPr>
        <w:t>cessary to maintain safe and reliable natural gas service and continue to fund programs designed to promote and reward customers’ efforts to increase efficient use of natural gas. PA Gas Utility requested that the new gas rates become effective March 29, 2</w:t>
      </w:r>
      <w:r>
        <w:rPr>
          <w:rFonts w:eastAsia="Times New Roman"/>
          <w:color w:val="000000"/>
          <w:sz w:val="20"/>
          <w:szCs w:val="20"/>
        </w:rPr>
        <w:t>022. The PAPUC entered an Order on February 24, 2022, suspending the effective date for the rate increase to allow for investigation and public hearings. Unless a settlement is reached sooner, the review process is expected to last up to nine months from t</w:t>
      </w:r>
      <w:r>
        <w:rPr>
          <w:rFonts w:eastAsia="Times New Roman"/>
          <w:color w:val="000000"/>
          <w:sz w:val="20"/>
          <w:szCs w:val="20"/>
        </w:rPr>
        <w:t>he date of filing. The Company cannot predict the timing or the ultimate outcome of the rate case review process.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On February 8, 2021, Electric Utility filed a rate request with the PAPUC to increase its annual base distribution revenues by $9. On Octobe</w:t>
      </w:r>
      <w:r>
        <w:rPr>
          <w:rFonts w:eastAsia="Times New Roman"/>
          <w:color w:val="000000"/>
          <w:sz w:val="20"/>
          <w:szCs w:val="20"/>
        </w:rPr>
        <w:t>r 28, 2021, the PAPUC issued a final order approving a settlement that permitted Electric Utility, effective November 9, 2021, to increase its base distribution revenues by $6.</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On January 28, 2020, PA Gas Utility filed a request with the PAPUC to increas</w:t>
      </w:r>
      <w:r>
        <w:rPr>
          <w:rFonts w:eastAsia="Times New Roman"/>
          <w:color w:val="000000"/>
          <w:sz w:val="20"/>
          <w:szCs w:val="20"/>
        </w:rPr>
        <w:t>e its annual base distribution operating revenues by $75 annually. On October 8, 2020, the PAPUC issued a final Order approving a settlement that permitted PA Gas Utility to increase its annual base distribution rates by $20, through a phased approach, wit</w:t>
      </w:r>
      <w:r>
        <w:rPr>
          <w:rFonts w:eastAsia="Times New Roman"/>
          <w:color w:val="000000"/>
          <w:sz w:val="20"/>
          <w:szCs w:val="20"/>
        </w:rPr>
        <w:t>h $10 beginning January 1, 2021 and an additional $10 beginning July 1, 2021. Additionally, PA Gas Utility was authorized to implement a DSIC once PA Gas Utility total property, plant and equipment less accumulated depreciation reached $2,875. This thresho</w:t>
      </w:r>
      <w:r>
        <w:rPr>
          <w:rFonts w:eastAsia="Times New Roman"/>
          <w:color w:val="000000"/>
          <w:sz w:val="20"/>
          <w:szCs w:val="20"/>
        </w:rPr>
        <w:t xml:space="preserve">ld was achieved in December 2020, and PA Gas Utility implemented a DSIC effective April 1, 2021. The PAPUC’s final Order also included enhanced COVID-19 customer assistance measures, including the establishment of an Emergency Relief Program for a defined </w:t>
      </w:r>
      <w:r>
        <w:rPr>
          <w:rFonts w:eastAsia="Times New Roman"/>
          <w:color w:val="000000"/>
          <w:sz w:val="20"/>
          <w:szCs w:val="20"/>
        </w:rPr>
        <w:t>set of payment troubled customers (“ERP”). Additionally, the PAPUC’s final order permitted PA Gas Utility to establish a regulatory asset for certain incremental expenses attributable to the ongoing COVID-19 pandemic, most notably expenses related to the E</w:t>
      </w:r>
      <w:r>
        <w:rPr>
          <w:rFonts w:eastAsia="Times New Roman"/>
          <w:color w:val="000000"/>
          <w:sz w:val="20"/>
          <w:szCs w:val="20"/>
        </w:rPr>
        <w:t xml:space="preserve">RP and uncollectible accounts expense, through the effective date of rates in the next PA Gas Utility base rate case, to be recovered and amortized over a 10-year period. In accordance with the terms of the Joint Petition, PA Gas Utility was not permitted </w:t>
      </w:r>
      <w:r>
        <w:rPr>
          <w:rFonts w:eastAsia="Times New Roman"/>
          <w:color w:val="000000"/>
          <w:sz w:val="20"/>
          <w:szCs w:val="20"/>
        </w:rPr>
        <w:t>to file a rate case prior to January 1, 2022.</w:t>
      </w:r>
    </w:p>
    <w:p w:rsidR="00000000" w:rsidRDefault="00844BCF">
      <w:pPr>
        <w:jc w:val="both"/>
        <w:rPr>
          <w:rFonts w:eastAsia="Times New Roman"/>
        </w:rPr>
      </w:pPr>
    </w:p>
    <w:p w:rsidR="00000000" w:rsidRDefault="00844BCF">
      <w:pPr>
        <w:divId w:val="1066880257"/>
        <w:rPr>
          <w:rFonts w:eastAsia="Times New Roman"/>
        </w:rPr>
      </w:pPr>
      <w:r>
        <w:rPr>
          <w:rFonts w:eastAsia="Times New Roman"/>
          <w:b/>
          <w:bCs/>
          <w:color w:val="000000"/>
          <w:sz w:val="20"/>
          <w:szCs w:val="20"/>
          <w:u w:val="single"/>
        </w:rPr>
        <w:t>Note 8 — Debt</w:t>
      </w:r>
    </w:p>
    <w:p w:rsidR="00000000" w:rsidRDefault="00844BCF">
      <w:pPr>
        <w:divId w:val="1202599049"/>
        <w:rPr>
          <w:rFonts w:eastAsia="Times New Roman"/>
        </w:rPr>
      </w:pPr>
    </w:p>
    <w:p w:rsidR="00000000" w:rsidRDefault="00844BCF">
      <w:pPr>
        <w:jc w:val="both"/>
        <w:rPr>
          <w:rFonts w:eastAsia="Times New Roman"/>
        </w:rPr>
      </w:pPr>
      <w:r>
        <w:rPr>
          <w:rFonts w:eastAsia="Times New Roman"/>
          <w:b/>
          <w:bCs/>
          <w:i/>
          <w:iCs/>
          <w:color w:val="000000"/>
          <w:sz w:val="20"/>
          <w:szCs w:val="20"/>
        </w:rPr>
        <w:t xml:space="preserve">UGI International. </w:t>
      </w:r>
      <w:r>
        <w:rPr>
          <w:rFonts w:eastAsia="Times New Roman"/>
          <w:color w:val="000000"/>
          <w:sz w:val="20"/>
          <w:szCs w:val="20"/>
        </w:rPr>
        <w:t>On December 7, 2021, UGI International, LLC issued, in an underwritten private placement, €400 principal amount of the UGI International 2.50% Senior Notes due December 1, 2</w:t>
      </w:r>
      <w:r>
        <w:rPr>
          <w:rFonts w:eastAsia="Times New Roman"/>
          <w:color w:val="000000"/>
          <w:sz w:val="20"/>
          <w:szCs w:val="20"/>
        </w:rPr>
        <w:t>029. The UGI International 2.50% Senior Notes rank equal in right of payment with indebtedness issued under the UGI International Credit Facilities Agreement.</w:t>
      </w:r>
    </w:p>
    <w:p w:rsidR="00000000" w:rsidRDefault="00844BCF">
      <w:pPr>
        <w:divId w:val="172963918"/>
        <w:rPr>
          <w:rFonts w:eastAsia="Times New Roman"/>
        </w:rPr>
      </w:pPr>
    </w:p>
    <w:p w:rsidR="00000000" w:rsidRDefault="00844BCF">
      <w:pPr>
        <w:jc w:val="both"/>
        <w:rPr>
          <w:rFonts w:eastAsia="Times New Roman"/>
        </w:rPr>
      </w:pPr>
      <w:r>
        <w:rPr>
          <w:rFonts w:eastAsia="Times New Roman"/>
          <w:color w:val="000000"/>
          <w:sz w:val="20"/>
          <w:szCs w:val="20"/>
        </w:rPr>
        <w:t>The net proceeds from the UGI International 2.50% Senior Notes were used (1) to repay all of th</w:t>
      </w:r>
      <w:r>
        <w:rPr>
          <w:rFonts w:eastAsia="Times New Roman"/>
          <w:color w:val="000000"/>
          <w:sz w:val="20"/>
          <w:szCs w:val="20"/>
        </w:rPr>
        <w:t>e UGI International 3.25% Senior Notes due November 1, 2025 and associated fees and expenses and (2) for general corporate purposes. We have designated the UGI International 2.50% Senior Notes as a net investment hedge. In connection with this early repaym</w:t>
      </w:r>
      <w:r>
        <w:rPr>
          <w:rFonts w:eastAsia="Times New Roman"/>
          <w:color w:val="000000"/>
          <w:sz w:val="20"/>
          <w:szCs w:val="20"/>
        </w:rPr>
        <w:t>ent of debt, UGI International recognized a pre-tax loss of $11, which is reflected in “Loss on extinguishment of debt” on the Condensed Consolidated Statements of Income, and primarily comprises the write-off of unamortized debt issuance costs and early r</w:t>
      </w:r>
      <w:r>
        <w:rPr>
          <w:rFonts w:eastAsia="Times New Roman"/>
          <w:color w:val="000000"/>
          <w:sz w:val="20"/>
          <w:szCs w:val="20"/>
        </w:rPr>
        <w:t>edemption premiums.</w:t>
      </w:r>
    </w:p>
    <w:p w:rsidR="00000000" w:rsidRDefault="00844BCF">
      <w:pPr>
        <w:jc w:val="both"/>
        <w:rPr>
          <w:rFonts w:eastAsia="Times New Roman"/>
        </w:rPr>
      </w:pPr>
    </w:p>
    <w:p w:rsidR="00000000" w:rsidRDefault="00844BCF">
      <w:pPr>
        <w:ind w:hanging="540"/>
        <w:jc w:val="both"/>
        <w:rPr>
          <w:rFonts w:eastAsia="Times New Roman"/>
        </w:rPr>
      </w:pPr>
      <w:r>
        <w:rPr>
          <w:rFonts w:eastAsia="Times New Roman"/>
          <w:b/>
          <w:bCs/>
          <w:color w:val="000000"/>
          <w:sz w:val="20"/>
          <w:szCs w:val="20"/>
          <w:u w:val="single"/>
        </w:rPr>
        <w:t>Note 9 — Commitments and Contingencies</w:t>
      </w:r>
      <w:r>
        <w:rPr>
          <w:rFonts w:eastAsia="Times New Roman"/>
          <w:b/>
          <w:bCs/>
          <w:color w:val="000000"/>
          <w:sz w:val="20"/>
          <w:szCs w:val="20"/>
        </w:rPr>
        <w:t xml:space="preserve"> </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Environmental Matters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UGI Utilities</w:t>
      </w:r>
    </w:p>
    <w:p w:rsidR="00000000" w:rsidRDefault="00844BCF">
      <w:pPr>
        <w:jc w:val="both"/>
        <w:rPr>
          <w:rFonts w:eastAsia="Times New Roman"/>
        </w:rPr>
      </w:pPr>
    </w:p>
    <w:p w:rsidR="00000000" w:rsidRDefault="00844BCF">
      <w:pPr>
        <w:jc w:val="both"/>
        <w:divId w:val="612597400"/>
        <w:rPr>
          <w:rFonts w:eastAsia="Times New Roman"/>
        </w:rPr>
      </w:pPr>
      <w:r>
        <w:rPr>
          <w:rFonts w:eastAsia="Times New Roman"/>
          <w:color w:val="000000"/>
          <w:sz w:val="20"/>
          <w:szCs w:val="20"/>
        </w:rPr>
        <w:t>From the late 1800s through the mid-1900s, UGI Utilities and its former subsidiaries owned and operated a number of MGPs prior to the general availabili</w:t>
      </w:r>
      <w:r>
        <w:rPr>
          <w:rFonts w:eastAsia="Times New Roman"/>
          <w:color w:val="000000"/>
          <w:sz w:val="20"/>
          <w:szCs w:val="20"/>
        </w:rPr>
        <w:t>ty of natural gas. Some constituents of coal tars and other residues of the manufactured gas process are today considered hazardous substances under the Superfund Law and may be present on the sites of former MGPs. Between 1882 and 1953, UGI Utilities owne</w:t>
      </w:r>
      <w:r>
        <w:rPr>
          <w:rFonts w:eastAsia="Times New Roman"/>
          <w:color w:val="000000"/>
          <w:sz w:val="20"/>
          <w:szCs w:val="20"/>
        </w:rPr>
        <w:t>d the stock of subsidiary gas companies in Pennsylvania and elsewhere and also operated the businesses of some gas companies under agreement. By the early 1950s, UGI Utilities divested all of its utility operations other than certain gas and electric opera</w:t>
      </w:r>
      <w:r>
        <w:rPr>
          <w:rFonts w:eastAsia="Times New Roman"/>
          <w:color w:val="000000"/>
          <w:sz w:val="20"/>
          <w:szCs w:val="20"/>
        </w:rPr>
        <w:t xml:space="preserve">tions. Beginning in 2006 and 2008, UGI Utilities also owned and operated two acquired subsidiaries, with similar histories of owning, and in some cases operating, MGPs in Pennsylvania. </w:t>
      </w:r>
    </w:p>
    <w:p w:rsidR="00000000" w:rsidRDefault="00844BCF">
      <w:pPr>
        <w:jc w:val="center"/>
        <w:divId w:val="1051229671"/>
        <w:rPr>
          <w:rFonts w:eastAsia="Times New Roman"/>
        </w:rPr>
      </w:pPr>
      <w:r>
        <w:rPr>
          <w:rFonts w:eastAsia="Times New Roman"/>
          <w:color w:val="000000"/>
          <w:sz w:val="20"/>
          <w:szCs w:val="20"/>
        </w:rPr>
        <w:t>20</w:t>
      </w:r>
    </w:p>
    <w:p w:rsidR="00000000" w:rsidRDefault="00844BCF">
      <w:pPr>
        <w:rPr>
          <w:rFonts w:eastAsia="Times New Roman"/>
        </w:rPr>
      </w:pPr>
      <w:r>
        <w:rPr>
          <w:rFonts w:eastAsia="Times New Roman"/>
        </w:rPr>
        <w:pict>
          <v:rect id="_x0000_i1046" style="width:0;height:1.5pt" o:hralign="center" o:hrstd="t" o:hr="t" fillcolor="#a0a0a0" stroked="f"/>
        </w:pict>
      </w:r>
    </w:p>
    <w:p w:rsidR="00000000" w:rsidRDefault="00844BCF">
      <w:pPr>
        <w:divId w:val="85245019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313677873"/>
        <w:rPr>
          <w:rFonts w:eastAsia="Times New Roman"/>
        </w:rPr>
      </w:pPr>
      <w:r>
        <w:rPr>
          <w:rFonts w:eastAsia="Times New Roman"/>
          <w:b/>
          <w:bCs/>
          <w:color w:val="000000"/>
          <w:sz w:val="20"/>
          <w:szCs w:val="20"/>
        </w:rPr>
        <w:t>UGI CORPORATION AND SUBSIDIARIES</w:t>
      </w:r>
    </w:p>
    <w:p w:rsidR="00000000" w:rsidRDefault="00844BCF">
      <w:pPr>
        <w:jc w:val="center"/>
        <w:divId w:val="1556428739"/>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1313677873"/>
        <w:rPr>
          <w:rFonts w:eastAsia="Times New Roman"/>
        </w:rPr>
      </w:pPr>
      <w:r>
        <w:rPr>
          <w:rFonts w:eastAsia="Times New Roman"/>
          <w:color w:val="000000"/>
          <w:sz w:val="20"/>
          <w:szCs w:val="20"/>
        </w:rPr>
        <w:t>(unaudited)</w:t>
      </w:r>
    </w:p>
    <w:p w:rsidR="00000000" w:rsidRDefault="00844BCF">
      <w:pPr>
        <w:jc w:val="center"/>
        <w:divId w:val="1313677873"/>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rPr>
          <w:rFonts w:eastAsia="Times New Roman"/>
        </w:rPr>
      </w:pPr>
      <w:r>
        <w:rPr>
          <w:rFonts w:eastAsia="Times New Roman"/>
          <w:color w:val="000000"/>
          <w:sz w:val="20"/>
          <w:szCs w:val="20"/>
        </w:rPr>
        <w:t xml:space="preserve">UGI Utilities is subject to a COA with the PADEP to address the remediation of specified former MGP sites in Pennsylvania which is scheduled to terminate at the end of 2031. In </w:t>
      </w:r>
      <w:r>
        <w:rPr>
          <w:rFonts w:eastAsia="Times New Roman"/>
          <w:color w:val="000000"/>
          <w:sz w:val="20"/>
          <w:szCs w:val="20"/>
        </w:rPr>
        <w:t>accordance with the COA, UGI Utilities is required to either obtain a certain number of points per calendar year based on defined eligible environmental investigatory and/or remedial activities at the MGPs, or make expenditures for such activities in an am</w:t>
      </w:r>
      <w:r>
        <w:rPr>
          <w:rFonts w:eastAsia="Times New Roman"/>
          <w:color w:val="000000"/>
          <w:sz w:val="20"/>
          <w:szCs w:val="20"/>
        </w:rPr>
        <w:t>ount equal to an annual environmental minimum expenditure threshold. The annual minimum expenditure threshold of the COA is $5. The COA permits the transfer of the specified wells, with related costs counted towards the annual minimum expenditure. At March</w:t>
      </w:r>
      <w:r>
        <w:rPr>
          <w:rFonts w:eastAsia="Times New Roman"/>
          <w:color w:val="000000"/>
          <w:sz w:val="20"/>
          <w:szCs w:val="20"/>
        </w:rPr>
        <w:t> 31, 2022, September 30, 2021 and March 31, 2021, our aggregate estimated accrued liabilities for environmental investigation and remediation costs related to the current COA and the predecessor agreements totaled $49, $50 and $50, respectively.</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We do no</w:t>
      </w:r>
      <w:r>
        <w:rPr>
          <w:rFonts w:eastAsia="Times New Roman"/>
          <w:color w:val="000000"/>
          <w:sz w:val="20"/>
          <w:szCs w:val="20"/>
        </w:rPr>
        <w:t>t expect the costs for investigation and remediation of hazardous substances at Pennsylvania MGP sites to be material to UGI Utilities’ results of operations because UGI Utilities receives ratemaking recovery of actual environmental investigation and remed</w:t>
      </w:r>
      <w:r>
        <w:rPr>
          <w:rFonts w:eastAsia="Times New Roman"/>
          <w:color w:val="000000"/>
          <w:sz w:val="20"/>
          <w:szCs w:val="20"/>
        </w:rPr>
        <w:t>iation costs associated with the sites covered by the COA. This ratemaking recognition reconciles the accumulated difference between historical costs and rate recoveries with an estimate of future costs associated with the sites. As such, UGI Utilities has</w:t>
      </w:r>
      <w:r>
        <w:rPr>
          <w:rFonts w:eastAsia="Times New Roman"/>
          <w:color w:val="000000"/>
          <w:sz w:val="20"/>
          <w:szCs w:val="20"/>
        </w:rPr>
        <w:t xml:space="preserve"> recorded an associated regulatory asset for these costs because recovery of these costs from customers is probable (see Note 7).</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From time to time, UGI Utilities is notified of sites outside Pennsylvania on which private parties allege MGPs were formerl</w:t>
      </w:r>
      <w:r>
        <w:rPr>
          <w:rFonts w:eastAsia="Times New Roman"/>
          <w:color w:val="000000"/>
          <w:sz w:val="20"/>
          <w:szCs w:val="20"/>
        </w:rPr>
        <w:t>y owned or operated by UGI Utilities or owned or operated by a former subsidiary. Such parties generally investigate the extent of environmental contamination or perform environmental remediation. Management believes that under applicable law UGI Utilities</w:t>
      </w:r>
      <w:r>
        <w:rPr>
          <w:rFonts w:eastAsia="Times New Roman"/>
          <w:color w:val="000000"/>
          <w:sz w:val="20"/>
          <w:szCs w:val="20"/>
        </w:rPr>
        <w:t xml:space="preserve"> should not be liable in those instances in which a former subsidiary owned or operated an MGP. There could be, however, significant future costs of an uncertain amount associated with environmental damage caused by MGPs outside Pennsylvania that UGI Utili</w:t>
      </w:r>
      <w:r>
        <w:rPr>
          <w:rFonts w:eastAsia="Times New Roman"/>
          <w:color w:val="000000"/>
          <w:sz w:val="20"/>
          <w:szCs w:val="20"/>
        </w:rPr>
        <w:t>ties directly operated, or that were owned or operated by a former subsidiary of UGI Utilities if a court were to conclude that (1) the subsidiary’s separate corporate form should be disregarded, or (2) UGI Utilities should be considered to have been an op</w:t>
      </w:r>
      <w:r>
        <w:rPr>
          <w:rFonts w:eastAsia="Times New Roman"/>
          <w:color w:val="000000"/>
          <w:sz w:val="20"/>
          <w:szCs w:val="20"/>
        </w:rPr>
        <w:t>erator because of its conduct with respect to its subsidiary’s MGP. Neither the undiscounted nor the accrued liability for environmental investigation and cleanup costs for UGI Utilities’ MGP sites outside Pennsylvania was material for all periods presente</w:t>
      </w:r>
      <w:r>
        <w:rPr>
          <w:rFonts w:eastAsia="Times New Roman"/>
          <w:color w:val="000000"/>
          <w:sz w:val="20"/>
          <w:szCs w:val="20"/>
        </w:rPr>
        <w:t>d.</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AmeriGas Propane</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 xml:space="preserve">AmeriGas OLP Saranac Lake. </w:t>
      </w:r>
      <w:r>
        <w:rPr>
          <w:rFonts w:eastAsia="Times New Roman"/>
          <w:color w:val="000000"/>
          <w:sz w:val="20"/>
          <w:szCs w:val="20"/>
        </w:rPr>
        <w:t>In 2008, the NYDEC notified AmeriGas OLP that the NYDEC had placed property purportedly owned by AmeriGas OLP in Saranac Lake, New York on the New York State Registry of Inactive Hazardous Waste Disposal S</w:t>
      </w:r>
      <w:r>
        <w:rPr>
          <w:rFonts w:eastAsia="Times New Roman"/>
          <w:color w:val="000000"/>
          <w:sz w:val="20"/>
          <w:szCs w:val="20"/>
        </w:rPr>
        <w:t xml:space="preserve">ites. A site characterization study performed by the NYDEC disclosed contamination related to a former MGP. AmeriGas OLP responded to the NYDEC in 2009 to dispute the contention it was a PRP as it did not operate the MGP and appeared to only own a portion </w:t>
      </w:r>
      <w:r>
        <w:rPr>
          <w:rFonts w:eastAsia="Times New Roman"/>
          <w:color w:val="000000"/>
          <w:sz w:val="20"/>
          <w:szCs w:val="20"/>
        </w:rPr>
        <w:t>of the site. In 2017, the NYDEC communicated to AmeriGas OLP that the NYDEC had previously issued three RODs related to remediation of the site totaling approximately $28 and requested additional information regarding AmeriGas OLP’s purported ownership. Am</w:t>
      </w:r>
      <w:r>
        <w:rPr>
          <w:rFonts w:eastAsia="Times New Roman"/>
          <w:color w:val="000000"/>
          <w:sz w:val="20"/>
          <w:szCs w:val="20"/>
        </w:rPr>
        <w:t>eriGas OLP renewed its challenge to designation as a PRP and identified potential defenses. The NYDEC subsequently identified a third party PRP with respect to the site.</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NYDEC commenced implementation of the remediation plan in the spring of 2018. Ba</w:t>
      </w:r>
      <w:r>
        <w:rPr>
          <w:rFonts w:eastAsia="Times New Roman"/>
          <w:color w:val="000000"/>
          <w:sz w:val="20"/>
          <w:szCs w:val="20"/>
        </w:rPr>
        <w:t>sed on our evaluation of the available information as of March 31, 2022, the Partnership has an undiscounted environmental remediation liability of $8 related to the site. Our share of the actual remediation costs could be significantly more or less than t</w:t>
      </w:r>
      <w:r>
        <w:rPr>
          <w:rFonts w:eastAsia="Times New Roman"/>
          <w:color w:val="000000"/>
          <w:sz w:val="20"/>
          <w:szCs w:val="20"/>
        </w:rPr>
        <w:t>he accrued amount.</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Although we cannot predict the final results of these pending claims and legal actions, we believe, after consultation with counsel, that the final outcome of these matters will not have a material effect on our financial statements.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In addition to the matters described above, there are other pending claims and legal actions arising in the normal course of our businesses. Although we cannot predict the final results of these pending claims and legal actions, we believe, after consulta</w:t>
      </w:r>
      <w:r>
        <w:rPr>
          <w:rFonts w:eastAsia="Times New Roman"/>
          <w:color w:val="000000"/>
          <w:sz w:val="20"/>
          <w:szCs w:val="20"/>
        </w:rPr>
        <w:t>tion with counsel, that the final outcome of these matters will not have a material effect on our financial statements.</w:t>
      </w:r>
    </w:p>
    <w:p w:rsidR="00000000" w:rsidRDefault="00844BCF">
      <w:pPr>
        <w:jc w:val="both"/>
        <w:rPr>
          <w:rFonts w:eastAsia="Times New Roman"/>
        </w:rPr>
      </w:pPr>
    </w:p>
    <w:p w:rsidR="00000000" w:rsidRDefault="00844BCF">
      <w:pPr>
        <w:ind w:hanging="540"/>
        <w:jc w:val="both"/>
        <w:rPr>
          <w:rFonts w:eastAsia="Times New Roman"/>
        </w:rPr>
      </w:pPr>
      <w:r>
        <w:rPr>
          <w:rFonts w:eastAsia="Times New Roman"/>
          <w:b/>
          <w:bCs/>
          <w:color w:val="000000"/>
          <w:sz w:val="20"/>
          <w:szCs w:val="20"/>
          <w:u w:val="single"/>
        </w:rPr>
        <w:t>Note 10 — Defined Benefit Pension and Other Postretirement Plans</w:t>
      </w:r>
      <w:r>
        <w:rPr>
          <w:rFonts w:eastAsia="Times New Roman"/>
          <w:b/>
          <w:bCs/>
          <w:color w:val="000000"/>
          <w:sz w:val="20"/>
          <w:szCs w:val="20"/>
        </w:rPr>
        <w:t xml:space="preserve">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Company maintains defined benefit plans and other postretireme</w:t>
      </w:r>
      <w:r>
        <w:rPr>
          <w:rFonts w:eastAsia="Times New Roman"/>
          <w:color w:val="000000"/>
          <w:sz w:val="20"/>
          <w:szCs w:val="20"/>
        </w:rPr>
        <w:t>nt plans for certain current and former employees. The service cost component of our pension and other postretirement plans, net of amounts capitalized, is reflected in “Operating and administrative expenses” on the Condensed Consolidated Statements of Inc</w:t>
      </w:r>
      <w:r>
        <w:rPr>
          <w:rFonts w:eastAsia="Times New Roman"/>
          <w:color w:val="000000"/>
          <w:sz w:val="20"/>
          <w:szCs w:val="20"/>
        </w:rPr>
        <w:t xml:space="preserve">ome. The non-service cost component, net of </w:t>
      </w:r>
    </w:p>
    <w:p w:rsidR="00000000" w:rsidRDefault="00844BCF">
      <w:pPr>
        <w:jc w:val="center"/>
        <w:divId w:val="1354333328"/>
        <w:rPr>
          <w:rFonts w:eastAsia="Times New Roman"/>
        </w:rPr>
      </w:pPr>
      <w:r>
        <w:rPr>
          <w:rFonts w:eastAsia="Times New Roman"/>
          <w:color w:val="000000"/>
          <w:sz w:val="20"/>
          <w:szCs w:val="20"/>
        </w:rPr>
        <w:t>21</w:t>
      </w:r>
    </w:p>
    <w:p w:rsidR="00000000" w:rsidRDefault="00844BCF">
      <w:pPr>
        <w:rPr>
          <w:rFonts w:eastAsia="Times New Roman"/>
        </w:rPr>
      </w:pPr>
      <w:r>
        <w:rPr>
          <w:rFonts w:eastAsia="Times New Roman"/>
        </w:rPr>
        <w:pict>
          <v:rect id="_x0000_i1047" style="width:0;height:1.5pt" o:hralign="center" o:hrstd="t" o:hr="t" fillcolor="#a0a0a0" stroked="f"/>
        </w:pict>
      </w:r>
    </w:p>
    <w:p w:rsidR="00000000" w:rsidRDefault="00844BCF">
      <w:pPr>
        <w:divId w:val="620040580"/>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630940441"/>
        <w:rPr>
          <w:rFonts w:eastAsia="Times New Roman"/>
        </w:rPr>
      </w:pPr>
      <w:r>
        <w:rPr>
          <w:rFonts w:eastAsia="Times New Roman"/>
          <w:b/>
          <w:bCs/>
          <w:color w:val="000000"/>
          <w:sz w:val="20"/>
          <w:szCs w:val="20"/>
        </w:rPr>
        <w:t>UGI CORPORATION AND SUBSIDIARIES</w:t>
      </w:r>
    </w:p>
    <w:p w:rsidR="00000000" w:rsidRDefault="00844BCF">
      <w:pPr>
        <w:jc w:val="center"/>
        <w:divId w:val="2083797025"/>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1630940441"/>
        <w:rPr>
          <w:rFonts w:eastAsia="Times New Roman"/>
        </w:rPr>
      </w:pPr>
      <w:r>
        <w:rPr>
          <w:rFonts w:eastAsia="Times New Roman"/>
          <w:color w:val="000000"/>
          <w:sz w:val="20"/>
          <w:szCs w:val="20"/>
        </w:rPr>
        <w:t>(unaudited</w:t>
      </w:r>
      <w:r>
        <w:rPr>
          <w:rFonts w:eastAsia="Times New Roman"/>
          <w:color w:val="000000"/>
          <w:sz w:val="20"/>
          <w:szCs w:val="20"/>
        </w:rPr>
        <w:t>)</w:t>
      </w:r>
    </w:p>
    <w:p w:rsidR="00000000" w:rsidRDefault="00844BCF">
      <w:pPr>
        <w:jc w:val="center"/>
        <w:divId w:val="1630940441"/>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rPr>
          <w:rFonts w:eastAsia="Times New Roman"/>
        </w:rPr>
      </w:pPr>
      <w:r>
        <w:rPr>
          <w:rFonts w:eastAsia="Times New Roman"/>
          <w:color w:val="000000"/>
          <w:sz w:val="20"/>
          <w:szCs w:val="20"/>
        </w:rPr>
        <w:t xml:space="preserve">amounts capitalized by Utilities as a regulatory asset, is reflected in “Other non-operating income (expense), net” </w:t>
      </w:r>
      <w:r>
        <w:rPr>
          <w:rFonts w:eastAsia="Times New Roman"/>
          <w:color w:val="000000"/>
          <w:sz w:val="20"/>
          <w:szCs w:val="20"/>
        </w:rPr>
        <w:t>on the Condensed Consolidated Statements of Income. Other postretirement benefit cost was not material for all periods presented. Net periodic pension cost includes the following components: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6081"/>
        <w:gridCol w:w="38"/>
        <w:gridCol w:w="36"/>
        <w:gridCol w:w="36"/>
        <w:gridCol w:w="36"/>
        <w:gridCol w:w="121"/>
        <w:gridCol w:w="809"/>
        <w:gridCol w:w="36"/>
        <w:gridCol w:w="36"/>
        <w:gridCol w:w="36"/>
        <w:gridCol w:w="36"/>
        <w:gridCol w:w="121"/>
        <w:gridCol w:w="809"/>
        <w:gridCol w:w="36"/>
      </w:tblGrid>
      <w:tr w:rsidR="00000000">
        <w:trPr>
          <w:divId w:val="1639146920"/>
        </w:trPr>
        <w:tc>
          <w:tcPr>
            <w:tcW w:w="50" w:type="pct"/>
            <w:vAlign w:val="center"/>
            <w:hideMark/>
          </w:tcPr>
          <w:p w:rsidR="00000000" w:rsidRDefault="00844BCF">
            <w:pPr>
              <w:jc w:val="both"/>
              <w:rPr>
                <w:rFonts w:eastAsia="Times New Roman"/>
              </w:rPr>
            </w:pPr>
          </w:p>
        </w:tc>
        <w:tc>
          <w:tcPr>
            <w:tcW w:w="368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Three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r>
      <w:tr w:rsidR="00000000">
        <w:trPr>
          <w:divId w:val="1639146920"/>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Service cost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39146920"/>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39146920"/>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Expected return on assets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39146920"/>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Actuarial loss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39146920"/>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Net cost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39146920"/>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1639146920"/>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Six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r>
      <w:tr w:rsidR="00000000">
        <w:trPr>
          <w:divId w:val="1639146920"/>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Service cost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39146920"/>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39146920"/>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Expected return on assets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39146920"/>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639146920"/>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Actuarial loss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639146920"/>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Net cost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jc w:val="center"/>
        <w:divId w:val="2135129957"/>
        <w:rPr>
          <w:rFonts w:eastAsia="Times New Roman"/>
        </w:rPr>
      </w:pPr>
      <w:r>
        <w:rPr>
          <w:rFonts w:eastAsia="Times New Roman"/>
          <w:color w:val="000000"/>
          <w:sz w:val="20"/>
          <w:szCs w:val="20"/>
        </w:rPr>
        <w:t>22</w:t>
      </w:r>
    </w:p>
    <w:p w:rsidR="00000000" w:rsidRDefault="00844BCF">
      <w:pPr>
        <w:rPr>
          <w:rFonts w:eastAsia="Times New Roman"/>
        </w:rPr>
      </w:pPr>
      <w:r>
        <w:rPr>
          <w:rFonts w:eastAsia="Times New Roman"/>
        </w:rPr>
        <w:pict>
          <v:rect id="_x0000_i1048" style="width:0;height:1.5pt" o:hralign="center" o:hrstd="t" o:hr="t" fillcolor="#a0a0a0" stroked="f"/>
        </w:pict>
      </w:r>
    </w:p>
    <w:p w:rsidR="00000000" w:rsidRDefault="00844BCF">
      <w:pPr>
        <w:divId w:val="74491207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482431565"/>
        <w:rPr>
          <w:rFonts w:eastAsia="Times New Roman"/>
        </w:rPr>
      </w:pPr>
      <w:r>
        <w:rPr>
          <w:rFonts w:eastAsia="Times New Roman"/>
          <w:b/>
          <w:bCs/>
          <w:color w:val="000000"/>
          <w:sz w:val="20"/>
          <w:szCs w:val="20"/>
        </w:rPr>
        <w:t>UGI CORPORATION AND SUBSIDIARIES</w:t>
      </w:r>
    </w:p>
    <w:p w:rsidR="00000000" w:rsidRDefault="00844BCF">
      <w:pPr>
        <w:jc w:val="center"/>
        <w:divId w:val="1442912569"/>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482431565"/>
        <w:rPr>
          <w:rFonts w:eastAsia="Times New Roman"/>
        </w:rPr>
      </w:pPr>
      <w:r>
        <w:rPr>
          <w:rFonts w:eastAsia="Times New Roman"/>
          <w:color w:val="000000"/>
          <w:sz w:val="20"/>
          <w:szCs w:val="20"/>
        </w:rPr>
        <w:t>(unaudited)</w:t>
      </w:r>
    </w:p>
    <w:p w:rsidR="00000000" w:rsidRDefault="00844BCF">
      <w:pPr>
        <w:jc w:val="center"/>
        <w:divId w:val="482431565"/>
        <w:rPr>
          <w:rFonts w:eastAsia="Times New Roman"/>
        </w:rPr>
      </w:pPr>
      <w:r>
        <w:rPr>
          <w:rFonts w:eastAsia="Times New Roman"/>
          <w:color w:val="000000"/>
          <w:sz w:val="20"/>
          <w:szCs w:val="20"/>
        </w:rPr>
        <w:t>(Currency in millions, except per share amounts and where indicated otherwise)</w:t>
      </w:r>
    </w:p>
    <w:p w:rsidR="00000000" w:rsidRDefault="00844BCF">
      <w:pPr>
        <w:ind w:hanging="540"/>
        <w:jc w:val="both"/>
        <w:rPr>
          <w:rFonts w:eastAsia="Times New Roman"/>
        </w:rPr>
      </w:pPr>
      <w:r>
        <w:rPr>
          <w:rFonts w:eastAsia="Times New Roman"/>
          <w:b/>
          <w:bCs/>
          <w:color w:val="000000"/>
          <w:sz w:val="20"/>
          <w:szCs w:val="20"/>
          <w:u w:val="single"/>
        </w:rPr>
        <w:t>Note 11 — Fair Value Measurements</w:t>
      </w:r>
      <w:r>
        <w:rPr>
          <w:rFonts w:eastAsia="Times New Roman"/>
          <w:b/>
          <w:bCs/>
          <w:color w:val="000000"/>
          <w:sz w:val="20"/>
          <w:szCs w:val="20"/>
        </w:rPr>
        <w:t xml:space="preserve"> </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Recurring Fair Value Measurements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following table presents, on a gross basis, our financial assets and liabilities, including both current and noncurrent portions, that are measured at fair value on a recurring basis within the fair value hierarchy:</w:t>
      </w:r>
    </w:p>
    <w:tbl>
      <w:tblPr>
        <w:tblW w:w="4992" w:type="pct"/>
        <w:tblCellMar>
          <w:top w:w="15" w:type="dxa"/>
          <w:left w:w="15" w:type="dxa"/>
          <w:bottom w:w="15" w:type="dxa"/>
          <w:right w:w="15" w:type="dxa"/>
        </w:tblCellMar>
        <w:tblLook w:val="04A0" w:firstRow="1" w:lastRow="0" w:firstColumn="1" w:lastColumn="0" w:noHBand="0" w:noVBand="1"/>
      </w:tblPr>
      <w:tblGrid>
        <w:gridCol w:w="39"/>
        <w:gridCol w:w="4659"/>
        <w:gridCol w:w="38"/>
        <w:gridCol w:w="36"/>
        <w:gridCol w:w="36"/>
        <w:gridCol w:w="36"/>
        <w:gridCol w:w="110"/>
        <w:gridCol w:w="634"/>
        <w:gridCol w:w="36"/>
        <w:gridCol w:w="36"/>
        <w:gridCol w:w="36"/>
        <w:gridCol w:w="36"/>
        <w:gridCol w:w="110"/>
        <w:gridCol w:w="634"/>
        <w:gridCol w:w="36"/>
        <w:gridCol w:w="36"/>
        <w:gridCol w:w="36"/>
        <w:gridCol w:w="36"/>
        <w:gridCol w:w="111"/>
        <w:gridCol w:w="636"/>
        <w:gridCol w:w="36"/>
        <w:gridCol w:w="36"/>
        <w:gridCol w:w="36"/>
        <w:gridCol w:w="36"/>
        <w:gridCol w:w="110"/>
        <w:gridCol w:w="636"/>
        <w:gridCol w:w="36"/>
      </w:tblGrid>
      <w:tr w:rsidR="00000000">
        <w:trPr>
          <w:divId w:val="1868564955"/>
        </w:trPr>
        <w:tc>
          <w:tcPr>
            <w:tcW w:w="50" w:type="pct"/>
            <w:vAlign w:val="center"/>
            <w:hideMark/>
          </w:tcPr>
          <w:p w:rsidR="00000000" w:rsidRDefault="00844BCF">
            <w:pPr>
              <w:jc w:val="both"/>
              <w:rPr>
                <w:rFonts w:eastAsia="Times New Roman"/>
              </w:rPr>
            </w:pPr>
          </w:p>
        </w:tc>
        <w:tc>
          <w:tcPr>
            <w:tcW w:w="283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3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3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3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3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Asset (Liability)</w:t>
            </w:r>
          </w:p>
        </w:tc>
      </w:tr>
      <w:tr w:rsidR="00000000">
        <w:trPr>
          <w:divId w:val="1868564955"/>
        </w:trPr>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Total</w:t>
            </w:r>
          </w:p>
        </w:tc>
      </w:tr>
      <w:tr w:rsidR="00000000">
        <w:trPr>
          <w:divId w:val="1868564955"/>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March 31, 2022:</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823 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1,146 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1,969 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CCEE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(308)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(321)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CCEE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September 30, 2021:</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Assets: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641 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1,008 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1,649 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(264)</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(280)</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CCEE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March 31, 2021:</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Assets: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162 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235 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CCEE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868564955"/>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868564955"/>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Non-qualified supplemental postretirement grantor trust investments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ind w:hanging="360"/>
        <w:jc w:val="both"/>
        <w:rPr>
          <w:rFonts w:eastAsia="Times New Roman"/>
        </w:rPr>
      </w:pPr>
      <w:r>
        <w:rPr>
          <w:rFonts w:eastAsia="Times New Roman"/>
          <w:color w:val="000000"/>
          <w:sz w:val="20"/>
          <w:szCs w:val="20"/>
        </w:rPr>
        <w:t>(a)Consists primarily of mutual fund investments held in grantor trusts associated with non-qualified supplemental retire</w:t>
      </w:r>
      <w:r>
        <w:rPr>
          <w:rFonts w:eastAsia="Times New Roman"/>
          <w:color w:val="000000"/>
          <w:sz w:val="20"/>
          <w:szCs w:val="20"/>
        </w:rPr>
        <w:t xml:space="preserve">ment plans. </w:t>
      </w:r>
    </w:p>
    <w:p w:rsidR="00000000" w:rsidRDefault="00844BCF">
      <w:pPr>
        <w:jc w:val="both"/>
        <w:rPr>
          <w:rFonts w:eastAsia="Times New Roman"/>
        </w:rPr>
      </w:pPr>
      <w:r>
        <w:rPr>
          <w:rFonts w:eastAsia="Times New Roman"/>
          <w:color w:val="000000"/>
          <w:sz w:val="16"/>
          <w:szCs w:val="16"/>
        </w:rPr>
        <w:t> </w:t>
      </w:r>
    </w:p>
    <w:p w:rsidR="00000000" w:rsidRDefault="00844BCF">
      <w:pPr>
        <w:jc w:val="both"/>
        <w:rPr>
          <w:rFonts w:eastAsia="Times New Roman"/>
        </w:rPr>
      </w:pPr>
      <w:r>
        <w:rPr>
          <w:rFonts w:eastAsia="Times New Roman"/>
          <w:color w:val="000000"/>
          <w:sz w:val="20"/>
          <w:szCs w:val="20"/>
        </w:rPr>
        <w:t>The fair values of our Level 1 exchange-traded commodity futures and option contracts and non-exchange-traded commodity futures and forward contracts are based upon actively quoted market prices for identical assets and liabilities. The rema</w:t>
      </w:r>
      <w:r>
        <w:rPr>
          <w:rFonts w:eastAsia="Times New Roman"/>
          <w:color w:val="000000"/>
          <w:sz w:val="20"/>
          <w:szCs w:val="20"/>
        </w:rPr>
        <w:t>inder of our derivative instruments are designated as Level 2. The fair values of certain non-exchange-traded commodity derivatives designated as Level 2 are based upon indicative price quotations available through brokers, industry price publications or r</w:t>
      </w:r>
      <w:r>
        <w:rPr>
          <w:rFonts w:eastAsia="Times New Roman"/>
          <w:color w:val="000000"/>
          <w:sz w:val="20"/>
          <w:szCs w:val="20"/>
        </w:rPr>
        <w:t xml:space="preserve">ecent market transactions and related market indicators. The fair values of our Level 2 interest rate contracts and foreign currency contracts are based upon third-party quotes or indicative values based on recent market transactions. The fair values of </w:t>
      </w:r>
    </w:p>
    <w:p w:rsidR="00000000" w:rsidRDefault="00844BCF">
      <w:pPr>
        <w:jc w:val="center"/>
        <w:divId w:val="752625847"/>
        <w:rPr>
          <w:rFonts w:eastAsia="Times New Roman"/>
        </w:rPr>
      </w:pPr>
      <w:r>
        <w:rPr>
          <w:rFonts w:eastAsia="Times New Roman"/>
          <w:color w:val="000000"/>
          <w:sz w:val="20"/>
          <w:szCs w:val="20"/>
        </w:rPr>
        <w:t>2</w:t>
      </w:r>
      <w:r>
        <w:rPr>
          <w:rFonts w:eastAsia="Times New Roman"/>
          <w:color w:val="000000"/>
          <w:sz w:val="20"/>
          <w:szCs w:val="20"/>
        </w:rPr>
        <w:t>3</w:t>
      </w:r>
    </w:p>
    <w:p w:rsidR="00000000" w:rsidRDefault="00844BCF">
      <w:pPr>
        <w:rPr>
          <w:rFonts w:eastAsia="Times New Roman"/>
        </w:rPr>
      </w:pPr>
      <w:r>
        <w:rPr>
          <w:rFonts w:eastAsia="Times New Roman"/>
        </w:rPr>
        <w:pict>
          <v:rect id="_x0000_i1049" style="width:0;height:1.5pt" o:hralign="center" o:hrstd="t" o:hr="t" fillcolor="#a0a0a0" stroked="f"/>
        </w:pict>
      </w:r>
    </w:p>
    <w:p w:rsidR="00000000" w:rsidRDefault="00844BCF">
      <w:pPr>
        <w:divId w:val="917783734"/>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2072926322"/>
        <w:rPr>
          <w:rFonts w:eastAsia="Times New Roman"/>
        </w:rPr>
      </w:pPr>
      <w:r>
        <w:rPr>
          <w:rFonts w:eastAsia="Times New Roman"/>
          <w:b/>
          <w:bCs/>
          <w:color w:val="000000"/>
          <w:sz w:val="20"/>
          <w:szCs w:val="20"/>
        </w:rPr>
        <w:t>UGI CORPORATION AND SUBSIDIARIES</w:t>
      </w:r>
    </w:p>
    <w:p w:rsidR="00000000" w:rsidRDefault="00844BCF">
      <w:pPr>
        <w:jc w:val="center"/>
        <w:divId w:val="443041086"/>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2072926322"/>
        <w:rPr>
          <w:rFonts w:eastAsia="Times New Roman"/>
        </w:rPr>
      </w:pPr>
      <w:r>
        <w:rPr>
          <w:rFonts w:eastAsia="Times New Roman"/>
          <w:color w:val="000000"/>
          <w:sz w:val="20"/>
          <w:szCs w:val="20"/>
        </w:rPr>
        <w:t>(unaudited)</w:t>
      </w:r>
    </w:p>
    <w:p w:rsidR="00000000" w:rsidRDefault="00844BCF">
      <w:pPr>
        <w:jc w:val="center"/>
        <w:divId w:val="2072926322"/>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rPr>
          <w:rFonts w:eastAsia="Times New Roman"/>
        </w:rPr>
      </w:pPr>
      <w:r>
        <w:rPr>
          <w:rFonts w:eastAsia="Times New Roman"/>
          <w:color w:val="000000"/>
          <w:sz w:val="20"/>
          <w:szCs w:val="20"/>
        </w:rPr>
        <w:t>investments held in grantor trusts are derived from quoted market prices as substantially all of the investments in these trusts have active markets.</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Other Financial Instrumen</w:t>
      </w:r>
      <w:r>
        <w:rPr>
          <w:rFonts w:eastAsia="Times New Roman"/>
          <w:b/>
          <w:bCs/>
          <w:color w:val="000000"/>
          <w:sz w:val="20"/>
          <w:szCs w:val="20"/>
        </w:rPr>
        <w:t>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carrying amounts of other financial instruments included in current assets and current liabilities (except for current maturities of long-term debt) approximate their fair values because of their short-term nature. We estimate the fair value of lo</w:t>
      </w:r>
      <w:r>
        <w:rPr>
          <w:rFonts w:eastAsia="Times New Roman"/>
          <w:color w:val="000000"/>
          <w:sz w:val="20"/>
          <w:szCs w:val="20"/>
        </w:rPr>
        <w:t>ng-term debt by using current market rates and by discounting future cash flows using rates available for similar type debt (Level 2). The carrying amounts and estimated fair values of our long-term debt (including current maturities but excluding unamorti</w:t>
      </w:r>
      <w:r>
        <w:rPr>
          <w:rFonts w:eastAsia="Times New Roman"/>
          <w:color w:val="000000"/>
          <w:sz w:val="20"/>
          <w:szCs w:val="20"/>
        </w:rPr>
        <w:t>zed debt issuance costs)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160"/>
        <w:gridCol w:w="37"/>
        <w:gridCol w:w="120"/>
        <w:gridCol w:w="1477"/>
        <w:gridCol w:w="36"/>
        <w:gridCol w:w="36"/>
        <w:gridCol w:w="36"/>
        <w:gridCol w:w="36"/>
        <w:gridCol w:w="121"/>
        <w:gridCol w:w="1436"/>
        <w:gridCol w:w="36"/>
        <w:gridCol w:w="36"/>
        <w:gridCol w:w="36"/>
        <w:gridCol w:w="36"/>
        <w:gridCol w:w="120"/>
        <w:gridCol w:w="1436"/>
        <w:gridCol w:w="36"/>
      </w:tblGrid>
      <w:tr w:rsidR="00000000">
        <w:trPr>
          <w:divId w:val="1083724816"/>
          <w:jc w:val="center"/>
        </w:trPr>
        <w:tc>
          <w:tcPr>
            <w:tcW w:w="50" w:type="pct"/>
            <w:vAlign w:val="center"/>
            <w:hideMark/>
          </w:tcPr>
          <w:p w:rsidR="00000000" w:rsidRDefault="00844BCF">
            <w:pPr>
              <w:jc w:val="both"/>
              <w:rPr>
                <w:rFonts w:eastAsia="Times New Roman"/>
              </w:rPr>
            </w:pPr>
          </w:p>
        </w:tc>
        <w:tc>
          <w:tcPr>
            <w:tcW w:w="194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2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2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2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083724816"/>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September 30, 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March 31, 2021</w:t>
            </w:r>
          </w:p>
        </w:tc>
      </w:tr>
      <w:tr w:rsidR="00000000">
        <w:trPr>
          <w:divId w:val="1083724816"/>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Carrying amount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83724816"/>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Estimated fair value</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6,543 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6,996 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6,362 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Financial instruments other than derivative instruments, such as short-term investments and trade accounts receivable, could expose us to concentrations of credit risk. We limit credit risk from short-term investments by investing only in investment-grade </w:t>
      </w:r>
      <w:r>
        <w:rPr>
          <w:rFonts w:eastAsia="Times New Roman"/>
          <w:color w:val="000000"/>
          <w:sz w:val="20"/>
          <w:szCs w:val="20"/>
        </w:rPr>
        <w:t>commercial paper, money market mutual funds, securities guaranteed by the U.S. Government or its agencies and FDIC insured bank deposits. The credit risk arising from concentrations of trade accounts receivable is limited because we have a large customer b</w:t>
      </w:r>
      <w:r>
        <w:rPr>
          <w:rFonts w:eastAsia="Times New Roman"/>
          <w:color w:val="000000"/>
          <w:sz w:val="20"/>
          <w:szCs w:val="20"/>
        </w:rPr>
        <w:t xml:space="preserve">ase that extends across many different U.S. markets and a number of foreign countries. For information regarding concentrations of credit risk associated with our derivative instruments, see Note 12. </w:t>
      </w:r>
    </w:p>
    <w:p w:rsidR="00000000" w:rsidRDefault="00844BCF">
      <w:pPr>
        <w:jc w:val="both"/>
        <w:rPr>
          <w:rFonts w:eastAsia="Times New Roman"/>
        </w:rPr>
      </w:pPr>
    </w:p>
    <w:p w:rsidR="00000000" w:rsidRDefault="00844BCF">
      <w:pPr>
        <w:ind w:hanging="540"/>
        <w:jc w:val="both"/>
        <w:rPr>
          <w:rFonts w:eastAsia="Times New Roman"/>
        </w:rPr>
      </w:pPr>
      <w:r>
        <w:rPr>
          <w:rFonts w:eastAsia="Times New Roman"/>
          <w:b/>
          <w:bCs/>
          <w:color w:val="000000"/>
          <w:sz w:val="20"/>
          <w:szCs w:val="20"/>
          <w:u w:val="single"/>
        </w:rPr>
        <w:t>Note 12 — Derivative Instruments and Hedging Activiti</w:t>
      </w:r>
      <w:r>
        <w:rPr>
          <w:rFonts w:eastAsia="Times New Roman"/>
          <w:b/>
          <w:bCs/>
          <w:color w:val="000000"/>
          <w:sz w:val="20"/>
          <w:szCs w:val="20"/>
          <w:u w:val="single"/>
        </w:rPr>
        <w:t>es</w:t>
      </w:r>
      <w:r>
        <w:rPr>
          <w:rFonts w:eastAsia="Times New Roman"/>
          <w:b/>
          <w:bCs/>
          <w:color w:val="000000"/>
          <w:sz w:val="20"/>
          <w:szCs w:val="20"/>
        </w:rPr>
        <w:t xml:space="preserve"> </w:t>
      </w:r>
    </w:p>
    <w:p w:rsidR="00000000" w:rsidRDefault="00844BCF">
      <w:pPr>
        <w:ind w:hanging="540"/>
        <w:divId w:val="222329000"/>
        <w:rPr>
          <w:rFonts w:eastAsia="Times New Roman"/>
        </w:rPr>
      </w:pPr>
    </w:p>
    <w:p w:rsidR="00000000" w:rsidRDefault="00844BCF">
      <w:pPr>
        <w:jc w:val="both"/>
        <w:rPr>
          <w:rFonts w:eastAsia="Times New Roman"/>
        </w:rPr>
      </w:pPr>
      <w:r>
        <w:rPr>
          <w:rFonts w:eastAsia="Times New Roman"/>
          <w:color w:val="000000"/>
          <w:sz w:val="20"/>
          <w:szCs w:val="20"/>
        </w:rPr>
        <w:t>We are exposed to certain market risks related to our ongoing business operations. Management uses derivative financial and commodity instruments, among other things, to manage: (1) commodity price risk; (2) interest rate risk; and (3) foreign curren</w:t>
      </w:r>
      <w:r>
        <w:rPr>
          <w:rFonts w:eastAsia="Times New Roman"/>
          <w:color w:val="000000"/>
          <w:sz w:val="20"/>
          <w:szCs w:val="20"/>
        </w:rPr>
        <w:t>cy exchange rate risk. Although we use derivative financial and commodity instruments to reduce market risk associated with forecasted transactions, we do not use derivative financial and commodity instruments for speculative or trading purposes. The use o</w:t>
      </w:r>
      <w:r>
        <w:rPr>
          <w:rFonts w:eastAsia="Times New Roman"/>
          <w:color w:val="000000"/>
          <w:sz w:val="20"/>
          <w:szCs w:val="20"/>
        </w:rPr>
        <w:t>f derivative instruments is controlled by our risk management and credit policies, which govern, among other things, the derivative instruments we can use, counterparty credit limits and contract authorization limits. Although our commodity derivative inst</w:t>
      </w:r>
      <w:r>
        <w:rPr>
          <w:rFonts w:eastAsia="Times New Roman"/>
          <w:color w:val="000000"/>
          <w:sz w:val="20"/>
          <w:szCs w:val="20"/>
        </w:rPr>
        <w:t>ruments extend over a number of years, a significant portion of our commodity derivative instruments economically hedge commodity price risk during the next twelve months. For information on the accounting for our derivative instruments, see Note 2.</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The </w:t>
      </w:r>
      <w:r>
        <w:rPr>
          <w:rFonts w:eastAsia="Times New Roman"/>
          <w:color w:val="000000"/>
          <w:sz w:val="20"/>
          <w:szCs w:val="20"/>
        </w:rPr>
        <w:t>following summarizes the types of derivative instruments used by the Company to manage certain market risks:</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Commodity Price Risk</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u w:val="single"/>
        </w:rPr>
        <w:t>Regulated Utility Operations</w:t>
      </w:r>
    </w:p>
    <w:p w:rsidR="00000000" w:rsidRDefault="00844BCF">
      <w:pPr>
        <w:jc w:val="both"/>
        <w:rPr>
          <w:rFonts w:eastAsia="Times New Roman"/>
        </w:rPr>
      </w:pPr>
    </w:p>
    <w:p w:rsidR="00000000" w:rsidRDefault="00844BCF">
      <w:pPr>
        <w:jc w:val="both"/>
        <w:rPr>
          <w:rFonts w:eastAsia="Times New Roman"/>
        </w:rPr>
      </w:pPr>
      <w:r>
        <w:rPr>
          <w:rFonts w:eastAsia="Times New Roman"/>
          <w:i/>
          <w:iCs/>
          <w:color w:val="000000"/>
          <w:sz w:val="20"/>
          <w:szCs w:val="20"/>
        </w:rPr>
        <w:t>Natural Gas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UGI Utilities’ tariffs contain clauses that permit recovery of all prudently </w:t>
      </w:r>
      <w:r>
        <w:rPr>
          <w:rFonts w:eastAsia="Times New Roman"/>
          <w:color w:val="000000"/>
          <w:sz w:val="20"/>
          <w:szCs w:val="20"/>
        </w:rPr>
        <w:t>incurred costs of natural gas it sells to retail core-market customers, including the cost of financial instruments used to hedge purchased gas costs. As permitted and agreed to by the PAPUC pursuant to PA Gas Utility’s annual PGC filings, PA Gas Utility c</w:t>
      </w:r>
      <w:r>
        <w:rPr>
          <w:rFonts w:eastAsia="Times New Roman"/>
          <w:color w:val="000000"/>
          <w:sz w:val="20"/>
          <w:szCs w:val="20"/>
        </w:rPr>
        <w:t>urrently uses NYMEX natural gas futures and option contracts to reduce commodity price volatility associated with a portion of the natural gas it purchases for its retail core-market customers. See Note 7 for further information on the regulatory accountin</w:t>
      </w:r>
      <w:r>
        <w:rPr>
          <w:rFonts w:eastAsia="Times New Roman"/>
          <w:color w:val="000000"/>
          <w:sz w:val="20"/>
          <w:szCs w:val="20"/>
        </w:rPr>
        <w:t xml:space="preserve">g treatment for these derivative instruments.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u w:val="single"/>
        </w:rPr>
        <w:t>Non-utility Operations</w:t>
      </w:r>
    </w:p>
    <w:p w:rsidR="00000000" w:rsidRDefault="00844BCF">
      <w:pPr>
        <w:jc w:val="both"/>
        <w:rPr>
          <w:rFonts w:eastAsia="Times New Roman"/>
        </w:rPr>
      </w:pPr>
    </w:p>
    <w:p w:rsidR="00000000" w:rsidRDefault="00844BCF">
      <w:pPr>
        <w:jc w:val="both"/>
        <w:rPr>
          <w:rFonts w:eastAsia="Times New Roman"/>
        </w:rPr>
      </w:pPr>
      <w:r>
        <w:rPr>
          <w:rFonts w:eastAsia="Times New Roman"/>
          <w:i/>
          <w:iCs/>
          <w:color w:val="000000"/>
          <w:sz w:val="20"/>
          <w:szCs w:val="20"/>
        </w:rPr>
        <w:t>LPG</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In order to manage market price risk associated with the Partnership’s fixed-price programs and to reduce the effects of short-term commodity price volatility, the Partnership </w:t>
      </w:r>
      <w:r>
        <w:rPr>
          <w:rFonts w:eastAsia="Times New Roman"/>
          <w:color w:val="000000"/>
          <w:sz w:val="20"/>
          <w:szCs w:val="20"/>
        </w:rPr>
        <w:t xml:space="preserve">uses over-the-counter derivative commodity instruments, principally price </w:t>
      </w:r>
    </w:p>
    <w:p w:rsidR="00000000" w:rsidRDefault="00844BCF">
      <w:pPr>
        <w:jc w:val="center"/>
        <w:divId w:val="2126802302"/>
        <w:rPr>
          <w:rFonts w:eastAsia="Times New Roman"/>
        </w:rPr>
      </w:pPr>
      <w:r>
        <w:rPr>
          <w:rFonts w:eastAsia="Times New Roman"/>
          <w:color w:val="000000"/>
          <w:sz w:val="20"/>
          <w:szCs w:val="20"/>
        </w:rPr>
        <w:t>24</w:t>
      </w:r>
    </w:p>
    <w:p w:rsidR="00000000" w:rsidRDefault="00844BCF">
      <w:pPr>
        <w:rPr>
          <w:rFonts w:eastAsia="Times New Roman"/>
        </w:rPr>
      </w:pPr>
      <w:r>
        <w:rPr>
          <w:rFonts w:eastAsia="Times New Roman"/>
        </w:rPr>
        <w:pict>
          <v:rect id="_x0000_i1050" style="width:0;height:1.5pt" o:hralign="center" o:hrstd="t" o:hr="t" fillcolor="#a0a0a0" stroked="f"/>
        </w:pict>
      </w:r>
    </w:p>
    <w:p w:rsidR="00000000" w:rsidRDefault="00844BCF">
      <w:pPr>
        <w:divId w:val="730688584"/>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769008387"/>
        <w:rPr>
          <w:rFonts w:eastAsia="Times New Roman"/>
        </w:rPr>
      </w:pPr>
      <w:r>
        <w:rPr>
          <w:rFonts w:eastAsia="Times New Roman"/>
          <w:b/>
          <w:bCs/>
          <w:color w:val="000000"/>
          <w:sz w:val="20"/>
          <w:szCs w:val="20"/>
        </w:rPr>
        <w:t>UGI CORPORATION AND SUBSIDIARIES</w:t>
      </w:r>
    </w:p>
    <w:p w:rsidR="00000000" w:rsidRDefault="00844BCF">
      <w:pPr>
        <w:jc w:val="center"/>
        <w:divId w:val="1001813018"/>
        <w:rPr>
          <w:rFonts w:eastAsia="Times New Roman"/>
        </w:rPr>
      </w:pPr>
      <w:r>
        <w:rPr>
          <w:rFonts w:eastAsia="Times New Roman"/>
          <w:b/>
          <w:bCs/>
          <w:color w:val="000000"/>
          <w:sz w:val="20"/>
          <w:szCs w:val="20"/>
          <w:u w:val="single"/>
        </w:rPr>
        <w:t>Notes to Condensed Consolidated F</w:t>
      </w:r>
      <w:r>
        <w:rPr>
          <w:rFonts w:eastAsia="Times New Roman"/>
          <w:b/>
          <w:bCs/>
          <w:color w:val="000000"/>
          <w:sz w:val="20"/>
          <w:szCs w:val="20"/>
          <w:u w:val="single"/>
        </w:rPr>
        <w:t>inancial Statements</w:t>
      </w:r>
    </w:p>
    <w:p w:rsidR="00000000" w:rsidRDefault="00844BCF">
      <w:pPr>
        <w:jc w:val="center"/>
        <w:divId w:val="769008387"/>
        <w:rPr>
          <w:rFonts w:eastAsia="Times New Roman"/>
        </w:rPr>
      </w:pPr>
      <w:r>
        <w:rPr>
          <w:rFonts w:eastAsia="Times New Roman"/>
          <w:color w:val="000000"/>
          <w:sz w:val="20"/>
          <w:szCs w:val="20"/>
        </w:rPr>
        <w:t>(unaudited)</w:t>
      </w:r>
    </w:p>
    <w:p w:rsidR="00000000" w:rsidRDefault="00844BCF">
      <w:pPr>
        <w:jc w:val="center"/>
        <w:divId w:val="769008387"/>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rPr>
          <w:rFonts w:eastAsia="Times New Roman"/>
        </w:rPr>
      </w:pPr>
      <w:r>
        <w:rPr>
          <w:rFonts w:eastAsia="Times New Roman"/>
          <w:color w:val="000000"/>
          <w:sz w:val="20"/>
          <w:szCs w:val="20"/>
        </w:rPr>
        <w:t xml:space="preserve">swap contracts. In addition, the Partnership and our UGI International operations also use over-the-counter price swap contracts to reduce commodity price volatility associated with a portion of their forecasted LPG purchases. </w:t>
      </w:r>
    </w:p>
    <w:p w:rsidR="00000000" w:rsidRDefault="00844BCF">
      <w:pPr>
        <w:jc w:val="both"/>
        <w:rPr>
          <w:rFonts w:eastAsia="Times New Roman"/>
        </w:rPr>
      </w:pPr>
    </w:p>
    <w:p w:rsidR="00000000" w:rsidRDefault="00844BCF">
      <w:pPr>
        <w:jc w:val="both"/>
        <w:rPr>
          <w:rFonts w:eastAsia="Times New Roman"/>
        </w:rPr>
      </w:pPr>
      <w:r>
        <w:rPr>
          <w:rFonts w:eastAsia="Times New Roman"/>
          <w:i/>
          <w:iCs/>
          <w:color w:val="000000"/>
          <w:sz w:val="20"/>
          <w:szCs w:val="20"/>
        </w:rPr>
        <w:t>Natural Gas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In order to </w:t>
      </w:r>
      <w:r>
        <w:rPr>
          <w:rFonts w:eastAsia="Times New Roman"/>
          <w:color w:val="000000"/>
          <w:sz w:val="20"/>
          <w:szCs w:val="20"/>
        </w:rPr>
        <w:t>manage market price risk relating to fixed-price sales contracts for physical natural gas, Midstream &amp; Marketing enters into NYMEX and over-the-counter natural gas futures and over-the-counter and ICE natural gas basis swap contracts. In addition, Midstrea</w:t>
      </w:r>
      <w:r>
        <w:rPr>
          <w:rFonts w:eastAsia="Times New Roman"/>
          <w:color w:val="000000"/>
          <w:sz w:val="20"/>
          <w:szCs w:val="20"/>
        </w:rPr>
        <w:t>m &amp; Marketing uses NYMEX and over-the-counter futures and options contracts to economically hedge price volatility associated with the gross margin derived from the purchase and anticipated later near-term sale of natural gas storage inventories. Outside o</w:t>
      </w:r>
      <w:r>
        <w:rPr>
          <w:rFonts w:eastAsia="Times New Roman"/>
          <w:color w:val="000000"/>
          <w:sz w:val="20"/>
          <w:szCs w:val="20"/>
        </w:rPr>
        <w:t>f the financial market, Midstream &amp; Marketing also uses ICE and over-the-counter forward physical contracts. UGI International also uses natural gas futures and forward contracts to economically hedge market price risk associated with a substantial portion</w:t>
      </w:r>
      <w:r>
        <w:rPr>
          <w:rFonts w:eastAsia="Times New Roman"/>
          <w:color w:val="000000"/>
          <w:sz w:val="20"/>
          <w:szCs w:val="20"/>
        </w:rPr>
        <w:t xml:space="preserve"> of anticipated volumes under fixed-price sales contracts with its customers.</w:t>
      </w:r>
    </w:p>
    <w:p w:rsidR="00000000" w:rsidRDefault="00844BCF">
      <w:pPr>
        <w:jc w:val="both"/>
        <w:rPr>
          <w:rFonts w:eastAsia="Times New Roman"/>
        </w:rPr>
      </w:pPr>
    </w:p>
    <w:p w:rsidR="00000000" w:rsidRDefault="00844BCF">
      <w:pPr>
        <w:jc w:val="both"/>
        <w:rPr>
          <w:rFonts w:eastAsia="Times New Roman"/>
        </w:rPr>
      </w:pPr>
      <w:r>
        <w:rPr>
          <w:rFonts w:eastAsia="Times New Roman"/>
          <w:i/>
          <w:iCs/>
          <w:color w:val="000000"/>
          <w:sz w:val="20"/>
          <w:szCs w:val="20"/>
        </w:rPr>
        <w:t>Electricity</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In order to manage market price risk relating to fixed-price sales contracts for electricity, Midstream &amp; Marketing enters into electricity futures and forward co</w:t>
      </w:r>
      <w:r>
        <w:rPr>
          <w:rFonts w:eastAsia="Times New Roman"/>
          <w:color w:val="000000"/>
          <w:sz w:val="20"/>
          <w:szCs w:val="20"/>
        </w:rPr>
        <w:t>ntracts. Midstream &amp; Marketing also uses NYMEX and over-the-counter electricity futures contracts to economically hedge the price of a portion of its anticipated future sales of electricity from its electric generation facilities. UGI International also us</w:t>
      </w:r>
      <w:r>
        <w:rPr>
          <w:rFonts w:eastAsia="Times New Roman"/>
          <w:color w:val="000000"/>
          <w:sz w:val="20"/>
          <w:szCs w:val="20"/>
        </w:rPr>
        <w:t>es electricity futures and forward contracts to economically hedge market price risk associated with fixed-price sales and purchase contracts for electricity.</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Interest Rate Risk</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Certain of our long-term debt agreements have interest rates that are gene</w:t>
      </w:r>
      <w:r>
        <w:rPr>
          <w:rFonts w:eastAsia="Times New Roman"/>
          <w:color w:val="000000"/>
          <w:sz w:val="20"/>
          <w:szCs w:val="20"/>
        </w:rPr>
        <w:t>rally indexed to short-term market interest rates. In order to fix the underlying short-term market interest rates, we may enter into pay-fixed, receive-variable interest rate swap agreements and designate such swaps as cash flow hedges.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remainder of our long-term debt is typically issued at fixed rates of interest. As this long-term debt matures, we typically refinance such debt with new debt having interest rates reflecting then-current market conditions. In order to reduce market ra</w:t>
      </w:r>
      <w:r>
        <w:rPr>
          <w:rFonts w:eastAsia="Times New Roman"/>
          <w:color w:val="000000"/>
          <w:sz w:val="20"/>
          <w:szCs w:val="20"/>
        </w:rPr>
        <w:t>te risk on the underlying benchmark rate of interest associated with near- to medium-term forecasted issuances of fixed-rate debt, from time to time, we enter into IRPAs. We account for IRPAs as cash flow hedges. There were no unsettled IRPAs during any of</w:t>
      </w:r>
      <w:r>
        <w:rPr>
          <w:rFonts w:eastAsia="Times New Roman"/>
          <w:color w:val="000000"/>
          <w:sz w:val="20"/>
          <w:szCs w:val="20"/>
        </w:rPr>
        <w:t xml:space="preserve"> the periods presented. At March 31, 2022, the amount of pre-tax net losses associated with interest rate hedges (excluding pay-fixed, receive-variable interest rate swaps) expected to be reclassified into earnings during the next twelve months is $3.</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Fo</w:t>
      </w:r>
      <w:r>
        <w:rPr>
          <w:rFonts w:eastAsia="Times New Roman"/>
          <w:b/>
          <w:bCs/>
          <w:color w:val="000000"/>
          <w:sz w:val="20"/>
          <w:szCs w:val="20"/>
        </w:rPr>
        <w:t>reign Currency Exchange Rate Risk</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u w:val="single"/>
        </w:rPr>
        <w:t>Forward Foreign Currency Exchange Contracts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In order to reduce the volatility in net income associated with our foreign operations, principally as a result of changes in the U.S. dollar exchange rate to the euro and Br</w:t>
      </w:r>
      <w:r>
        <w:rPr>
          <w:rFonts w:eastAsia="Times New Roman"/>
          <w:color w:val="000000"/>
          <w:sz w:val="20"/>
          <w:szCs w:val="20"/>
        </w:rPr>
        <w:t>itish pound sterling, we enter into forward foreign currency exchange contracts. We layer in these foreign currency exchange contracts over a multi-year period to eventually equal approximately 90% of anticipated UGI International foreign currency earnings</w:t>
      </w:r>
      <w:r>
        <w:rPr>
          <w:rFonts w:eastAsia="Times New Roman"/>
          <w:color w:val="000000"/>
          <w:sz w:val="20"/>
          <w:szCs w:val="20"/>
        </w:rPr>
        <w:t xml:space="preserve"> before income taxes. Because these contracts are not designated as hedging instruments, realized and unrealized gains and losses on these contracts are recorded in “Other non-operating income (expense), net,” on the Condensed Consolidated Statements of In</w:t>
      </w:r>
      <w:r>
        <w:rPr>
          <w:rFonts w:eastAsia="Times New Roman"/>
          <w:color w:val="000000"/>
          <w:sz w:val="20"/>
          <w:szCs w:val="20"/>
        </w:rPr>
        <w:t>come.</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u w:val="single"/>
        </w:rPr>
        <w:t>Net Investment Hedges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From time to time, we also enter into certain forward foreign currency exchange contracts to reduce the volatility of the U.S. dollar value of a portion of our UGI International euro-denominated net investments, including an</w:t>
      </w:r>
      <w:r>
        <w:rPr>
          <w:rFonts w:eastAsia="Times New Roman"/>
          <w:color w:val="000000"/>
          <w:sz w:val="20"/>
          <w:szCs w:val="20"/>
        </w:rPr>
        <w:t>ticipated foreign currency denominated dividends. We account for these foreign currency exchange contracts as net investment hedges and all changes in the fair value of these contracts are reported in the cumulative translation adjustment component in AOCI</w:t>
      </w:r>
      <w:r>
        <w:rPr>
          <w:rFonts w:eastAsia="Times New Roman"/>
          <w:color w:val="000000"/>
          <w:sz w:val="20"/>
          <w:szCs w:val="20"/>
        </w:rPr>
        <w:t>. We use the spot rate method to measure ineffectiveness of our net investment hedges.</w:t>
      </w:r>
    </w:p>
    <w:p w:rsidR="00000000" w:rsidRDefault="00844BCF">
      <w:pPr>
        <w:jc w:val="both"/>
        <w:rPr>
          <w:rFonts w:eastAsia="Times New Roman"/>
        </w:rPr>
      </w:pPr>
    </w:p>
    <w:p w:rsidR="00000000" w:rsidRDefault="00844BCF">
      <w:pPr>
        <w:jc w:val="center"/>
        <w:divId w:val="1204371580"/>
        <w:rPr>
          <w:rFonts w:eastAsia="Times New Roman"/>
        </w:rPr>
      </w:pPr>
      <w:r>
        <w:rPr>
          <w:rFonts w:eastAsia="Times New Roman"/>
          <w:color w:val="000000"/>
          <w:sz w:val="20"/>
          <w:szCs w:val="20"/>
        </w:rPr>
        <w:t>25</w:t>
      </w:r>
    </w:p>
    <w:p w:rsidR="00000000" w:rsidRDefault="00844BCF">
      <w:pPr>
        <w:rPr>
          <w:rFonts w:eastAsia="Times New Roman"/>
        </w:rPr>
      </w:pPr>
      <w:r>
        <w:rPr>
          <w:rFonts w:eastAsia="Times New Roman"/>
        </w:rPr>
        <w:pict>
          <v:rect id="_x0000_i1051" style="width:0;height:1.5pt" o:hralign="center" o:hrstd="t" o:hr="t" fillcolor="#a0a0a0" stroked="f"/>
        </w:pict>
      </w:r>
    </w:p>
    <w:p w:rsidR="00000000" w:rsidRDefault="00844BCF">
      <w:pPr>
        <w:divId w:val="374544999"/>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230894759"/>
        <w:rPr>
          <w:rFonts w:eastAsia="Times New Roman"/>
        </w:rPr>
      </w:pPr>
      <w:r>
        <w:rPr>
          <w:rFonts w:eastAsia="Times New Roman"/>
          <w:b/>
          <w:bCs/>
          <w:color w:val="000000"/>
          <w:sz w:val="20"/>
          <w:szCs w:val="20"/>
        </w:rPr>
        <w:t>UGI CORPORATION AND SUBSIDIARIES</w:t>
      </w:r>
    </w:p>
    <w:p w:rsidR="00000000" w:rsidRDefault="00844BCF">
      <w:pPr>
        <w:jc w:val="center"/>
        <w:divId w:val="1900048782"/>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230894759"/>
        <w:rPr>
          <w:rFonts w:eastAsia="Times New Roman"/>
        </w:rPr>
      </w:pPr>
      <w:r>
        <w:rPr>
          <w:rFonts w:eastAsia="Times New Roman"/>
          <w:color w:val="000000"/>
          <w:sz w:val="20"/>
          <w:szCs w:val="20"/>
        </w:rPr>
        <w:t>(unaudited)</w:t>
      </w:r>
    </w:p>
    <w:p w:rsidR="00000000" w:rsidRDefault="00844BCF">
      <w:pPr>
        <w:jc w:val="center"/>
        <w:divId w:val="230894759"/>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p w:rsidR="00000000" w:rsidRDefault="00844BCF">
      <w:pPr>
        <w:jc w:val="both"/>
        <w:rPr>
          <w:rFonts w:eastAsia="Times New Roman"/>
        </w:rPr>
      </w:pPr>
      <w:r>
        <w:rPr>
          <w:rFonts w:eastAsia="Times New Roman"/>
          <w:color w:val="000000"/>
          <w:sz w:val="20"/>
          <w:szCs w:val="20"/>
        </w:rPr>
        <w:t xml:space="preserve">Concurrent with the repayment of UGI International’s 3.25% Senior Notes on December 7, 2021, we terminated an associated net investment hedge having a notional value of €93. Cash flows from this termination are included in </w:t>
      </w:r>
      <w:r>
        <w:rPr>
          <w:rFonts w:eastAsia="Times New Roman"/>
          <w:color w:val="000000"/>
          <w:sz w:val="20"/>
          <w:szCs w:val="20"/>
        </w:rPr>
        <w:t>cash flows from investing activities on the Condensed Consolidated Statements of Cash Flows.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Our euro-denominated long-term debt has also been designated as net investment hedges, representing a portion of our UGI International euro-denominated net inves</w:t>
      </w:r>
      <w:r>
        <w:rPr>
          <w:rFonts w:eastAsia="Times New Roman"/>
          <w:color w:val="000000"/>
          <w:sz w:val="20"/>
          <w:szCs w:val="20"/>
        </w:rPr>
        <w:t>tment. We recognized pre-tax gains (losses) associated with these net investment hedges in the cumulative translation adjustment component in AOCI of $21 and $31 during the three months ended March 31, 2022 and 2021, respectively, $34 and $(1) during the s</w:t>
      </w:r>
      <w:r>
        <w:rPr>
          <w:rFonts w:eastAsia="Times New Roman"/>
          <w:color w:val="000000"/>
          <w:sz w:val="20"/>
          <w:szCs w:val="20"/>
        </w:rPr>
        <w:t xml:space="preserve">ix months ended March 31, 2022 and 2021, respectively. </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Quantitative Disclosures Related to Derivative Instruments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following table summarizes by derivative type the gross notional amounts related to open derivative contracts at March 31, 2022, Sept</w:t>
      </w:r>
      <w:r>
        <w:rPr>
          <w:rFonts w:eastAsia="Times New Roman"/>
          <w:color w:val="000000"/>
          <w:sz w:val="20"/>
          <w:szCs w:val="20"/>
        </w:rPr>
        <w:t>ember 30, 2021 and March 31, 2021, and the final settlement dates of the Company's open derivative contracts as of March 31, 2022, excluding those derivatives that qualified for the NPNS exception: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670"/>
        <w:gridCol w:w="38"/>
        <w:gridCol w:w="36"/>
        <w:gridCol w:w="36"/>
        <w:gridCol w:w="36"/>
        <w:gridCol w:w="95"/>
        <w:gridCol w:w="903"/>
        <w:gridCol w:w="36"/>
        <w:gridCol w:w="36"/>
        <w:gridCol w:w="36"/>
        <w:gridCol w:w="36"/>
        <w:gridCol w:w="68"/>
        <w:gridCol w:w="914"/>
        <w:gridCol w:w="36"/>
        <w:gridCol w:w="36"/>
        <w:gridCol w:w="36"/>
        <w:gridCol w:w="36"/>
        <w:gridCol w:w="120"/>
        <w:gridCol w:w="837"/>
        <w:gridCol w:w="36"/>
        <w:gridCol w:w="36"/>
        <w:gridCol w:w="36"/>
        <w:gridCol w:w="36"/>
        <w:gridCol w:w="121"/>
        <w:gridCol w:w="860"/>
        <w:gridCol w:w="36"/>
        <w:gridCol w:w="36"/>
        <w:gridCol w:w="36"/>
        <w:gridCol w:w="36"/>
        <w:gridCol w:w="120"/>
        <w:gridCol w:w="800"/>
        <w:gridCol w:w="36"/>
      </w:tblGrid>
      <w:tr w:rsidR="00000000">
        <w:trPr>
          <w:divId w:val="1164082324"/>
          <w:jc w:val="center"/>
        </w:trPr>
        <w:tc>
          <w:tcPr>
            <w:tcW w:w="50" w:type="pct"/>
            <w:vAlign w:val="center"/>
            <w:hideMark/>
          </w:tcPr>
          <w:p w:rsidR="00000000" w:rsidRDefault="00844BCF">
            <w:pPr>
              <w:jc w:val="both"/>
              <w:rPr>
                <w:rFonts w:eastAsia="Times New Roman"/>
              </w:rPr>
            </w:pPr>
          </w:p>
        </w:tc>
        <w:tc>
          <w:tcPr>
            <w:tcW w:w="164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7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66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6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4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Notional Amounts</w:t>
            </w:r>
            <w:r>
              <w:rPr>
                <w:rFonts w:eastAsia="Times New Roman"/>
                <w:color w:val="000000"/>
                <w:sz w:val="20"/>
                <w:szCs w:val="20"/>
              </w:rPr>
              <w:br/>
              <w:t>(in millions)</w:t>
            </w:r>
          </w:p>
        </w:tc>
      </w:tr>
      <w:tr w:rsidR="00000000">
        <w:trPr>
          <w:divId w:val="1164082324"/>
          <w:jc w:val="center"/>
        </w:trPr>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Type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Units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Settlements Extending Through</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March 31, 2021</w:t>
            </w:r>
          </w:p>
        </w:tc>
      </w:tr>
      <w:tr w:rsidR="00000000">
        <w:trPr>
          <w:divId w:val="1164082324"/>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Commodity Price Risk:</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i/>
                <w:iCs/>
                <w:color w:val="000000"/>
                <w:sz w:val="20"/>
                <w:szCs w:val="20"/>
              </w:rPr>
              <w:t>Regulated Utility Operations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PA Gas Utility NYMEX natural gas futures and option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Dekatherms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February 2023</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164082324"/>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i/>
                <w:iCs/>
                <w:color w:val="000000"/>
                <w:sz w:val="20"/>
                <w:szCs w:val="20"/>
              </w:rPr>
              <w:t>Non-utility Operations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LPG swaps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Gallons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September 2024</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622 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708 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557 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164082324"/>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Natural gas futures, forward, basis swap, options and pipeline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Dekatherms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March 2026</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164082324"/>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Electricity forward and futures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Kilowatt hours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January 2026</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3,098 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4,302 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4,773 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164082324"/>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Interest Rate Risk:</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Interest rate swaps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Euro</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October 2022</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164082324"/>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Interest rate swaps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September 2024</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1,414 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1,421 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1,302 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164082324"/>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Foreign Currency Exchange Rate Risk:</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164082324"/>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Forward foreign currency exchange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USD</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September 2024</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164082324"/>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Net investment hedge forward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Euro</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December 2026</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164082324"/>
          <w:jc w:val="center"/>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bl>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Derivative Instrument Credit Risk</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We are exposed to risk of loss in the event of nonperformance by our derivative</w:t>
      </w:r>
      <w:r>
        <w:rPr>
          <w:rFonts w:eastAsia="Times New Roman"/>
          <w:color w:val="000000"/>
          <w:sz w:val="20"/>
          <w:szCs w:val="20"/>
        </w:rPr>
        <w:t xml:space="preserve"> instrument counterparties. Our derivative instrument counterparties principally comprise large energy companies and major U.S. and international financial institutions. We maintain credit policies with regard to our counterparties that we believe reduce o</w:t>
      </w:r>
      <w:r>
        <w:rPr>
          <w:rFonts w:eastAsia="Times New Roman"/>
          <w:color w:val="000000"/>
          <w:sz w:val="20"/>
          <w:szCs w:val="20"/>
        </w:rPr>
        <w:t>verall credit risk. These policies include evaluating and monitoring our counterparties’ financial condition, including their credit ratings, and entering into agreements with counterparties that govern credit limits or entering into netting agreements tha</w:t>
      </w:r>
      <w:r>
        <w:rPr>
          <w:rFonts w:eastAsia="Times New Roman"/>
          <w:color w:val="000000"/>
          <w:sz w:val="20"/>
          <w:szCs w:val="20"/>
        </w:rPr>
        <w:t xml:space="preserve">t allow for offsetting counterparty receivable and payable balances for certain financial transactions, as deemed appropriate. </w:t>
      </w:r>
    </w:p>
    <w:p w:rsidR="00000000" w:rsidRDefault="00844BCF">
      <w:pPr>
        <w:jc w:val="both"/>
        <w:divId w:val="1636058736"/>
        <w:rPr>
          <w:rFonts w:eastAsia="Times New Roman"/>
        </w:rPr>
      </w:pPr>
      <w:r>
        <w:rPr>
          <w:rFonts w:eastAsia="Times New Roman"/>
          <w:color w:val="000000"/>
          <w:sz w:val="20"/>
          <w:szCs w:val="20"/>
        </w:rPr>
        <w:t>We have concentrations of credit risk associated with derivative instruments and we evaluate the creditworthiness of our derivat</w:t>
      </w:r>
      <w:r>
        <w:rPr>
          <w:rFonts w:eastAsia="Times New Roman"/>
          <w:color w:val="000000"/>
          <w:sz w:val="20"/>
          <w:szCs w:val="20"/>
        </w:rPr>
        <w:t>ive counterparties on an ongoing basis. As of March 31, 2022, the maximum amount of loss, based upon the gross fair values of the derivative instruments, we would incur if these counterparties failed to perform according to the terms of their contracts was</w:t>
      </w:r>
      <w:r>
        <w:rPr>
          <w:rFonts w:eastAsia="Times New Roman"/>
          <w:color w:val="000000"/>
          <w:sz w:val="20"/>
          <w:szCs w:val="20"/>
        </w:rPr>
        <w:t xml:space="preserve"> $2,035. In general, many of our over-the-counter derivative instruments and all exchange contracts call for the </w:t>
      </w:r>
    </w:p>
    <w:p w:rsidR="00000000" w:rsidRDefault="00844BCF">
      <w:pPr>
        <w:jc w:val="center"/>
        <w:divId w:val="1482771479"/>
        <w:rPr>
          <w:rFonts w:eastAsia="Times New Roman"/>
        </w:rPr>
      </w:pPr>
      <w:r>
        <w:rPr>
          <w:rFonts w:eastAsia="Times New Roman"/>
          <w:color w:val="000000"/>
          <w:sz w:val="20"/>
          <w:szCs w:val="20"/>
        </w:rPr>
        <w:t>26</w:t>
      </w:r>
    </w:p>
    <w:p w:rsidR="00000000" w:rsidRDefault="00844BCF">
      <w:pPr>
        <w:rPr>
          <w:rFonts w:eastAsia="Times New Roman"/>
        </w:rPr>
      </w:pPr>
      <w:r>
        <w:rPr>
          <w:rFonts w:eastAsia="Times New Roman"/>
        </w:rPr>
        <w:pict>
          <v:rect id="_x0000_i1052" style="width:0;height:1.5pt" o:hralign="center" o:hrstd="t" o:hr="t" fillcolor="#a0a0a0" stroked="f"/>
        </w:pict>
      </w:r>
    </w:p>
    <w:p w:rsidR="00000000" w:rsidRDefault="00844BCF">
      <w:pPr>
        <w:divId w:val="57898714"/>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913390460"/>
        <w:rPr>
          <w:rFonts w:eastAsia="Times New Roman"/>
        </w:rPr>
      </w:pPr>
      <w:r>
        <w:rPr>
          <w:rFonts w:eastAsia="Times New Roman"/>
          <w:b/>
          <w:bCs/>
          <w:color w:val="000000"/>
          <w:sz w:val="20"/>
          <w:szCs w:val="20"/>
        </w:rPr>
        <w:t>UGI CORPORATION AND SUBSID</w:t>
      </w:r>
      <w:r>
        <w:rPr>
          <w:rFonts w:eastAsia="Times New Roman"/>
          <w:b/>
          <w:bCs/>
          <w:color w:val="000000"/>
          <w:sz w:val="20"/>
          <w:szCs w:val="20"/>
        </w:rPr>
        <w:t>IARIES</w:t>
      </w:r>
    </w:p>
    <w:p w:rsidR="00000000" w:rsidRDefault="00844BCF">
      <w:pPr>
        <w:jc w:val="center"/>
        <w:divId w:val="1099332746"/>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1913390460"/>
        <w:rPr>
          <w:rFonts w:eastAsia="Times New Roman"/>
        </w:rPr>
      </w:pPr>
      <w:r>
        <w:rPr>
          <w:rFonts w:eastAsia="Times New Roman"/>
          <w:color w:val="000000"/>
          <w:sz w:val="20"/>
          <w:szCs w:val="20"/>
        </w:rPr>
        <w:t>(unaudited)</w:t>
      </w:r>
    </w:p>
    <w:p w:rsidR="00000000" w:rsidRDefault="00844BCF">
      <w:pPr>
        <w:jc w:val="center"/>
        <w:divId w:val="1913390460"/>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divId w:val="28841984"/>
        <w:rPr>
          <w:rFonts w:eastAsia="Times New Roman"/>
        </w:rPr>
      </w:pPr>
      <w:r>
        <w:rPr>
          <w:rFonts w:eastAsia="Times New Roman"/>
          <w:color w:val="000000"/>
          <w:sz w:val="20"/>
          <w:szCs w:val="20"/>
        </w:rPr>
        <w:t>posting of collateral by the counterparty or by the Company in the forms of letters of credit, parental g</w:t>
      </w:r>
      <w:r>
        <w:rPr>
          <w:rFonts w:eastAsia="Times New Roman"/>
          <w:color w:val="000000"/>
          <w:sz w:val="20"/>
          <w:szCs w:val="20"/>
        </w:rPr>
        <w:t>uarantees or cash. At March 31, 2022, we had received cash collateral from derivative instrument counterparties totaling $603. In addition, we may have offsetting derivative liabilities and certain accounts payable balances with certain of these counterpar</w:t>
      </w:r>
      <w:r>
        <w:rPr>
          <w:rFonts w:eastAsia="Times New Roman"/>
          <w:color w:val="000000"/>
          <w:sz w:val="20"/>
          <w:szCs w:val="20"/>
        </w:rPr>
        <w:t>ties, which further mitigates the previously mentioned maximum amount of losses. Certain of the Partnership’s derivative contracts have credit-risk-related contingent features that may require the posting of additional collateral in the event of a downgrad</w:t>
      </w:r>
      <w:r>
        <w:rPr>
          <w:rFonts w:eastAsia="Times New Roman"/>
          <w:color w:val="000000"/>
          <w:sz w:val="20"/>
          <w:szCs w:val="20"/>
        </w:rPr>
        <w:t>e of the Partnership’s debt rating. At March 31, 2022, if the credit-risk-related contingent features were triggered, the amount of collateral required to be posted would not be material.</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Offsetting Derivative Assets and Liabilities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Derivative assets and liabilities are presented net by counterparty on the Condensed Consolidated Balance Sheets if the right of offset exists. We offset amounts recognized for the right to reclaim cash collateral or the obligation to return cash collatera</w:t>
      </w:r>
      <w:r>
        <w:rPr>
          <w:rFonts w:eastAsia="Times New Roman"/>
          <w:color w:val="000000"/>
          <w:sz w:val="20"/>
          <w:szCs w:val="20"/>
        </w:rPr>
        <w:t>l against amounts recognized for derivative instruments executed with the same counterparty. Our derivative instruments include both those that are executed on an exchange through brokers and centrally cleared and over-the-counter transactions. Exchange co</w:t>
      </w:r>
      <w:r>
        <w:rPr>
          <w:rFonts w:eastAsia="Times New Roman"/>
          <w:color w:val="000000"/>
          <w:sz w:val="20"/>
          <w:szCs w:val="20"/>
        </w:rPr>
        <w:t>ntracts utilize a financial intermediary, exchange or clearinghouse to enter, execute or clear the transactions. Over-the-counter contracts are bilateral contracts that are transacted directly with a third party. Certain over-the-counter and exchange contr</w:t>
      </w:r>
      <w:r>
        <w:rPr>
          <w:rFonts w:eastAsia="Times New Roman"/>
          <w:color w:val="000000"/>
          <w:sz w:val="20"/>
          <w:szCs w:val="20"/>
        </w:rPr>
        <w:t>acts contain contractual rights of offset through master netting arrangements, derivative clearing agreements and contract default provisions. In addition, the contracts are subject to conditional rights of offset through counterparty nonperformance, insol</w:t>
      </w:r>
      <w:r>
        <w:rPr>
          <w:rFonts w:eastAsia="Times New Roman"/>
          <w:color w:val="000000"/>
          <w:sz w:val="20"/>
          <w:szCs w:val="20"/>
        </w:rPr>
        <w:t>vency or other conditions.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In general, many of our over-the-counter transactions and all exchange contracts are subject to collateral requirements. Types of collateral generally include cash or letters of credit. Cash collateral paid by us to our over-th</w:t>
      </w:r>
      <w:r>
        <w:rPr>
          <w:rFonts w:eastAsia="Times New Roman"/>
          <w:color w:val="000000"/>
          <w:sz w:val="20"/>
          <w:szCs w:val="20"/>
        </w:rPr>
        <w:t xml:space="preserve">e-counter derivative counterparties, if any, is reflected in the table below to offset derivative liabilities. Cash collateral received by us from our over-the-counter derivative counterparties, if any, is reflected in the table below to offset derivative </w:t>
      </w:r>
      <w:r>
        <w:rPr>
          <w:rFonts w:eastAsia="Times New Roman"/>
          <w:color w:val="000000"/>
          <w:sz w:val="20"/>
          <w:szCs w:val="20"/>
        </w:rPr>
        <w:t xml:space="preserve">assets. Certain other accounts receivable and accounts payable balances recognized on the Condensed Consolidated Balance Sheets with our derivative counterparties are not included in the table below but could reduce our net exposure to such counterparties </w:t>
      </w:r>
      <w:r>
        <w:rPr>
          <w:rFonts w:eastAsia="Times New Roman"/>
          <w:color w:val="000000"/>
          <w:sz w:val="20"/>
          <w:szCs w:val="20"/>
        </w:rPr>
        <w:t>because such balances are subject to master netting or similar arrangements.</w:t>
      </w:r>
    </w:p>
    <w:p w:rsidR="00000000" w:rsidRDefault="00844BCF">
      <w:pPr>
        <w:jc w:val="both"/>
        <w:rPr>
          <w:rFonts w:eastAsia="Times New Roman"/>
        </w:rPr>
      </w:pPr>
    </w:p>
    <w:p w:rsidR="00000000" w:rsidRDefault="00844BCF">
      <w:pPr>
        <w:jc w:val="center"/>
        <w:divId w:val="1451239645"/>
        <w:rPr>
          <w:rFonts w:eastAsia="Times New Roman"/>
        </w:rPr>
      </w:pPr>
      <w:r>
        <w:rPr>
          <w:rFonts w:eastAsia="Times New Roman"/>
          <w:color w:val="000000"/>
          <w:sz w:val="20"/>
          <w:szCs w:val="20"/>
        </w:rPr>
        <w:t>27</w:t>
      </w:r>
    </w:p>
    <w:p w:rsidR="00000000" w:rsidRDefault="00844BCF">
      <w:pPr>
        <w:rPr>
          <w:rFonts w:eastAsia="Times New Roman"/>
        </w:rPr>
      </w:pPr>
      <w:r>
        <w:rPr>
          <w:rFonts w:eastAsia="Times New Roman"/>
        </w:rPr>
        <w:pict>
          <v:rect id="_x0000_i1053" style="width:0;height:1.5pt" o:hralign="center" o:hrstd="t" o:hr="t" fillcolor="#a0a0a0" stroked="f"/>
        </w:pict>
      </w:r>
    </w:p>
    <w:p w:rsidR="00000000" w:rsidRDefault="00844BCF">
      <w:pPr>
        <w:divId w:val="314383378"/>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889223571"/>
        <w:rPr>
          <w:rFonts w:eastAsia="Times New Roman"/>
        </w:rPr>
      </w:pPr>
      <w:r>
        <w:rPr>
          <w:rFonts w:eastAsia="Times New Roman"/>
          <w:b/>
          <w:bCs/>
          <w:color w:val="000000"/>
          <w:sz w:val="20"/>
          <w:szCs w:val="20"/>
        </w:rPr>
        <w:t>UGI CORPORATION AND SUBSIDIARIES</w:t>
      </w:r>
    </w:p>
    <w:p w:rsidR="00000000" w:rsidRDefault="00844BCF">
      <w:pPr>
        <w:jc w:val="center"/>
        <w:divId w:val="2042658237"/>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1889223571"/>
        <w:rPr>
          <w:rFonts w:eastAsia="Times New Roman"/>
        </w:rPr>
      </w:pPr>
      <w:r>
        <w:rPr>
          <w:rFonts w:eastAsia="Times New Roman"/>
          <w:color w:val="000000"/>
          <w:sz w:val="20"/>
          <w:szCs w:val="20"/>
        </w:rPr>
        <w:t>(unaudited)</w:t>
      </w:r>
    </w:p>
    <w:p w:rsidR="00000000" w:rsidRDefault="00844BCF">
      <w:pPr>
        <w:jc w:val="center"/>
        <w:divId w:val="1889223571"/>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rPr>
          <w:rFonts w:eastAsia="Times New Roman"/>
        </w:rPr>
      </w:pPr>
      <w:r>
        <w:rPr>
          <w:rFonts w:eastAsia="Times New Roman"/>
          <w:b/>
          <w:bCs/>
          <w:color w:val="000000"/>
          <w:sz w:val="20"/>
          <w:szCs w:val="20"/>
        </w:rPr>
        <w:t>Fair Value of Derivative Instruments</w:t>
      </w:r>
    </w:p>
    <w:p w:rsidR="00000000" w:rsidRDefault="00844BCF">
      <w:pPr>
        <w:jc w:val="both"/>
        <w:rPr>
          <w:rFonts w:eastAsia="Times New Roman"/>
        </w:rPr>
      </w:pPr>
      <w:r>
        <w:rPr>
          <w:rFonts w:eastAsia="Times New Roman"/>
          <w:color w:val="000000"/>
          <w:sz w:val="20"/>
          <w:szCs w:val="20"/>
        </w:rPr>
        <w:t> </w:t>
      </w:r>
    </w:p>
    <w:p w:rsidR="00000000" w:rsidRDefault="00844BCF">
      <w:pPr>
        <w:jc w:val="both"/>
        <w:rPr>
          <w:rFonts w:eastAsia="Times New Roman"/>
        </w:rPr>
      </w:pPr>
      <w:r>
        <w:rPr>
          <w:rFonts w:eastAsia="Times New Roman"/>
          <w:color w:val="000000"/>
          <w:sz w:val="20"/>
          <w:szCs w:val="20"/>
        </w:rPr>
        <w:t>The following table presents the Company</w:t>
      </w:r>
      <w:r>
        <w:rPr>
          <w:rFonts w:eastAsia="Times New Roman"/>
          <w:color w:val="000000"/>
          <w:sz w:val="20"/>
          <w:szCs w:val="20"/>
        </w:rPr>
        <w:t>’s derivative assets and liabilities by type, as well as the effects of offsetting:</w:t>
      </w:r>
    </w:p>
    <w:tbl>
      <w:tblPr>
        <w:tblW w:w="5000" w:type="pct"/>
        <w:tblCellMar>
          <w:top w:w="15" w:type="dxa"/>
          <w:left w:w="15" w:type="dxa"/>
          <w:bottom w:w="15" w:type="dxa"/>
          <w:right w:w="15" w:type="dxa"/>
        </w:tblCellMar>
        <w:tblLook w:val="04A0" w:firstRow="1" w:lastRow="0" w:firstColumn="1" w:lastColumn="0" w:noHBand="0" w:noVBand="1"/>
      </w:tblPr>
      <w:tblGrid>
        <w:gridCol w:w="38"/>
        <w:gridCol w:w="4813"/>
        <w:gridCol w:w="37"/>
        <w:gridCol w:w="36"/>
        <w:gridCol w:w="36"/>
        <w:gridCol w:w="36"/>
        <w:gridCol w:w="120"/>
        <w:gridCol w:w="874"/>
        <w:gridCol w:w="36"/>
        <w:gridCol w:w="36"/>
        <w:gridCol w:w="36"/>
        <w:gridCol w:w="36"/>
        <w:gridCol w:w="121"/>
        <w:gridCol w:w="874"/>
        <w:gridCol w:w="36"/>
        <w:gridCol w:w="36"/>
        <w:gridCol w:w="36"/>
        <w:gridCol w:w="36"/>
        <w:gridCol w:w="121"/>
        <w:gridCol w:w="876"/>
        <w:gridCol w:w="36"/>
      </w:tblGrid>
      <w:tr w:rsidR="00000000">
        <w:trPr>
          <w:divId w:val="178395589"/>
        </w:trPr>
        <w:tc>
          <w:tcPr>
            <w:tcW w:w="50" w:type="pct"/>
            <w:vAlign w:val="center"/>
            <w:hideMark/>
          </w:tcPr>
          <w:p w:rsidR="00000000" w:rsidRDefault="00844BCF">
            <w:pPr>
              <w:jc w:val="both"/>
              <w:rPr>
                <w:rFonts w:eastAsia="Times New Roman"/>
              </w:rPr>
            </w:pPr>
          </w:p>
        </w:tc>
        <w:tc>
          <w:tcPr>
            <w:tcW w:w="29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March 31,</w:t>
            </w:r>
            <w:r>
              <w:rPr>
                <w:rFonts w:eastAsia="Times New Roman"/>
                <w:color w:val="000000"/>
                <w:sz w:val="20"/>
                <w:szCs w:val="20"/>
              </w:rPr>
              <w:b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September 30,</w:t>
            </w:r>
            <w:r>
              <w:rPr>
                <w:rFonts w:eastAsia="Times New Roman"/>
                <w:color w:val="000000"/>
                <w:sz w:val="20"/>
                <w:szCs w:val="20"/>
              </w:rPr>
              <w:b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March 31,</w:t>
            </w:r>
            <w:r>
              <w:rPr>
                <w:rFonts w:eastAsia="Times New Roman"/>
                <w:color w:val="000000"/>
                <w:sz w:val="20"/>
                <w:szCs w:val="20"/>
              </w:rPr>
              <w:br/>
              <w:t>2021</w:t>
            </w:r>
          </w:p>
        </w:tc>
      </w:tr>
      <w:tr w:rsidR="00000000">
        <w:trPr>
          <w:divId w:val="178395589"/>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Derivative assets: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178395589"/>
        </w:trPr>
        <w:tc>
          <w:tcPr>
            <w:tcW w:w="0" w:type="auto"/>
            <w:gridSpan w:val="3"/>
            <w:vAlign w:val="center"/>
            <w:hideMark/>
          </w:tcPr>
          <w:p w:rsidR="00000000" w:rsidRDefault="00844BCF">
            <w:pPr>
              <w:spacing w:after="100"/>
              <w:rPr>
                <w:rFonts w:eastAsia="Times New Roman"/>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shd w:val="clear" w:color="auto" w:fill="CCEE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shd w:val="clear" w:color="auto" w:fill="CCEE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178395589"/>
        </w:trPr>
        <w:tc>
          <w:tcPr>
            <w:tcW w:w="0" w:type="auto"/>
            <w:gridSpan w:val="3"/>
            <w:shd w:val="clear" w:color="auto" w:fill="CCEE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1,931 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1,591 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Total derivative assets — gross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Gross amounts offset in the balance sheet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Cash collateral received</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(603)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(468)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Total derivative assets — net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Derivative liabilities: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Derivatives subject to PGC and DS mechanisms: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8395589"/>
        </w:trPr>
        <w:tc>
          <w:tcPr>
            <w:tcW w:w="0" w:type="auto"/>
            <w:gridSpan w:val="3"/>
            <w:shd w:val="clear" w:color="auto" w:fill="FFFF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(304)</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CCEEFF"/>
            <w:tcMar>
              <w:top w:w="30" w:type="dxa"/>
              <w:left w:w="245" w:type="dxa"/>
              <w:bottom w:w="30" w:type="dxa"/>
              <w:right w:w="20" w:type="dxa"/>
            </w:tcMar>
            <w:hideMark/>
          </w:tcPr>
          <w:p w:rsidR="00000000" w:rsidRDefault="00844BCF">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Total derivative liabilities — gross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Gross amounts offset in the balance sheet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Cash collateral pledged</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78395589"/>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Total derivative liabilities — net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jc w:val="center"/>
        <w:divId w:val="857693813"/>
        <w:rPr>
          <w:rFonts w:eastAsia="Times New Roman"/>
        </w:rPr>
      </w:pPr>
      <w:r>
        <w:rPr>
          <w:rFonts w:eastAsia="Times New Roman"/>
          <w:color w:val="000000"/>
          <w:sz w:val="20"/>
          <w:szCs w:val="20"/>
        </w:rPr>
        <w:t>28</w:t>
      </w:r>
    </w:p>
    <w:p w:rsidR="00000000" w:rsidRDefault="00844BCF">
      <w:pPr>
        <w:rPr>
          <w:rFonts w:eastAsia="Times New Roman"/>
        </w:rPr>
      </w:pPr>
      <w:r>
        <w:rPr>
          <w:rFonts w:eastAsia="Times New Roman"/>
        </w:rPr>
        <w:pict>
          <v:rect id="_x0000_i1054" style="width:0;height:1.5pt" o:hralign="center" o:hrstd="t" o:hr="t" fillcolor="#a0a0a0" stroked="f"/>
        </w:pict>
      </w:r>
    </w:p>
    <w:p w:rsidR="00000000" w:rsidRDefault="00844BCF">
      <w:pPr>
        <w:divId w:val="955140560"/>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378626695"/>
        <w:rPr>
          <w:rFonts w:eastAsia="Times New Roman"/>
        </w:rPr>
      </w:pPr>
      <w:r>
        <w:rPr>
          <w:rFonts w:eastAsia="Times New Roman"/>
          <w:b/>
          <w:bCs/>
          <w:color w:val="000000"/>
          <w:sz w:val="20"/>
          <w:szCs w:val="20"/>
        </w:rPr>
        <w:t>UGI CORPORATION AND SUBSIDIARIES</w:t>
      </w:r>
    </w:p>
    <w:p w:rsidR="00000000" w:rsidRDefault="00844BCF">
      <w:pPr>
        <w:jc w:val="center"/>
        <w:divId w:val="1190214679"/>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1378626695"/>
        <w:rPr>
          <w:rFonts w:eastAsia="Times New Roman"/>
        </w:rPr>
      </w:pPr>
      <w:r>
        <w:rPr>
          <w:rFonts w:eastAsia="Times New Roman"/>
          <w:color w:val="000000"/>
          <w:sz w:val="20"/>
          <w:szCs w:val="20"/>
        </w:rPr>
        <w:t>(unaudited)</w:t>
      </w:r>
    </w:p>
    <w:p w:rsidR="00000000" w:rsidRDefault="00844BCF">
      <w:pPr>
        <w:jc w:val="center"/>
        <w:divId w:val="1378626695"/>
        <w:rPr>
          <w:rFonts w:eastAsia="Times New Roman"/>
        </w:rPr>
      </w:pPr>
      <w:r>
        <w:rPr>
          <w:rFonts w:eastAsia="Times New Roman"/>
          <w:color w:val="000000"/>
          <w:sz w:val="20"/>
          <w:szCs w:val="20"/>
        </w:rPr>
        <w:t>(Currency in millions, except per share amounts and where indicated otherwise)</w:t>
      </w:r>
    </w:p>
    <w:p w:rsidR="00000000" w:rsidRDefault="00844BCF">
      <w:pPr>
        <w:divId w:val="1148478473"/>
        <w:rPr>
          <w:rFonts w:eastAsia="Times New Roman"/>
        </w:rPr>
      </w:pPr>
      <w:r>
        <w:rPr>
          <w:rFonts w:eastAsia="Times New Roman"/>
          <w:b/>
          <w:bCs/>
          <w:color w:val="000000"/>
          <w:sz w:val="20"/>
          <w:szCs w:val="20"/>
        </w:rPr>
        <w:t>Effects of Derivative Instruments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following tables provide information on the effects of derivative instruments on the Condensed Consolidated Statements of Income and chan</w:t>
      </w:r>
      <w:r>
        <w:rPr>
          <w:rFonts w:eastAsia="Times New Roman"/>
          <w:color w:val="000000"/>
          <w:sz w:val="20"/>
          <w:szCs w:val="20"/>
        </w:rPr>
        <w:t>ges in AOCI:</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2554"/>
        <w:gridCol w:w="39"/>
        <w:gridCol w:w="36"/>
        <w:gridCol w:w="36"/>
        <w:gridCol w:w="36"/>
        <w:gridCol w:w="121"/>
        <w:gridCol w:w="799"/>
        <w:gridCol w:w="37"/>
        <w:gridCol w:w="36"/>
        <w:gridCol w:w="43"/>
        <w:gridCol w:w="36"/>
        <w:gridCol w:w="120"/>
        <w:gridCol w:w="798"/>
        <w:gridCol w:w="36"/>
        <w:gridCol w:w="36"/>
        <w:gridCol w:w="36"/>
        <w:gridCol w:w="36"/>
        <w:gridCol w:w="121"/>
        <w:gridCol w:w="669"/>
        <w:gridCol w:w="37"/>
        <w:gridCol w:w="37"/>
        <w:gridCol w:w="37"/>
        <w:gridCol w:w="37"/>
        <w:gridCol w:w="120"/>
        <w:gridCol w:w="668"/>
        <w:gridCol w:w="36"/>
        <w:gridCol w:w="36"/>
        <w:gridCol w:w="36"/>
        <w:gridCol w:w="36"/>
        <w:gridCol w:w="50"/>
        <w:gridCol w:w="1438"/>
        <w:gridCol w:w="36"/>
      </w:tblGrid>
      <w:tr w:rsidR="00000000">
        <w:trPr>
          <w:divId w:val="1726181050"/>
          <w:jc w:val="center"/>
        </w:trPr>
        <w:tc>
          <w:tcPr>
            <w:tcW w:w="50" w:type="pct"/>
            <w:vAlign w:val="center"/>
            <w:hideMark/>
          </w:tcPr>
          <w:p w:rsidR="00000000" w:rsidRDefault="00844BCF">
            <w:pPr>
              <w:jc w:val="both"/>
              <w:rPr>
                <w:rFonts w:eastAsia="Times New Roman"/>
              </w:rPr>
            </w:pPr>
          </w:p>
        </w:tc>
        <w:tc>
          <w:tcPr>
            <w:tcW w:w="158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7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u w:val="single"/>
              </w:rPr>
              <w:t>Three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trHeight w:val="70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 xml:space="preserve">Gain </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Location of Loss Reclassified from</w:t>
            </w:r>
            <w:r>
              <w:rPr>
                <w:rFonts w:eastAsia="Times New Roman"/>
                <w:color w:val="000000"/>
                <w:sz w:val="20"/>
                <w:szCs w:val="20"/>
              </w:rPr>
              <w:br/>
              <w:t>AOCI into Income</w:t>
            </w:r>
          </w:p>
        </w:tc>
      </w:tr>
      <w:tr w:rsidR="00000000">
        <w:trPr>
          <w:divId w:val="1726181050"/>
          <w:trHeight w:val="280"/>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vMerge/>
            <w:vAlign w:val="center"/>
            <w:hideMark/>
          </w:tcPr>
          <w:p w:rsidR="00000000" w:rsidRDefault="00844BCF">
            <w:pPr>
              <w:spacing w:after="100"/>
              <w:rPr>
                <w:rFonts w:eastAsia="Times New Roman"/>
              </w:rPr>
            </w:pPr>
          </w:p>
        </w:tc>
      </w:tr>
      <w:tr w:rsidR="00000000">
        <w:trPr>
          <w:divId w:val="1726181050"/>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Interest expense</w:t>
            </w:r>
          </w:p>
        </w:tc>
      </w:tr>
      <w:tr w:rsidR="00000000">
        <w:trPr>
          <w:divId w:val="1726181050"/>
          <w:jc w:val="center"/>
        </w:trPr>
        <w:tc>
          <w:tcPr>
            <w:tcW w:w="0" w:type="auto"/>
            <w:gridSpan w:val="3"/>
            <w:vAlign w:val="center"/>
            <w:hideMark/>
          </w:tcPr>
          <w:p w:rsidR="00000000" w:rsidRDefault="00844BCF">
            <w:pPr>
              <w:spacing w:after="100"/>
              <w:rPr>
                <w:rFonts w:eastAsia="Times New Roman"/>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26181050"/>
          <w:trHeight w:val="18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b/>
                <w:bCs/>
                <w:color w:val="000000"/>
                <w:sz w:val="20"/>
                <w:szCs w:val="20"/>
              </w:rPr>
              <w:t>Net Investment Hedges: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Borders>
              <w:top w:val="single" w:sz="8" w:space="0" w:color="000000"/>
            </w:tcBorders>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trHeight w:val="18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Derivatives Not Designated as Hedging Instruments: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Location of Gain (Loss) Recognized in Income</w:t>
            </w:r>
          </w:p>
        </w:tc>
      </w:tr>
      <w:tr w:rsidR="00000000">
        <w:trPr>
          <w:divId w:val="1726181050"/>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15"/>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Revenues</w:t>
            </w:r>
          </w:p>
        </w:tc>
      </w:tr>
      <w:tr w:rsidR="00000000">
        <w:trPr>
          <w:divId w:val="1726181050"/>
          <w:jc w:val="center"/>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599 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Cost of sales</w:t>
            </w:r>
          </w:p>
        </w:tc>
      </w:tr>
      <w:tr w:rsidR="00000000">
        <w:trPr>
          <w:divId w:val="1726181050"/>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Operating and administrative expenses</w:t>
            </w:r>
          </w:p>
        </w:tc>
      </w:tr>
      <w:tr w:rsidR="00000000">
        <w:trPr>
          <w:divId w:val="1726181050"/>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 non-operating income (expense), net</w:t>
            </w:r>
          </w:p>
        </w:tc>
      </w:tr>
      <w:tr w:rsidR="00000000">
        <w:trPr>
          <w:divId w:val="1726181050"/>
          <w:jc w:val="center"/>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trHeight w:val="28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u w:val="single"/>
              </w:rPr>
              <w:t>Six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trHeight w:val="70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w:t>
            </w:r>
            <w:r>
              <w:rPr>
                <w:rFonts w:eastAsia="Times New Roman"/>
                <w:color w:val="000000"/>
                <w:sz w:val="20"/>
                <w:szCs w:val="20"/>
              </w:rPr>
              <w:br/>
              <w:t>AOCI</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Loss</w:t>
            </w:r>
            <w:r>
              <w:rPr>
                <w:rFonts w:eastAsia="Times New Roman"/>
                <w:color w:val="000000"/>
                <w:sz w:val="20"/>
                <w:szCs w:val="20"/>
              </w:rPr>
              <w:br/>
              <w:t>Reclassified from</w:t>
            </w:r>
            <w:r>
              <w:rPr>
                <w:rFonts w:eastAsia="Times New Roman"/>
                <w:color w:val="000000"/>
                <w:sz w:val="20"/>
                <w:szCs w:val="20"/>
              </w:rPr>
              <w:br/>
              <w:t>AOCI into Income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Location of Loss Reclassified from</w:t>
            </w:r>
            <w:r>
              <w:rPr>
                <w:rFonts w:eastAsia="Times New Roman"/>
                <w:color w:val="000000"/>
                <w:sz w:val="20"/>
                <w:szCs w:val="20"/>
              </w:rPr>
              <w:br/>
              <w:t>AOCI into Income</w:t>
            </w:r>
          </w:p>
        </w:tc>
      </w:tr>
      <w:tr w:rsidR="00000000">
        <w:trPr>
          <w:divId w:val="1726181050"/>
          <w:trHeight w:val="240"/>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vMerge/>
            <w:vAlign w:val="center"/>
            <w:hideMark/>
          </w:tcPr>
          <w:p w:rsidR="00000000" w:rsidRDefault="00844BCF">
            <w:pPr>
              <w:spacing w:after="100"/>
              <w:rPr>
                <w:rFonts w:eastAsia="Times New Roman"/>
              </w:rPr>
            </w:pPr>
          </w:p>
        </w:tc>
      </w:tr>
      <w:tr w:rsidR="00000000">
        <w:trPr>
          <w:divId w:val="1726181050"/>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Interest expense </w:t>
            </w:r>
          </w:p>
        </w:tc>
      </w:tr>
      <w:tr w:rsidR="00000000">
        <w:trPr>
          <w:divId w:val="1726181050"/>
          <w:jc w:val="center"/>
        </w:trPr>
        <w:tc>
          <w:tcPr>
            <w:tcW w:w="0" w:type="auto"/>
            <w:gridSpan w:val="3"/>
            <w:vAlign w:val="center"/>
            <w:hideMark/>
          </w:tcPr>
          <w:p w:rsidR="00000000" w:rsidRDefault="00844BCF">
            <w:pPr>
              <w:spacing w:after="100"/>
              <w:rPr>
                <w:rFonts w:eastAsia="Times New Roman"/>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726181050"/>
          <w:trHeight w:val="18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Net Investment Hedges: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Borders>
              <w:top w:val="single" w:sz="8" w:space="0" w:color="000000"/>
            </w:tcBorders>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Foreign currency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trHeight w:val="18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Gain (Loss)</w:t>
            </w:r>
            <w:r>
              <w:rPr>
                <w:rFonts w:eastAsia="Times New Roman"/>
                <w:color w:val="000000"/>
                <w:sz w:val="20"/>
                <w:szCs w:val="20"/>
              </w:rPr>
              <w:br/>
              <w:t>Recognized in Income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Derivatives Not Designated as Hedging Instruments: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Location of Gain (Loss) Recognized in Income</w:t>
            </w:r>
          </w:p>
        </w:tc>
      </w:tr>
      <w:tr w:rsidR="00000000">
        <w:trPr>
          <w:divId w:val="1726181050"/>
          <w:jc w:val="center"/>
        </w:trPr>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15"/>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Revenues</w:t>
            </w:r>
          </w:p>
        </w:tc>
      </w:tr>
      <w:tr w:rsidR="00000000">
        <w:trPr>
          <w:divId w:val="1726181050"/>
          <w:jc w:val="center"/>
        </w:trPr>
        <w:tc>
          <w:tcPr>
            <w:tcW w:w="0" w:type="auto"/>
            <w:gridSpan w:val="3"/>
            <w:shd w:val="clear" w:color="auto" w:fill="FFFFFF"/>
            <w:tcMar>
              <w:top w:w="30" w:type="dxa"/>
              <w:left w:w="155" w:type="dxa"/>
              <w:bottom w:w="30" w:type="dxa"/>
              <w:right w:w="20" w:type="dxa"/>
            </w:tcMar>
            <w:hideMark/>
          </w:tcPr>
          <w:p w:rsidR="00000000" w:rsidRDefault="00844BCF">
            <w:pPr>
              <w:spacing w:after="100"/>
              <w:rPr>
                <w:rFonts w:eastAsia="Times New Roman"/>
              </w:rPr>
            </w:pPr>
            <w:r>
              <w:rPr>
                <w:rFonts w:eastAsia="Times New Roman"/>
                <w:color w:val="000000"/>
                <w:sz w:val="20"/>
                <w:szCs w:val="20"/>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326 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Cost of sales</w:t>
            </w:r>
          </w:p>
        </w:tc>
      </w:tr>
      <w:tr w:rsidR="00000000">
        <w:trPr>
          <w:divId w:val="1726181050"/>
          <w:jc w:val="center"/>
        </w:trPr>
        <w:tc>
          <w:tcPr>
            <w:tcW w:w="0" w:type="auto"/>
            <w:gridSpan w:val="3"/>
            <w:vAlign w:val="center"/>
            <w:hideMark/>
          </w:tcPr>
          <w:p w:rsidR="00000000" w:rsidRDefault="00844BCF">
            <w:pPr>
              <w:spacing w:after="100"/>
              <w:rPr>
                <w:rFonts w:eastAsia="Times New Roman"/>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1726181050"/>
          <w:jc w:val="center"/>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 operating income, net</w:t>
            </w:r>
          </w:p>
        </w:tc>
      </w:tr>
      <w:tr w:rsidR="00000000">
        <w:trPr>
          <w:divId w:val="1726181050"/>
          <w:jc w:val="center"/>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Foreign currency contracts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 non-operating income (expense), net</w:t>
            </w:r>
          </w:p>
        </w:tc>
      </w:tr>
      <w:tr w:rsidR="00000000">
        <w:trPr>
          <w:divId w:val="1726181050"/>
          <w:jc w:val="center"/>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bl>
    <w:p w:rsidR="00000000" w:rsidRDefault="00844BCF">
      <w:pPr>
        <w:jc w:val="center"/>
        <w:rPr>
          <w:rFonts w:eastAsia="Times New Roman"/>
        </w:rPr>
      </w:pPr>
    </w:p>
    <w:p w:rsidR="00000000" w:rsidRDefault="00844BCF">
      <w:pPr>
        <w:jc w:val="both"/>
        <w:rPr>
          <w:rFonts w:eastAsia="Times New Roman"/>
        </w:rPr>
      </w:pPr>
      <w:r>
        <w:rPr>
          <w:rFonts w:eastAsia="Times New Roman"/>
          <w:color w:val="000000"/>
          <w:sz w:val="20"/>
          <w:szCs w:val="20"/>
        </w:rPr>
        <w:t>We are also a party to a number of other contracts that have elements of a derivative instrument. However, these contracts qualify for NPNS exception accounting because they provide for the delivery of products or services in quantities that are expected t</w:t>
      </w:r>
      <w:r>
        <w:rPr>
          <w:rFonts w:eastAsia="Times New Roman"/>
          <w:color w:val="000000"/>
          <w:sz w:val="20"/>
          <w:szCs w:val="20"/>
        </w:rPr>
        <w:t>o be used in the normal course of operating our business and the price in the contract is based on an underlying that is directly associated with the price of the product or service being purchased or sold. These contracts include, among others, binding pu</w:t>
      </w:r>
      <w:r>
        <w:rPr>
          <w:rFonts w:eastAsia="Times New Roman"/>
          <w:color w:val="000000"/>
          <w:sz w:val="20"/>
          <w:szCs w:val="20"/>
        </w:rPr>
        <w:t>rchase orders, contracts that provide for the purchase and delivery, or sale, of energy products, and service contracts that require the counterparty to provide commodity storage, transportation or capacity service to meet our normal sales commitments.</w:t>
      </w:r>
    </w:p>
    <w:p w:rsidR="00000000" w:rsidRDefault="00844BCF">
      <w:pPr>
        <w:jc w:val="both"/>
        <w:rPr>
          <w:rFonts w:eastAsia="Times New Roman"/>
        </w:rPr>
      </w:pPr>
    </w:p>
    <w:p w:rsidR="00000000" w:rsidRDefault="00844BCF">
      <w:pPr>
        <w:jc w:val="center"/>
        <w:divId w:val="1902672316"/>
        <w:rPr>
          <w:rFonts w:eastAsia="Times New Roman"/>
        </w:rPr>
      </w:pPr>
      <w:r>
        <w:rPr>
          <w:rFonts w:eastAsia="Times New Roman"/>
          <w:color w:val="000000"/>
          <w:sz w:val="20"/>
          <w:szCs w:val="20"/>
        </w:rPr>
        <w:t>2</w:t>
      </w:r>
      <w:r>
        <w:rPr>
          <w:rFonts w:eastAsia="Times New Roman"/>
          <w:color w:val="000000"/>
          <w:sz w:val="20"/>
          <w:szCs w:val="20"/>
        </w:rPr>
        <w:t>9</w:t>
      </w:r>
    </w:p>
    <w:p w:rsidR="00000000" w:rsidRDefault="00844BCF">
      <w:pPr>
        <w:rPr>
          <w:rFonts w:eastAsia="Times New Roman"/>
        </w:rPr>
      </w:pPr>
      <w:r>
        <w:rPr>
          <w:rFonts w:eastAsia="Times New Roman"/>
        </w:rPr>
        <w:pict>
          <v:rect id="_x0000_i1055" style="width:0;height:1.5pt" o:hralign="center" o:hrstd="t" o:hr="t" fillcolor="#a0a0a0" stroked="f"/>
        </w:pict>
      </w:r>
    </w:p>
    <w:p w:rsidR="00000000" w:rsidRDefault="00844BCF">
      <w:pPr>
        <w:divId w:val="150080573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224488128"/>
        <w:rPr>
          <w:rFonts w:eastAsia="Times New Roman"/>
        </w:rPr>
      </w:pPr>
      <w:r>
        <w:rPr>
          <w:rFonts w:eastAsia="Times New Roman"/>
          <w:b/>
          <w:bCs/>
          <w:color w:val="000000"/>
          <w:sz w:val="20"/>
          <w:szCs w:val="20"/>
        </w:rPr>
        <w:t>UGI CORPORATION AND SUBSIDIARIES</w:t>
      </w:r>
    </w:p>
    <w:p w:rsidR="00000000" w:rsidRDefault="00844BCF">
      <w:pPr>
        <w:jc w:val="center"/>
        <w:divId w:val="411853217"/>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224488128"/>
        <w:rPr>
          <w:rFonts w:eastAsia="Times New Roman"/>
        </w:rPr>
      </w:pPr>
      <w:r>
        <w:rPr>
          <w:rFonts w:eastAsia="Times New Roman"/>
          <w:color w:val="000000"/>
          <w:sz w:val="20"/>
          <w:szCs w:val="20"/>
        </w:rPr>
        <w:t>(unaudited)</w:t>
      </w:r>
    </w:p>
    <w:p w:rsidR="00000000" w:rsidRDefault="00844BCF">
      <w:pPr>
        <w:jc w:val="center"/>
        <w:divId w:val="224488128"/>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rPr>
          <w:rFonts w:eastAsia="Times New Roman"/>
        </w:rPr>
      </w:pPr>
      <w:r>
        <w:rPr>
          <w:rFonts w:eastAsia="Times New Roman"/>
          <w:b/>
          <w:bCs/>
          <w:color w:val="000000"/>
          <w:sz w:val="20"/>
          <w:szCs w:val="20"/>
          <w:u w:val="single"/>
        </w:rPr>
        <w:t>Note 13 — Accumulated Other Comprehensive Income (Loss)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tables below present changes in AOCI, net of tax:</w:t>
      </w:r>
    </w:p>
    <w:tbl>
      <w:tblPr>
        <w:tblW w:w="4963" w:type="pct"/>
        <w:tblCellMar>
          <w:top w:w="15" w:type="dxa"/>
          <w:left w:w="15" w:type="dxa"/>
          <w:bottom w:w="15" w:type="dxa"/>
          <w:right w:w="15" w:type="dxa"/>
        </w:tblCellMar>
        <w:tblLook w:val="04A0" w:firstRow="1" w:lastRow="0" w:firstColumn="1" w:lastColumn="0" w:noHBand="0" w:noVBand="1"/>
      </w:tblPr>
      <w:tblGrid>
        <w:gridCol w:w="39"/>
        <w:gridCol w:w="4022"/>
        <w:gridCol w:w="38"/>
        <w:gridCol w:w="36"/>
        <w:gridCol w:w="36"/>
        <w:gridCol w:w="36"/>
        <w:gridCol w:w="121"/>
        <w:gridCol w:w="996"/>
        <w:gridCol w:w="36"/>
        <w:gridCol w:w="36"/>
        <w:gridCol w:w="36"/>
        <w:gridCol w:w="36"/>
        <w:gridCol w:w="121"/>
        <w:gridCol w:w="807"/>
        <w:gridCol w:w="36"/>
        <w:gridCol w:w="36"/>
        <w:gridCol w:w="36"/>
        <w:gridCol w:w="36"/>
        <w:gridCol w:w="121"/>
        <w:gridCol w:w="675"/>
        <w:gridCol w:w="36"/>
        <w:gridCol w:w="36"/>
        <w:gridCol w:w="36"/>
        <w:gridCol w:w="36"/>
        <w:gridCol w:w="120"/>
        <w:gridCol w:w="609"/>
        <w:gridCol w:w="36"/>
      </w:tblGrid>
      <w:tr w:rsidR="00000000">
        <w:trPr>
          <w:divId w:val="1367834263"/>
        </w:trPr>
        <w:tc>
          <w:tcPr>
            <w:tcW w:w="50" w:type="pct"/>
            <w:vAlign w:val="center"/>
            <w:hideMark/>
          </w:tcPr>
          <w:p w:rsidR="00000000" w:rsidRDefault="00844BCF">
            <w:pPr>
              <w:jc w:val="both"/>
              <w:rPr>
                <w:rFonts w:eastAsia="Times New Roman"/>
              </w:rPr>
            </w:pPr>
          </w:p>
        </w:tc>
        <w:tc>
          <w:tcPr>
            <w:tcW w:w="248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3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367834263"/>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Three Months Ended March 31, 2022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Total</w:t>
            </w:r>
          </w:p>
        </w:tc>
      </w:tr>
      <w:tr w:rsidR="00000000">
        <w:trPr>
          <w:divId w:val="136783426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AOCI — December 31, 2021</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367834263"/>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 comprehensive income (loss)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367834263"/>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367834263"/>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367834263"/>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AOCI — March 31, 2022</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367834263"/>
          <w:trHeight w:val="24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367834263"/>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Three Months Ended March 31, 2021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Total</w:t>
            </w:r>
          </w:p>
        </w:tc>
      </w:tr>
      <w:tr w:rsidR="00000000">
        <w:trPr>
          <w:divId w:val="136783426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AOCI — December 31, 2020</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367834263"/>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 comprehensive income (loss)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367834263"/>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367834263"/>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367834263"/>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AOCI — March 31, 2021</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4133"/>
        <w:gridCol w:w="144"/>
        <w:gridCol w:w="144"/>
        <w:gridCol w:w="144"/>
        <w:gridCol w:w="144"/>
        <w:gridCol w:w="144"/>
        <w:gridCol w:w="963"/>
        <w:gridCol w:w="144"/>
        <w:gridCol w:w="144"/>
        <w:gridCol w:w="144"/>
        <w:gridCol w:w="144"/>
        <w:gridCol w:w="144"/>
        <w:gridCol w:w="879"/>
        <w:gridCol w:w="144"/>
        <w:gridCol w:w="144"/>
        <w:gridCol w:w="144"/>
        <w:gridCol w:w="144"/>
        <w:gridCol w:w="144"/>
        <w:gridCol w:w="879"/>
        <w:gridCol w:w="144"/>
        <w:gridCol w:w="144"/>
        <w:gridCol w:w="144"/>
        <w:gridCol w:w="144"/>
        <w:gridCol w:w="144"/>
        <w:gridCol w:w="722"/>
        <w:gridCol w:w="144"/>
      </w:tblGrid>
      <w:tr w:rsidR="00000000">
        <w:trPr>
          <w:jc w:val="center"/>
        </w:trPr>
        <w:tc>
          <w:tcPr>
            <w:tcW w:w="50" w:type="pct"/>
            <w:vAlign w:val="center"/>
            <w:hideMark/>
          </w:tcPr>
          <w:p w:rsidR="00000000" w:rsidRDefault="00844BCF">
            <w:pPr>
              <w:jc w:val="both"/>
              <w:rPr>
                <w:rFonts w:eastAsia="Times New Roman"/>
              </w:rPr>
            </w:pPr>
          </w:p>
        </w:tc>
        <w:tc>
          <w:tcPr>
            <w:tcW w:w="249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3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Six Months Ended March 31, 2022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Total</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AOCI — </w:t>
            </w:r>
            <w:r>
              <w:rPr>
                <w:rFonts w:eastAsia="Times New Roman"/>
                <w:color w:val="000000"/>
                <w:sz w:val="20"/>
                <w:szCs w:val="20"/>
              </w:rPr>
              <w:t>September 30, 2021</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 comprehensive income (loss)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Other comprehensive income (loss) attributable to UGI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AOCI — March 31, 2022</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Six Months Ended March 31, 2021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Postretirement Benefit Plans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Derivative Instruments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Foreign Currency</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Total</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AOCI — September 30, 2020</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 comprehensive income before reclassification adjustments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xml:space="preserve">Other comprehensive income attributable to UGI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AOCI — March 31, 2021</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u w:val="single"/>
        </w:rPr>
        <w:t>Note 14 — Segment Information</w:t>
      </w:r>
      <w:r>
        <w:rPr>
          <w:rFonts w:eastAsia="Times New Roman"/>
          <w:b/>
          <w:bCs/>
          <w:color w:val="000000"/>
          <w:sz w:val="20"/>
          <w:szCs w:val="20"/>
        </w:rPr>
        <w:t xml:space="preserve">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Our operations comprise four </w:t>
      </w:r>
      <w:r>
        <w:rPr>
          <w:rFonts w:eastAsia="Times New Roman"/>
          <w:color w:val="000000"/>
          <w:sz w:val="20"/>
          <w:szCs w:val="20"/>
        </w:rPr>
        <w:t>reportable segments generally based upon products or services sold, geographic location and regulatory environment: (1) AmeriGas Propane; (2) UGI International; (3) Midstream &amp; Marketing; and (4) Utilities.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Corporate &amp; Other includes certain items that a</w:t>
      </w:r>
      <w:r>
        <w:rPr>
          <w:rFonts w:eastAsia="Times New Roman"/>
          <w:color w:val="000000"/>
          <w:sz w:val="20"/>
          <w:szCs w:val="20"/>
        </w:rPr>
        <w:t>re excluded from our CODM’s assessment of segment performance (see below for further details on these items). Corporate &amp; Other also includes the net expenses of UGI’s captive general liability insurance company, UGI’s corporate headquarters facility and U</w:t>
      </w:r>
      <w:r>
        <w:rPr>
          <w:rFonts w:eastAsia="Times New Roman"/>
          <w:color w:val="000000"/>
          <w:sz w:val="20"/>
          <w:szCs w:val="20"/>
        </w:rPr>
        <w:t xml:space="preserve">GI’s unallocated corporate and general expenses as well as interest expense on UGI debt that is not allocated. Corporate &amp; Other assets principally comprise cash and cash equivalents of UGI and </w:t>
      </w:r>
    </w:p>
    <w:p w:rsidR="00000000" w:rsidRDefault="00844BCF">
      <w:pPr>
        <w:jc w:val="center"/>
        <w:divId w:val="1252352301"/>
        <w:rPr>
          <w:rFonts w:eastAsia="Times New Roman"/>
        </w:rPr>
      </w:pPr>
      <w:r>
        <w:rPr>
          <w:rFonts w:eastAsia="Times New Roman"/>
          <w:color w:val="000000"/>
          <w:sz w:val="20"/>
          <w:szCs w:val="20"/>
        </w:rPr>
        <w:t>30</w:t>
      </w:r>
    </w:p>
    <w:p w:rsidR="00000000" w:rsidRDefault="00844BCF">
      <w:pPr>
        <w:rPr>
          <w:rFonts w:eastAsia="Times New Roman"/>
        </w:rPr>
      </w:pPr>
      <w:r>
        <w:rPr>
          <w:rFonts w:eastAsia="Times New Roman"/>
        </w:rPr>
        <w:pict>
          <v:rect id="_x0000_i1056" style="width:0;height:1.5pt" o:hralign="center" o:hrstd="t" o:hr="t" fillcolor="#a0a0a0" stroked="f"/>
        </w:pict>
      </w:r>
    </w:p>
    <w:p w:rsidR="00000000" w:rsidRDefault="00844BCF">
      <w:pPr>
        <w:divId w:val="2073960837"/>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414596969"/>
        <w:rPr>
          <w:rFonts w:eastAsia="Times New Roman"/>
        </w:rPr>
      </w:pPr>
      <w:r>
        <w:rPr>
          <w:rFonts w:eastAsia="Times New Roman"/>
          <w:b/>
          <w:bCs/>
          <w:color w:val="000000"/>
          <w:sz w:val="20"/>
          <w:szCs w:val="20"/>
        </w:rPr>
        <w:t>UGI CORPORATION AND SUBSIDIARIES</w:t>
      </w:r>
    </w:p>
    <w:p w:rsidR="00000000" w:rsidRDefault="00844BCF">
      <w:pPr>
        <w:jc w:val="center"/>
        <w:divId w:val="153880340"/>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414596969"/>
        <w:rPr>
          <w:rFonts w:eastAsia="Times New Roman"/>
        </w:rPr>
      </w:pPr>
      <w:r>
        <w:rPr>
          <w:rFonts w:eastAsia="Times New Roman"/>
          <w:color w:val="000000"/>
          <w:sz w:val="20"/>
          <w:szCs w:val="20"/>
        </w:rPr>
        <w:t>(unaudited)</w:t>
      </w:r>
    </w:p>
    <w:p w:rsidR="00000000" w:rsidRDefault="00844BCF">
      <w:pPr>
        <w:jc w:val="center"/>
        <w:divId w:val="414596969"/>
        <w:rPr>
          <w:rFonts w:eastAsia="Times New Roman"/>
        </w:rPr>
      </w:pPr>
      <w:r>
        <w:rPr>
          <w:rFonts w:eastAsia="Times New Roman"/>
          <w:color w:val="000000"/>
          <w:sz w:val="20"/>
          <w:szCs w:val="20"/>
        </w:rPr>
        <w:t>(Currency in millions, except per share amounts and where indicated otherwise)</w:t>
      </w:r>
    </w:p>
    <w:p w:rsidR="00000000" w:rsidRDefault="00844BCF">
      <w:pPr>
        <w:jc w:val="both"/>
        <w:rPr>
          <w:rFonts w:eastAsia="Times New Roman"/>
        </w:rPr>
      </w:pPr>
      <w:r>
        <w:rPr>
          <w:rFonts w:eastAsia="Times New Roman"/>
          <w:color w:val="000000"/>
          <w:sz w:val="20"/>
          <w:szCs w:val="20"/>
        </w:rPr>
        <w:t xml:space="preserve">its captive insurance company, and UGI corporate headquarters’ assets. The accounting policies of our reportable segments are the same as those described in Note 2, “Summary of </w:t>
      </w:r>
      <w:r>
        <w:rPr>
          <w:rFonts w:eastAsia="Times New Roman"/>
          <w:color w:val="000000"/>
          <w:sz w:val="20"/>
          <w:szCs w:val="20"/>
        </w:rPr>
        <w:t xml:space="preserve">Significant Accounting Policies,” in the Company’s 2021 Annual Report. </w:t>
      </w:r>
    </w:p>
    <w:tbl>
      <w:tblPr>
        <w:tblW w:w="5000" w:type="pct"/>
        <w:tblCellMar>
          <w:top w:w="15" w:type="dxa"/>
          <w:left w:w="15" w:type="dxa"/>
          <w:bottom w:w="15" w:type="dxa"/>
          <w:right w:w="15" w:type="dxa"/>
        </w:tblCellMar>
        <w:tblLook w:val="04A0" w:firstRow="1" w:lastRow="0" w:firstColumn="1" w:lastColumn="0" w:noHBand="0" w:noVBand="1"/>
      </w:tblPr>
      <w:tblGrid>
        <w:gridCol w:w="39"/>
        <w:gridCol w:w="105"/>
        <w:gridCol w:w="1919"/>
        <w:gridCol w:w="38"/>
        <w:gridCol w:w="36"/>
        <w:gridCol w:w="36"/>
        <w:gridCol w:w="36"/>
        <w:gridCol w:w="100"/>
        <w:gridCol w:w="316"/>
        <w:gridCol w:w="84"/>
        <w:gridCol w:w="36"/>
        <w:gridCol w:w="24"/>
        <w:gridCol w:w="12"/>
        <w:gridCol w:w="36"/>
        <w:gridCol w:w="36"/>
        <w:gridCol w:w="60"/>
        <w:gridCol w:w="41"/>
        <w:gridCol w:w="103"/>
        <w:gridCol w:w="144"/>
        <w:gridCol w:w="144"/>
        <w:gridCol w:w="367"/>
        <w:gridCol w:w="36"/>
        <w:gridCol w:w="75"/>
        <w:gridCol w:w="98"/>
        <w:gridCol w:w="47"/>
        <w:gridCol w:w="36"/>
        <w:gridCol w:w="61"/>
        <w:gridCol w:w="40"/>
        <w:gridCol w:w="104"/>
        <w:gridCol w:w="144"/>
        <w:gridCol w:w="144"/>
        <w:gridCol w:w="144"/>
        <w:gridCol w:w="73"/>
        <w:gridCol w:w="36"/>
        <w:gridCol w:w="36"/>
        <w:gridCol w:w="36"/>
        <w:gridCol w:w="36"/>
        <w:gridCol w:w="101"/>
        <w:gridCol w:w="379"/>
        <w:gridCol w:w="144"/>
        <w:gridCol w:w="144"/>
        <w:gridCol w:w="88"/>
        <w:gridCol w:w="36"/>
        <w:gridCol w:w="36"/>
        <w:gridCol w:w="2"/>
        <w:gridCol w:w="34"/>
        <w:gridCol w:w="36"/>
        <w:gridCol w:w="74"/>
        <w:gridCol w:w="27"/>
        <w:gridCol w:w="117"/>
        <w:gridCol w:w="531"/>
        <w:gridCol w:w="36"/>
        <w:gridCol w:w="36"/>
        <w:gridCol w:w="21"/>
        <w:gridCol w:w="15"/>
        <w:gridCol w:w="36"/>
        <w:gridCol w:w="93"/>
        <w:gridCol w:w="8"/>
        <w:gridCol w:w="136"/>
        <w:gridCol w:w="144"/>
        <w:gridCol w:w="144"/>
        <w:gridCol w:w="59"/>
        <w:gridCol w:w="36"/>
        <w:gridCol w:w="36"/>
        <w:gridCol w:w="13"/>
        <w:gridCol w:w="23"/>
        <w:gridCol w:w="36"/>
        <w:gridCol w:w="101"/>
        <w:gridCol w:w="512"/>
        <w:gridCol w:w="144"/>
        <w:gridCol w:w="34"/>
        <w:gridCol w:w="36"/>
        <w:gridCol w:w="74"/>
        <w:gridCol w:w="144"/>
        <w:gridCol w:w="144"/>
        <w:gridCol w:w="144"/>
        <w:gridCol w:w="684"/>
        <w:gridCol w:w="144"/>
        <w:gridCol w:w="144"/>
        <w:gridCol w:w="144"/>
        <w:gridCol w:w="144"/>
        <w:gridCol w:w="144"/>
        <w:gridCol w:w="599"/>
        <w:gridCol w:w="144"/>
        <w:gridCol w:w="144"/>
        <w:gridCol w:w="144"/>
        <w:gridCol w:w="144"/>
        <w:gridCol w:w="144"/>
        <w:gridCol w:w="649"/>
        <w:gridCol w:w="144"/>
      </w:tblGrid>
      <w:tr w:rsidR="00000000">
        <w:trPr>
          <w:gridAfter w:val="18"/>
          <w:divId w:val="1131283160"/>
        </w:trPr>
        <w:tc>
          <w:tcPr>
            <w:tcW w:w="50" w:type="pct"/>
            <w:vAlign w:val="center"/>
            <w:hideMark/>
          </w:tcPr>
          <w:p w:rsidR="00000000" w:rsidRDefault="00844BCF">
            <w:pPr>
              <w:jc w:val="both"/>
              <w:rPr>
                <w:rFonts w:eastAsia="Times New Roman"/>
              </w:rPr>
            </w:pPr>
          </w:p>
        </w:tc>
        <w:tc>
          <w:tcPr>
            <w:tcW w:w="1494" w:type="pct"/>
            <w:gridSpan w:val="2"/>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47" w:type="pct"/>
            <w:gridSpan w:val="2"/>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gridSpan w:val="2"/>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gridSpan w:val="2"/>
            <w:vAlign w:val="center"/>
            <w:hideMark/>
          </w:tcPr>
          <w:p w:rsidR="00000000" w:rsidRDefault="00844BCF">
            <w:pPr>
              <w:spacing w:after="100"/>
              <w:rPr>
                <w:rFonts w:eastAsia="Times New Roman"/>
                <w:sz w:val="20"/>
                <w:szCs w:val="20"/>
              </w:rPr>
            </w:pPr>
          </w:p>
        </w:tc>
        <w:tc>
          <w:tcPr>
            <w:tcW w:w="420" w:type="pct"/>
            <w:gridSpan w:val="4"/>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8" w:type="pct"/>
            <w:gridSpan w:val="2"/>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gridSpan w:val="2"/>
            <w:vAlign w:val="center"/>
            <w:hideMark/>
          </w:tcPr>
          <w:p w:rsidR="00000000" w:rsidRDefault="00844BCF">
            <w:pPr>
              <w:spacing w:after="100"/>
              <w:rPr>
                <w:rFonts w:eastAsia="Times New Roman"/>
                <w:sz w:val="20"/>
                <w:szCs w:val="20"/>
              </w:rPr>
            </w:pPr>
          </w:p>
        </w:tc>
        <w:tc>
          <w:tcPr>
            <w:tcW w:w="376" w:type="pct"/>
            <w:gridSpan w:val="5"/>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05" w:type="pct"/>
            <w:gridSpan w:val="4"/>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19" w:type="pct"/>
            <w:gridSpan w:val="2"/>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gridSpan w:val="2"/>
            <w:vAlign w:val="center"/>
            <w:hideMark/>
          </w:tcPr>
          <w:p w:rsidR="00000000" w:rsidRDefault="00844BCF">
            <w:pPr>
              <w:spacing w:after="100"/>
              <w:rPr>
                <w:rFonts w:eastAsia="Times New Roman"/>
                <w:sz w:val="20"/>
                <w:szCs w:val="20"/>
              </w:rPr>
            </w:pPr>
          </w:p>
        </w:tc>
        <w:tc>
          <w:tcPr>
            <w:tcW w:w="412" w:type="pct"/>
            <w:gridSpan w:val="2"/>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19" w:type="pct"/>
            <w:gridSpan w:val="2"/>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gridSpan w:val="2"/>
            <w:vAlign w:val="center"/>
            <w:hideMark/>
          </w:tcPr>
          <w:p w:rsidR="00000000" w:rsidRDefault="00844BCF">
            <w:pPr>
              <w:spacing w:after="100"/>
              <w:rPr>
                <w:rFonts w:eastAsia="Times New Roman"/>
                <w:sz w:val="20"/>
                <w:szCs w:val="20"/>
              </w:rPr>
            </w:pPr>
          </w:p>
        </w:tc>
        <w:tc>
          <w:tcPr>
            <w:tcW w:w="361" w:type="pct"/>
            <w:gridSpan w:val="4"/>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gridSpan w:val="2"/>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91" w:type="pct"/>
            <w:gridSpan w:val="3"/>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gridAfter w:val="18"/>
          <w:divId w:val="1131283160"/>
        </w:trPr>
        <w:tc>
          <w:tcPr>
            <w:tcW w:w="0" w:type="auto"/>
            <w:gridSpan w:val="4"/>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Three Months Ended March 31, 2022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Total</w:t>
            </w:r>
          </w:p>
        </w:tc>
        <w:tc>
          <w:tcPr>
            <w:tcW w:w="0" w:type="auto"/>
            <w:gridSpan w:val="4"/>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Eliminations</w:t>
            </w:r>
          </w:p>
        </w:tc>
        <w:tc>
          <w:tcPr>
            <w:tcW w:w="0" w:type="auto"/>
            <w:gridSpan w:val="4"/>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UGI International</w:t>
            </w:r>
          </w:p>
        </w:tc>
        <w:tc>
          <w:tcPr>
            <w:tcW w:w="0" w:type="auto"/>
            <w:gridSpan w:val="4"/>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 xml:space="preserve">Midstream &amp; </w:t>
            </w:r>
            <w:r>
              <w:rPr>
                <w:rFonts w:eastAsia="Times New Roman"/>
                <w:color w:val="000000"/>
                <w:sz w:val="16"/>
                <w:szCs w:val="16"/>
              </w:rPr>
              <w:t>Marketing</w:t>
            </w:r>
          </w:p>
        </w:tc>
        <w:tc>
          <w:tcPr>
            <w:tcW w:w="0" w:type="auto"/>
            <w:gridSpan w:val="4"/>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Utilities</w:t>
            </w:r>
          </w:p>
        </w:tc>
        <w:tc>
          <w:tcPr>
            <w:tcW w:w="0" w:type="auto"/>
            <w:gridSpan w:val="4"/>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844BCF">
        <w:trPr>
          <w:gridAfter w:val="18"/>
          <w:divId w:val="1131283160"/>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gridAfter w:val="18"/>
          <w:divId w:val="1131283160"/>
        </w:trPr>
        <w:tc>
          <w:tcPr>
            <w:tcW w:w="0" w:type="auto"/>
            <w:gridSpan w:val="4"/>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(b)</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5"/>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gridAfter w:val="18"/>
          <w:divId w:val="1131283160"/>
        </w:trPr>
        <w:tc>
          <w:tcPr>
            <w:tcW w:w="0" w:type="auto"/>
            <w:gridSpan w:val="4"/>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1,470 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(178)</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(b)</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5"/>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545 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930 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540 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380 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(747)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gridAfter w:val="18"/>
          <w:divId w:val="1131283160"/>
        </w:trPr>
        <w:tc>
          <w:tcPr>
            <w:tcW w:w="0" w:type="auto"/>
            <w:gridSpan w:val="4"/>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1,332 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5"/>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227 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718 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gridAfter w:val="18"/>
          <w:divId w:val="1131283160"/>
        </w:trPr>
        <w:tc>
          <w:tcPr>
            <w:tcW w:w="0" w:type="auto"/>
            <w:gridSpan w:val="4"/>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gridAfter w:val="18"/>
          <w:divId w:val="1131283160"/>
        </w:trPr>
        <w:tc>
          <w:tcPr>
            <w:tcW w:w="0" w:type="auto"/>
            <w:gridSpan w:val="4"/>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7"/>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8"/>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6"/>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5"/>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7"/>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5"/>
            <w:vAlign w:val="center"/>
            <w:hideMark/>
          </w:tcPr>
          <w:p w:rsidR="00000000" w:rsidRDefault="00844BCF">
            <w:pPr>
              <w:spacing w:after="100"/>
              <w:rPr>
                <w:rFonts w:eastAsia="Times New Roman"/>
                <w:sz w:val="20"/>
                <w:szCs w:val="20"/>
              </w:rPr>
            </w:pPr>
          </w:p>
        </w:tc>
      </w:tr>
      <w:tr w:rsidR="00000000">
        <w:trPr>
          <w:gridAfter w:val="18"/>
          <w:divId w:val="1131283160"/>
        </w:trPr>
        <w:tc>
          <w:tcPr>
            <w:tcW w:w="0" w:type="auto"/>
            <w:gridSpan w:val="4"/>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gridAfter w:val="18"/>
          <w:divId w:val="1131283160"/>
        </w:trPr>
        <w:tc>
          <w:tcPr>
            <w:tcW w:w="0" w:type="auto"/>
            <w:gridSpan w:val="4"/>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gridAfter w:val="18"/>
          <w:divId w:val="1131283160"/>
        </w:trPr>
        <w:tc>
          <w:tcPr>
            <w:tcW w:w="0" w:type="auto"/>
            <w:gridSpan w:val="4"/>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gridAfter w:val="18"/>
          <w:divId w:val="1131283160"/>
        </w:trPr>
        <w:tc>
          <w:tcPr>
            <w:tcW w:w="0" w:type="auto"/>
            <w:gridSpan w:val="4"/>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5"/>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gridAfter w:val="18"/>
          <w:divId w:val="1131283160"/>
        </w:trPr>
        <w:tc>
          <w:tcPr>
            <w:tcW w:w="0" w:type="auto"/>
            <w:gridSpan w:val="4"/>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7"/>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8"/>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6"/>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5"/>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7"/>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5"/>
            <w:vAlign w:val="center"/>
            <w:hideMark/>
          </w:tcPr>
          <w:p w:rsidR="00000000" w:rsidRDefault="00844BCF">
            <w:pPr>
              <w:spacing w:after="100"/>
              <w:rPr>
                <w:rFonts w:eastAsia="Times New Roman"/>
                <w:sz w:val="20"/>
                <w:szCs w:val="20"/>
              </w:rPr>
            </w:pPr>
          </w:p>
        </w:tc>
      </w:tr>
      <w:tr w:rsidR="00844BCF">
        <w:trPr>
          <w:gridAfter w:val="18"/>
          <w:divId w:val="1131283160"/>
        </w:trPr>
        <w:tc>
          <w:tcPr>
            <w:tcW w:w="0" w:type="auto"/>
            <w:gridSpan w:val="4"/>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5"/>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gridAfter w:val="18"/>
          <w:divId w:val="1131283160"/>
        </w:trPr>
        <w:tc>
          <w:tcPr>
            <w:tcW w:w="0" w:type="auto"/>
            <w:gridSpan w:val="4"/>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5"/>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3"/>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50" w:type="pct"/>
            <w:gridSpan w:val="2"/>
            <w:vAlign w:val="center"/>
            <w:hideMark/>
          </w:tcPr>
          <w:p w:rsidR="00000000" w:rsidRDefault="00844BCF">
            <w:pPr>
              <w:jc w:val="both"/>
              <w:rPr>
                <w:rFonts w:eastAsia="Times New Roman"/>
              </w:rPr>
            </w:pPr>
          </w:p>
        </w:tc>
        <w:tc>
          <w:tcPr>
            <w:tcW w:w="1494" w:type="pct"/>
            <w:gridSpan w:val="7"/>
            <w:vAlign w:val="center"/>
            <w:hideMark/>
          </w:tcPr>
          <w:p w:rsidR="00000000" w:rsidRDefault="00844BCF">
            <w:pPr>
              <w:spacing w:after="100"/>
              <w:rPr>
                <w:rFonts w:eastAsia="Times New Roman"/>
                <w:sz w:val="20"/>
                <w:szCs w:val="20"/>
              </w:rPr>
            </w:pPr>
          </w:p>
        </w:tc>
        <w:tc>
          <w:tcPr>
            <w:tcW w:w="5" w:type="pct"/>
            <w:gridSpan w:val="3"/>
            <w:vAlign w:val="center"/>
            <w:hideMark/>
          </w:tcPr>
          <w:p w:rsidR="00000000" w:rsidRDefault="00844BCF">
            <w:pPr>
              <w:spacing w:after="100"/>
              <w:rPr>
                <w:rFonts w:eastAsia="Times New Roman"/>
                <w:sz w:val="20"/>
                <w:szCs w:val="20"/>
              </w:rPr>
            </w:pPr>
          </w:p>
        </w:tc>
        <w:tc>
          <w:tcPr>
            <w:tcW w:w="5" w:type="pct"/>
            <w:gridSpan w:val="4"/>
            <w:vAlign w:val="center"/>
            <w:hideMark/>
          </w:tcPr>
          <w:p w:rsidR="00000000" w:rsidRDefault="00844BCF">
            <w:pPr>
              <w:spacing w:after="100"/>
              <w:rPr>
                <w:rFonts w:eastAsia="Times New Roman"/>
                <w:sz w:val="20"/>
                <w:szCs w:val="20"/>
              </w:rPr>
            </w:pPr>
          </w:p>
        </w:tc>
        <w:tc>
          <w:tcPr>
            <w:tcW w:w="26" w:type="pct"/>
            <w:gridSpan w:val="2"/>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47" w:type="pct"/>
            <w:gridSpan w:val="4"/>
            <w:vAlign w:val="center"/>
            <w:hideMark/>
          </w:tcPr>
          <w:p w:rsidR="00000000" w:rsidRDefault="00844BCF">
            <w:pPr>
              <w:spacing w:after="100"/>
              <w:rPr>
                <w:rFonts w:eastAsia="Times New Roman"/>
                <w:sz w:val="20"/>
                <w:szCs w:val="20"/>
              </w:rPr>
            </w:pPr>
          </w:p>
        </w:tc>
        <w:tc>
          <w:tcPr>
            <w:tcW w:w="5" w:type="pct"/>
            <w:gridSpan w:val="3"/>
            <w:vAlign w:val="center"/>
            <w:hideMark/>
          </w:tcPr>
          <w:p w:rsidR="00000000" w:rsidRDefault="00844BCF">
            <w:pPr>
              <w:spacing w:after="100"/>
              <w:rPr>
                <w:rFonts w:eastAsia="Times New Roman"/>
                <w:sz w:val="20"/>
                <w:szCs w:val="20"/>
              </w:rPr>
            </w:pPr>
          </w:p>
        </w:tc>
        <w:tc>
          <w:tcPr>
            <w:tcW w:w="5" w:type="pct"/>
            <w:gridSpan w:val="2"/>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20" w:type="pct"/>
            <w:gridSpan w:val="7"/>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8" w:type="pct"/>
            <w:gridSpan w:val="4"/>
            <w:vAlign w:val="center"/>
            <w:hideMark/>
          </w:tcPr>
          <w:p w:rsidR="00000000" w:rsidRDefault="00844BCF">
            <w:pPr>
              <w:spacing w:after="100"/>
              <w:rPr>
                <w:rFonts w:eastAsia="Times New Roman"/>
                <w:sz w:val="20"/>
                <w:szCs w:val="20"/>
              </w:rPr>
            </w:pPr>
          </w:p>
        </w:tc>
        <w:tc>
          <w:tcPr>
            <w:tcW w:w="5" w:type="pct"/>
            <w:gridSpan w:val="3"/>
            <w:vAlign w:val="center"/>
            <w:hideMark/>
          </w:tcPr>
          <w:p w:rsidR="00000000" w:rsidRDefault="00844BCF">
            <w:pPr>
              <w:spacing w:after="100"/>
              <w:rPr>
                <w:rFonts w:eastAsia="Times New Roman"/>
                <w:sz w:val="20"/>
                <w:szCs w:val="20"/>
              </w:rPr>
            </w:pPr>
          </w:p>
        </w:tc>
        <w:tc>
          <w:tcPr>
            <w:tcW w:w="50" w:type="pct"/>
            <w:gridSpan w:val="2"/>
            <w:vAlign w:val="center"/>
            <w:hideMark/>
          </w:tcPr>
          <w:p w:rsidR="00000000" w:rsidRDefault="00844BCF">
            <w:pPr>
              <w:spacing w:after="100"/>
              <w:rPr>
                <w:rFonts w:eastAsia="Times New Roman"/>
                <w:sz w:val="20"/>
                <w:szCs w:val="20"/>
              </w:rPr>
            </w:pPr>
          </w:p>
        </w:tc>
        <w:tc>
          <w:tcPr>
            <w:tcW w:w="376" w:type="pct"/>
            <w:gridSpan w:val="4"/>
            <w:vAlign w:val="center"/>
            <w:hideMark/>
          </w:tcPr>
          <w:p w:rsidR="00000000" w:rsidRDefault="00844BCF">
            <w:pPr>
              <w:spacing w:after="100"/>
              <w:rPr>
                <w:rFonts w:eastAsia="Times New Roman"/>
                <w:sz w:val="20"/>
                <w:szCs w:val="20"/>
              </w:rPr>
            </w:pPr>
          </w:p>
        </w:tc>
        <w:tc>
          <w:tcPr>
            <w:tcW w:w="5" w:type="pct"/>
            <w:gridSpan w:val="3"/>
            <w:vAlign w:val="center"/>
            <w:hideMark/>
          </w:tcPr>
          <w:p w:rsidR="00000000" w:rsidRDefault="00844BCF">
            <w:pPr>
              <w:spacing w:after="100"/>
              <w:rPr>
                <w:rFonts w:eastAsia="Times New Roman"/>
                <w:sz w:val="20"/>
                <w:szCs w:val="20"/>
              </w:rPr>
            </w:pPr>
          </w:p>
        </w:tc>
        <w:tc>
          <w:tcPr>
            <w:tcW w:w="5" w:type="pct"/>
            <w:gridSpan w:val="2"/>
            <w:vAlign w:val="center"/>
            <w:hideMark/>
          </w:tcPr>
          <w:p w:rsidR="00000000" w:rsidRDefault="00844BCF">
            <w:pPr>
              <w:spacing w:after="100"/>
              <w:rPr>
                <w:rFonts w:eastAsia="Times New Roman"/>
                <w:sz w:val="20"/>
                <w:szCs w:val="20"/>
              </w:rPr>
            </w:pPr>
          </w:p>
        </w:tc>
        <w:tc>
          <w:tcPr>
            <w:tcW w:w="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gridSpan w:val="4"/>
            <w:vAlign w:val="center"/>
            <w:hideMark/>
          </w:tcPr>
          <w:p w:rsidR="00000000" w:rsidRDefault="00844BCF">
            <w:pPr>
              <w:spacing w:after="100"/>
              <w:rPr>
                <w:rFonts w:eastAsia="Times New Roman"/>
                <w:sz w:val="20"/>
                <w:szCs w:val="20"/>
              </w:rPr>
            </w:pPr>
          </w:p>
        </w:tc>
        <w:tc>
          <w:tcPr>
            <w:tcW w:w="405" w:type="pct"/>
            <w:gridSpan w:val="4"/>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gridSpan w:val="3"/>
            <w:vAlign w:val="center"/>
            <w:hideMark/>
          </w:tcPr>
          <w:p w:rsidR="00000000" w:rsidRDefault="00844BCF">
            <w:pPr>
              <w:spacing w:after="100"/>
              <w:rPr>
                <w:rFonts w:eastAsia="Times New Roman"/>
                <w:sz w:val="20"/>
                <w:szCs w:val="20"/>
              </w:rPr>
            </w:pPr>
          </w:p>
        </w:tc>
        <w:tc>
          <w:tcPr>
            <w:tcW w:w="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1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6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9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c>
          <w:tcPr>
            <w:tcW w:w="0" w:type="auto"/>
            <w:gridSpan w:val="12"/>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Three Months Ended March 31, 2021</w:t>
            </w:r>
          </w:p>
        </w:tc>
        <w:tc>
          <w:tcPr>
            <w:tcW w:w="0" w:type="auto"/>
            <w:gridSpan w:val="7"/>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8"/>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Total</w:t>
            </w:r>
          </w:p>
        </w:tc>
        <w:tc>
          <w:tcPr>
            <w:tcW w:w="0" w:type="auto"/>
            <w:gridSpan w:val="4"/>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Eliminations</w:t>
            </w:r>
          </w:p>
        </w:tc>
        <w:tc>
          <w:tcPr>
            <w:tcW w:w="0" w:type="auto"/>
            <w:gridSpan w:val="8"/>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4"/>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UGI International</w:t>
            </w:r>
          </w:p>
        </w:tc>
        <w:tc>
          <w:tcPr>
            <w:tcW w:w="0" w:type="auto"/>
            <w:gridSpan w:val="5"/>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000000">
        <w:tc>
          <w:tcPr>
            <w:tcW w:w="0" w:type="auto"/>
            <w:gridSpan w:val="12"/>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Revenues from external customers</w:t>
            </w:r>
          </w:p>
        </w:tc>
        <w:tc>
          <w:tcPr>
            <w:tcW w:w="0" w:type="auto"/>
            <w:gridSpan w:val="7"/>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2,581 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940 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Intersegment revenues</w:t>
            </w:r>
          </w:p>
        </w:tc>
        <w:tc>
          <w:tcPr>
            <w:tcW w:w="0" w:type="auto"/>
            <w:gridSpan w:val="7"/>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7"/>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(b)</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Cost of sales</w:t>
            </w:r>
          </w:p>
        </w:tc>
        <w:tc>
          <w:tcPr>
            <w:tcW w:w="0" w:type="auto"/>
            <w:gridSpan w:val="7"/>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1,274 </w:t>
            </w:r>
          </w:p>
        </w:tc>
        <w:tc>
          <w:tcPr>
            <w:tcW w:w="0" w:type="auto"/>
            <w:gridSpan w:val="3"/>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7"/>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(b)</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431 </w:t>
            </w:r>
          </w:p>
        </w:tc>
        <w:tc>
          <w:tcPr>
            <w:tcW w:w="0" w:type="auto"/>
            <w:gridSpan w:val="3"/>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491 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343 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202 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(76)</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12"/>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xml:space="preserve">Operating income </w:t>
            </w:r>
          </w:p>
        </w:tc>
        <w:tc>
          <w:tcPr>
            <w:tcW w:w="0" w:type="auto"/>
            <w:gridSpan w:val="7"/>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671 </w:t>
            </w:r>
          </w:p>
        </w:tc>
        <w:tc>
          <w:tcPr>
            <w:tcW w:w="0" w:type="auto"/>
            <w:gridSpan w:val="3"/>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7"/>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239 </w:t>
            </w:r>
          </w:p>
        </w:tc>
        <w:tc>
          <w:tcPr>
            <w:tcW w:w="0" w:type="auto"/>
            <w:gridSpan w:val="3"/>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12"/>
            <w:vAlign w:val="center"/>
            <w:hideMark/>
          </w:tcPr>
          <w:p w:rsidR="00000000" w:rsidRDefault="00844BCF">
            <w:pPr>
              <w:spacing w:after="100"/>
              <w:jc w:val="right"/>
              <w:rPr>
                <w:rFonts w:eastAsia="Times New Roman"/>
                <w:sz w:val="20"/>
                <w:szCs w:val="20"/>
              </w:rPr>
            </w:pPr>
          </w:p>
        </w:tc>
        <w:tc>
          <w:tcPr>
            <w:tcW w:w="0" w:type="auto"/>
            <w:gridSpan w:val="7"/>
            <w:vAlign w:val="center"/>
            <w:hideMark/>
          </w:tcPr>
          <w:p w:rsidR="00000000" w:rsidRDefault="00844BCF">
            <w:pPr>
              <w:spacing w:after="100"/>
              <w:rPr>
                <w:rFonts w:eastAsia="Times New Roman"/>
                <w:sz w:val="20"/>
                <w:szCs w:val="20"/>
              </w:rPr>
            </w:pPr>
          </w:p>
        </w:tc>
        <w:tc>
          <w:tcPr>
            <w:tcW w:w="0" w:type="auto"/>
            <w:gridSpan w:val="8"/>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8"/>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5"/>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c>
          <w:tcPr>
            <w:tcW w:w="0" w:type="auto"/>
            <w:gridSpan w:val="12"/>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Income from equity investees</w:t>
            </w:r>
          </w:p>
        </w:tc>
        <w:tc>
          <w:tcPr>
            <w:tcW w:w="0" w:type="auto"/>
            <w:gridSpan w:val="7"/>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10 </w:t>
            </w:r>
          </w:p>
        </w:tc>
        <w:tc>
          <w:tcPr>
            <w:tcW w:w="0" w:type="auto"/>
            <w:gridSpan w:val="3"/>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12"/>
            <w:vAlign w:val="center"/>
            <w:hideMark/>
          </w:tcPr>
          <w:p w:rsidR="00000000" w:rsidRDefault="00844BCF">
            <w:pPr>
              <w:spacing w:after="100"/>
              <w:jc w:val="right"/>
              <w:rPr>
                <w:rFonts w:eastAsia="Times New Roman"/>
                <w:sz w:val="20"/>
                <w:szCs w:val="20"/>
              </w:rPr>
            </w:pPr>
          </w:p>
        </w:tc>
        <w:tc>
          <w:tcPr>
            <w:tcW w:w="0" w:type="auto"/>
            <w:gridSpan w:val="7"/>
            <w:vAlign w:val="center"/>
            <w:hideMark/>
          </w:tcPr>
          <w:p w:rsidR="00000000" w:rsidRDefault="00844BCF">
            <w:pPr>
              <w:spacing w:after="100"/>
              <w:rPr>
                <w:rFonts w:eastAsia="Times New Roman"/>
                <w:sz w:val="20"/>
                <w:szCs w:val="20"/>
              </w:rPr>
            </w:pPr>
          </w:p>
        </w:tc>
        <w:tc>
          <w:tcPr>
            <w:tcW w:w="0" w:type="auto"/>
            <w:gridSpan w:val="8"/>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8"/>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5"/>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c>
          <w:tcPr>
            <w:tcW w:w="0" w:type="auto"/>
            <w:gridSpan w:val="12"/>
            <w:vAlign w:val="center"/>
            <w:hideMark/>
          </w:tcPr>
          <w:p w:rsidR="00000000" w:rsidRDefault="00844BCF">
            <w:pPr>
              <w:spacing w:after="100"/>
              <w:rPr>
                <w:rFonts w:eastAsia="Times New Roman"/>
                <w:sz w:val="20"/>
                <w:szCs w:val="20"/>
              </w:rPr>
            </w:pPr>
          </w:p>
        </w:tc>
        <w:tc>
          <w:tcPr>
            <w:tcW w:w="0" w:type="auto"/>
            <w:gridSpan w:val="7"/>
            <w:vAlign w:val="center"/>
            <w:hideMark/>
          </w:tcPr>
          <w:p w:rsidR="00000000" w:rsidRDefault="00844BCF">
            <w:pPr>
              <w:spacing w:after="100"/>
              <w:rPr>
                <w:rFonts w:eastAsia="Times New Roman"/>
                <w:sz w:val="20"/>
                <w:szCs w:val="20"/>
              </w:rPr>
            </w:pPr>
          </w:p>
        </w:tc>
        <w:tc>
          <w:tcPr>
            <w:tcW w:w="0" w:type="auto"/>
            <w:gridSpan w:val="8"/>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8"/>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5"/>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c>
          <w:tcPr>
            <w:tcW w:w="0" w:type="auto"/>
            <w:gridSpan w:val="12"/>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 non-operating income, net</w:t>
            </w:r>
          </w:p>
        </w:tc>
        <w:tc>
          <w:tcPr>
            <w:tcW w:w="0" w:type="auto"/>
            <w:gridSpan w:val="7"/>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18 </w:t>
            </w:r>
          </w:p>
        </w:tc>
        <w:tc>
          <w:tcPr>
            <w:tcW w:w="0" w:type="auto"/>
            <w:gridSpan w:val="3"/>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12"/>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Earnings before interest expense and income taxes</w:t>
            </w:r>
          </w:p>
        </w:tc>
        <w:tc>
          <w:tcPr>
            <w:tcW w:w="0" w:type="auto"/>
            <w:gridSpan w:val="7"/>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699 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239 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12"/>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Interest expense</w:t>
            </w:r>
          </w:p>
        </w:tc>
        <w:tc>
          <w:tcPr>
            <w:tcW w:w="0" w:type="auto"/>
            <w:gridSpan w:val="7"/>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(78)</w:t>
            </w:r>
          </w:p>
        </w:tc>
        <w:tc>
          <w:tcPr>
            <w:tcW w:w="0" w:type="auto"/>
            <w:gridSpan w:val="3"/>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(40)</w:t>
            </w:r>
          </w:p>
        </w:tc>
        <w:tc>
          <w:tcPr>
            <w:tcW w:w="0" w:type="auto"/>
            <w:gridSpan w:val="3"/>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12"/>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Income before income taxes</w:t>
            </w:r>
          </w:p>
        </w:tc>
        <w:tc>
          <w:tcPr>
            <w:tcW w:w="0" w:type="auto"/>
            <w:gridSpan w:val="7"/>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621 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199 </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12"/>
            <w:vAlign w:val="center"/>
            <w:hideMark/>
          </w:tcPr>
          <w:p w:rsidR="00000000" w:rsidRDefault="00844BCF">
            <w:pPr>
              <w:spacing w:after="100"/>
              <w:jc w:val="right"/>
              <w:rPr>
                <w:rFonts w:eastAsia="Times New Roman"/>
                <w:sz w:val="20"/>
                <w:szCs w:val="20"/>
              </w:rPr>
            </w:pPr>
          </w:p>
        </w:tc>
        <w:tc>
          <w:tcPr>
            <w:tcW w:w="0" w:type="auto"/>
            <w:gridSpan w:val="7"/>
            <w:vAlign w:val="center"/>
            <w:hideMark/>
          </w:tcPr>
          <w:p w:rsidR="00000000" w:rsidRDefault="00844BCF">
            <w:pPr>
              <w:spacing w:after="100"/>
              <w:rPr>
                <w:rFonts w:eastAsia="Times New Roman"/>
                <w:sz w:val="20"/>
                <w:szCs w:val="20"/>
              </w:rPr>
            </w:pPr>
          </w:p>
        </w:tc>
        <w:tc>
          <w:tcPr>
            <w:tcW w:w="0" w:type="auto"/>
            <w:gridSpan w:val="8"/>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8"/>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4"/>
            <w:vAlign w:val="center"/>
            <w:hideMark/>
          </w:tcPr>
          <w:p w:rsidR="00000000" w:rsidRDefault="00844BCF">
            <w:pPr>
              <w:spacing w:after="100"/>
              <w:rPr>
                <w:rFonts w:eastAsia="Times New Roman"/>
                <w:sz w:val="20"/>
                <w:szCs w:val="20"/>
              </w:rPr>
            </w:pPr>
          </w:p>
        </w:tc>
        <w:tc>
          <w:tcPr>
            <w:tcW w:w="0" w:type="auto"/>
            <w:gridSpan w:val="9"/>
            <w:vAlign w:val="center"/>
            <w:hideMark/>
          </w:tcPr>
          <w:p w:rsidR="00000000" w:rsidRDefault="00844BCF">
            <w:pPr>
              <w:spacing w:after="100"/>
              <w:rPr>
                <w:rFonts w:eastAsia="Times New Roman"/>
                <w:sz w:val="20"/>
                <w:szCs w:val="20"/>
              </w:rPr>
            </w:pPr>
          </w:p>
        </w:tc>
        <w:tc>
          <w:tcPr>
            <w:tcW w:w="0" w:type="auto"/>
            <w:gridSpan w:val="5"/>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c>
          <w:tcPr>
            <w:tcW w:w="0" w:type="auto"/>
            <w:gridSpan w:val="12"/>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Depreciation and amortization</w:t>
            </w:r>
          </w:p>
        </w:tc>
        <w:tc>
          <w:tcPr>
            <w:tcW w:w="0" w:type="auto"/>
            <w:gridSpan w:val="7"/>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126 </w:t>
            </w:r>
          </w:p>
        </w:tc>
        <w:tc>
          <w:tcPr>
            <w:tcW w:w="0" w:type="auto"/>
            <w:gridSpan w:val="3"/>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7"/>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44 </w:t>
            </w:r>
          </w:p>
        </w:tc>
        <w:tc>
          <w:tcPr>
            <w:tcW w:w="0" w:type="auto"/>
            <w:gridSpan w:val="3"/>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12"/>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Capital expenditures (including the effects of accruals)</w:t>
            </w:r>
          </w:p>
        </w:tc>
        <w:tc>
          <w:tcPr>
            <w:tcW w:w="0" w:type="auto"/>
            <w:gridSpan w:val="7"/>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124 </w:t>
            </w:r>
          </w:p>
        </w:tc>
        <w:tc>
          <w:tcPr>
            <w:tcW w:w="0" w:type="auto"/>
            <w:gridSpan w:val="3"/>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7"/>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30 </w:t>
            </w:r>
          </w:p>
        </w:tc>
        <w:tc>
          <w:tcPr>
            <w:tcW w:w="0" w:type="auto"/>
            <w:gridSpan w:val="3"/>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gridSpan w:val="4"/>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942"/>
        <w:gridCol w:w="39"/>
        <w:gridCol w:w="36"/>
        <w:gridCol w:w="36"/>
        <w:gridCol w:w="36"/>
        <w:gridCol w:w="100"/>
        <w:gridCol w:w="480"/>
        <w:gridCol w:w="36"/>
        <w:gridCol w:w="36"/>
        <w:gridCol w:w="36"/>
        <w:gridCol w:w="36"/>
        <w:gridCol w:w="101"/>
        <w:gridCol w:w="758"/>
        <w:gridCol w:w="36"/>
        <w:gridCol w:w="75"/>
        <w:gridCol w:w="145"/>
        <w:gridCol w:w="36"/>
        <w:gridCol w:w="101"/>
        <w:gridCol w:w="609"/>
        <w:gridCol w:w="36"/>
        <w:gridCol w:w="36"/>
        <w:gridCol w:w="36"/>
        <w:gridCol w:w="36"/>
        <w:gridCol w:w="101"/>
        <w:gridCol w:w="755"/>
        <w:gridCol w:w="36"/>
        <w:gridCol w:w="36"/>
        <w:gridCol w:w="36"/>
        <w:gridCol w:w="36"/>
        <w:gridCol w:w="101"/>
        <w:gridCol w:w="648"/>
        <w:gridCol w:w="36"/>
        <w:gridCol w:w="36"/>
        <w:gridCol w:w="36"/>
        <w:gridCol w:w="36"/>
        <w:gridCol w:w="101"/>
        <w:gridCol w:w="483"/>
        <w:gridCol w:w="36"/>
        <w:gridCol w:w="36"/>
        <w:gridCol w:w="36"/>
        <w:gridCol w:w="36"/>
        <w:gridCol w:w="101"/>
        <w:gridCol w:w="690"/>
        <w:gridCol w:w="36"/>
      </w:tblGrid>
      <w:tr w:rsidR="00000000">
        <w:tc>
          <w:tcPr>
            <w:tcW w:w="50" w:type="pct"/>
            <w:vAlign w:val="center"/>
            <w:hideMark/>
          </w:tcPr>
          <w:p w:rsidR="00000000" w:rsidRDefault="00844BCF">
            <w:pPr>
              <w:jc w:val="both"/>
              <w:rPr>
                <w:rFonts w:eastAsia="Times New Roman"/>
              </w:rPr>
            </w:pPr>
          </w:p>
        </w:tc>
        <w:tc>
          <w:tcPr>
            <w:tcW w:w="149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4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2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7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0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1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6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9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Six Months Ended March 31, 2022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Eliminations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844BCF">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1,826 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2,273 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232 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3,590 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963 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1,723 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953 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580 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(334)</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1,264 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313 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189 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287 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316 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Loss on extinguishments of debt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 non-operating income, net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1,287 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844BCF">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257 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345 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212 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As of March 31, 2022</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844BCF">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Total assets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17,777 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4,563 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4,905 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3,195 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5,106 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bl>
    <w:p w:rsidR="00000000" w:rsidRDefault="00844BCF">
      <w:pPr>
        <w:jc w:val="center"/>
        <w:divId w:val="426077632"/>
        <w:rPr>
          <w:rFonts w:eastAsia="Times New Roman"/>
        </w:rPr>
      </w:pPr>
      <w:r>
        <w:rPr>
          <w:rFonts w:eastAsia="Times New Roman"/>
          <w:color w:val="000000"/>
          <w:sz w:val="20"/>
          <w:szCs w:val="20"/>
        </w:rPr>
        <w:t>31</w:t>
      </w:r>
    </w:p>
    <w:p w:rsidR="00000000" w:rsidRDefault="00844BCF">
      <w:pPr>
        <w:rPr>
          <w:rFonts w:eastAsia="Times New Roman"/>
        </w:rPr>
      </w:pPr>
      <w:r>
        <w:rPr>
          <w:rFonts w:eastAsia="Times New Roman"/>
        </w:rPr>
        <w:pict>
          <v:rect id="_x0000_i1057" style="width:0;height:1.5pt" o:hralign="center" o:hrstd="t" o:hr="t" fillcolor="#a0a0a0" stroked="f"/>
        </w:pict>
      </w:r>
    </w:p>
    <w:p w:rsidR="00000000" w:rsidRDefault="00844BCF">
      <w:pPr>
        <w:divId w:val="451562158"/>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534228353"/>
        <w:rPr>
          <w:rFonts w:eastAsia="Times New Roman"/>
        </w:rPr>
      </w:pPr>
      <w:r>
        <w:rPr>
          <w:rFonts w:eastAsia="Times New Roman"/>
          <w:b/>
          <w:bCs/>
          <w:color w:val="000000"/>
          <w:sz w:val="20"/>
          <w:szCs w:val="20"/>
        </w:rPr>
        <w:t>UGI CORPORATION AND SUBSIDIARIES</w:t>
      </w:r>
    </w:p>
    <w:p w:rsidR="00000000" w:rsidRDefault="00844BCF">
      <w:pPr>
        <w:jc w:val="center"/>
        <w:divId w:val="344749747"/>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1534228353"/>
        <w:rPr>
          <w:rFonts w:eastAsia="Times New Roman"/>
        </w:rPr>
      </w:pPr>
      <w:r>
        <w:rPr>
          <w:rFonts w:eastAsia="Times New Roman"/>
          <w:color w:val="000000"/>
          <w:sz w:val="20"/>
          <w:szCs w:val="20"/>
        </w:rPr>
        <w:t>(unaudited)</w:t>
      </w:r>
    </w:p>
    <w:p w:rsidR="00000000" w:rsidRDefault="00844BCF">
      <w:pPr>
        <w:jc w:val="center"/>
        <w:divId w:val="1534228353"/>
        <w:rPr>
          <w:rFonts w:eastAsia="Times New Roman"/>
        </w:rPr>
      </w:pPr>
      <w:r>
        <w:rPr>
          <w:rFonts w:eastAsia="Times New Roman"/>
          <w:color w:val="000000"/>
          <w:sz w:val="20"/>
          <w:szCs w:val="20"/>
        </w:rPr>
        <w:t>(Currency in millions, except per share amount</w:t>
      </w:r>
      <w:r>
        <w:rPr>
          <w:rFonts w:eastAsia="Times New Roman"/>
          <w:color w:val="000000"/>
          <w:sz w:val="20"/>
          <w:szCs w:val="20"/>
        </w:rPr>
        <w:t>s and where indicated otherwise)</w:t>
      </w:r>
    </w:p>
    <w:tbl>
      <w:tblPr>
        <w:tblW w:w="5000" w:type="pct"/>
        <w:tblCellMar>
          <w:top w:w="15" w:type="dxa"/>
          <w:left w:w="15" w:type="dxa"/>
          <w:bottom w:w="15" w:type="dxa"/>
          <w:right w:w="15" w:type="dxa"/>
        </w:tblCellMar>
        <w:tblLook w:val="04A0" w:firstRow="1" w:lastRow="0" w:firstColumn="1" w:lastColumn="0" w:noHBand="0" w:noVBand="1"/>
      </w:tblPr>
      <w:tblGrid>
        <w:gridCol w:w="39"/>
        <w:gridCol w:w="1944"/>
        <w:gridCol w:w="38"/>
        <w:gridCol w:w="36"/>
        <w:gridCol w:w="36"/>
        <w:gridCol w:w="36"/>
        <w:gridCol w:w="100"/>
        <w:gridCol w:w="480"/>
        <w:gridCol w:w="36"/>
        <w:gridCol w:w="36"/>
        <w:gridCol w:w="36"/>
        <w:gridCol w:w="36"/>
        <w:gridCol w:w="101"/>
        <w:gridCol w:w="758"/>
        <w:gridCol w:w="36"/>
        <w:gridCol w:w="75"/>
        <w:gridCol w:w="145"/>
        <w:gridCol w:w="36"/>
        <w:gridCol w:w="101"/>
        <w:gridCol w:w="609"/>
        <w:gridCol w:w="36"/>
        <w:gridCol w:w="36"/>
        <w:gridCol w:w="36"/>
        <w:gridCol w:w="36"/>
        <w:gridCol w:w="101"/>
        <w:gridCol w:w="755"/>
        <w:gridCol w:w="36"/>
        <w:gridCol w:w="36"/>
        <w:gridCol w:w="36"/>
        <w:gridCol w:w="36"/>
        <w:gridCol w:w="101"/>
        <w:gridCol w:w="648"/>
        <w:gridCol w:w="36"/>
        <w:gridCol w:w="36"/>
        <w:gridCol w:w="36"/>
        <w:gridCol w:w="36"/>
        <w:gridCol w:w="101"/>
        <w:gridCol w:w="483"/>
        <w:gridCol w:w="36"/>
        <w:gridCol w:w="36"/>
        <w:gridCol w:w="36"/>
        <w:gridCol w:w="36"/>
        <w:gridCol w:w="101"/>
        <w:gridCol w:w="690"/>
        <w:gridCol w:w="36"/>
      </w:tblGrid>
      <w:tr w:rsidR="00000000">
        <w:tc>
          <w:tcPr>
            <w:tcW w:w="50" w:type="pct"/>
            <w:vAlign w:val="center"/>
            <w:hideMark/>
          </w:tcPr>
          <w:p w:rsidR="00000000" w:rsidRDefault="00844BCF">
            <w:pPr>
              <w:jc w:val="center"/>
              <w:rPr>
                <w:rFonts w:eastAsia="Times New Roman"/>
              </w:rPr>
            </w:pPr>
          </w:p>
        </w:tc>
        <w:tc>
          <w:tcPr>
            <w:tcW w:w="149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4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2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7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0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1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1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6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9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Six Months Ended March 31, 2021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Total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Eliminations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AmeriGas</w:t>
            </w:r>
            <w:r>
              <w:rPr>
                <w:rFonts w:eastAsia="Times New Roman"/>
                <w:color w:val="000000"/>
                <w:sz w:val="16"/>
                <w:szCs w:val="16"/>
              </w:rPr>
              <w:br/>
              <w:t>Propane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UGI International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Midstream &amp; Marketing</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Utilities</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6"/>
                <w:szCs w:val="16"/>
              </w:rPr>
              <w:t>Corporate</w:t>
            </w:r>
            <w:r>
              <w:rPr>
                <w:rFonts w:eastAsia="Times New Roman"/>
                <w:color w:val="000000"/>
                <w:sz w:val="16"/>
                <w:szCs w:val="16"/>
              </w:rPr>
              <w:br/>
              <w:t>&amp; Other (a)</w:t>
            </w:r>
          </w:p>
        </w:tc>
      </w:tr>
      <w:tr w:rsidR="00844BCF">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Revenues from external customers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4,513 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1,606 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Intersegment revenues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(b)</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Cost of sales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2,107 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(194)</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(b)</w:t>
            </w: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703 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874 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580 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334 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(190)</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1,173 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380 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282 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219 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Income from equity investees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Other non-operating (expense) income, net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(156)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(80)</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Income before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844BCF">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250 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87 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67 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Capital expenditures (including the effects of accruals)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276 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57 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6"/>
                <w:szCs w:val="16"/>
              </w:rPr>
              <w:t>As of March 31, 2021</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844BCF">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14,945 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(227)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4,515 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3,576 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2,893 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3,982 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6"/>
                <w:szCs w:val="16"/>
              </w:rPr>
              <w:t>206 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bl>
    <w:p w:rsidR="00000000" w:rsidRDefault="00844BCF">
      <w:pPr>
        <w:jc w:val="both"/>
        <w:rPr>
          <w:rFonts w:eastAsia="Times New Roman"/>
        </w:rPr>
      </w:pPr>
    </w:p>
    <w:p w:rsidR="00000000" w:rsidRDefault="00844BCF">
      <w:pPr>
        <w:ind w:hanging="360"/>
        <w:jc w:val="both"/>
        <w:rPr>
          <w:rFonts w:eastAsia="Times New Roman"/>
        </w:rPr>
      </w:pPr>
      <w:r>
        <w:rPr>
          <w:rFonts w:eastAsia="Times New Roman"/>
          <w:color w:val="000000"/>
          <w:sz w:val="20"/>
          <w:szCs w:val="20"/>
        </w:rPr>
        <w:t xml:space="preserve">(a)Corporate &amp; </w:t>
      </w:r>
      <w:r>
        <w:rPr>
          <w:rFonts w:eastAsia="Times New Roman"/>
          <w:color w:val="000000"/>
          <w:sz w:val="20"/>
          <w:szCs w:val="20"/>
        </w:rPr>
        <w:t>Other includes specific items attributable to our reportable segments that are not included in the segment profit measures used by our CODM in assessing our reportable segments’ performance or allocating resources. The following table presents such pre-tax</w:t>
      </w:r>
      <w:r>
        <w:rPr>
          <w:rFonts w:eastAsia="Times New Roman"/>
          <w:color w:val="000000"/>
          <w:sz w:val="20"/>
          <w:szCs w:val="20"/>
        </w:rPr>
        <w:t xml:space="preserve"> gains (losses) which have been included in Corporate &amp; Other, and the reportable segments to which they relate:</w:t>
      </w: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c>
          <w:tcPr>
            <w:tcW w:w="50" w:type="pct"/>
            <w:vAlign w:val="center"/>
            <w:hideMark/>
          </w:tcPr>
          <w:p w:rsidR="00000000" w:rsidRDefault="00844BCF">
            <w:pPr>
              <w:ind w:hanging="360"/>
              <w:jc w:val="both"/>
              <w:rPr>
                <w:rFonts w:eastAsia="Times New Roman"/>
              </w:rPr>
            </w:pPr>
          </w:p>
        </w:tc>
        <w:tc>
          <w:tcPr>
            <w:tcW w:w="218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3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Three Months Ended March 31, 2022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844BCF">
            <w:pPr>
              <w:spacing w:after="100"/>
              <w:jc w:val="center"/>
              <w:rPr>
                <w:rFonts w:eastAsia="Times New Roman"/>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Net gains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560 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154 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Restructuring costs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bl>
    <w:p w:rsidR="00000000" w:rsidRDefault="00844BCF">
      <w:pPr>
        <w:ind w:firstLine="720"/>
        <w:jc w:val="both"/>
        <w:rPr>
          <w:rFonts w:eastAsia="Times New Roman"/>
          <w:vanish/>
        </w:rPr>
      </w:pP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c>
          <w:tcPr>
            <w:tcW w:w="50" w:type="pct"/>
            <w:vAlign w:val="center"/>
            <w:hideMark/>
          </w:tcPr>
          <w:p w:rsidR="00000000" w:rsidRDefault="00844BCF">
            <w:pPr>
              <w:jc w:val="both"/>
              <w:rPr>
                <w:rFonts w:eastAsia="Times New Roman"/>
              </w:rPr>
            </w:pPr>
          </w:p>
        </w:tc>
        <w:tc>
          <w:tcPr>
            <w:tcW w:w="218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3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Three Months Ended March 31, 2021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844BCF">
            <w:pPr>
              <w:spacing w:after="100"/>
              <w:jc w:val="center"/>
              <w:rPr>
                <w:rFonts w:eastAsia="Times New Roman"/>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Net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Net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bl>
    <w:p w:rsidR="00000000" w:rsidRDefault="00844BCF">
      <w:pPr>
        <w:jc w:val="both"/>
        <w:divId w:val="394158933"/>
        <w:rPr>
          <w:rFonts w:eastAsia="Times New Roman"/>
          <w:vanish/>
        </w:rPr>
      </w:pPr>
    </w:p>
    <w:tbl>
      <w:tblPr>
        <w:tblW w:w="4824" w:type="pct"/>
        <w:tblCellMar>
          <w:top w:w="15" w:type="dxa"/>
          <w:left w:w="15" w:type="dxa"/>
          <w:bottom w:w="15" w:type="dxa"/>
          <w:right w:w="15" w:type="dxa"/>
        </w:tblCellMar>
        <w:tblLook w:val="04A0" w:firstRow="1" w:lastRow="0" w:firstColumn="1" w:lastColumn="0" w:noHBand="0" w:noVBand="1"/>
      </w:tblPr>
      <w:tblGrid>
        <w:gridCol w:w="40"/>
        <w:gridCol w:w="3324"/>
        <w:gridCol w:w="39"/>
        <w:gridCol w:w="36"/>
        <w:gridCol w:w="36"/>
        <w:gridCol w:w="36"/>
        <w:gridCol w:w="58"/>
        <w:gridCol w:w="1272"/>
        <w:gridCol w:w="38"/>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rPr>
          <w:divId w:val="394158933"/>
        </w:trPr>
        <w:tc>
          <w:tcPr>
            <w:tcW w:w="50" w:type="pct"/>
            <w:vAlign w:val="center"/>
            <w:hideMark/>
          </w:tcPr>
          <w:p w:rsidR="00000000" w:rsidRDefault="00844BCF">
            <w:pPr>
              <w:ind w:firstLine="720"/>
              <w:jc w:val="both"/>
              <w:rPr>
                <w:rFonts w:eastAsia="Times New Roman"/>
              </w:rPr>
            </w:pPr>
          </w:p>
        </w:tc>
        <w:tc>
          <w:tcPr>
            <w:tcW w:w="218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3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394158933"/>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Six Months Ended March 31, 2022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Midstream &amp; Marketing</w:t>
            </w:r>
          </w:p>
        </w:tc>
        <w:tc>
          <w:tcPr>
            <w:tcW w:w="0" w:type="auto"/>
            <w:vAlign w:val="center"/>
            <w:hideMark/>
          </w:tcPr>
          <w:p w:rsidR="00000000" w:rsidRDefault="00844BCF">
            <w:pPr>
              <w:spacing w:after="100"/>
              <w:jc w:val="center"/>
              <w:rPr>
                <w:rFonts w:eastAsia="Times New Roman"/>
              </w:rPr>
            </w:pPr>
          </w:p>
        </w:tc>
        <w:tc>
          <w:tcPr>
            <w:tcW w:w="0" w:type="auto"/>
            <w:vAlign w:val="center"/>
            <w:hideMark/>
          </w:tcPr>
          <w:p w:rsidR="00000000" w:rsidRDefault="00844BCF">
            <w:pPr>
              <w:spacing w:after="100"/>
              <w:rPr>
                <w:rFonts w:eastAsia="Times New Roman"/>
                <w:sz w:val="20"/>
                <w:szCs w:val="20"/>
              </w:rPr>
            </w:pPr>
          </w:p>
        </w:tc>
      </w:tr>
      <w:tr w:rsidR="00000000">
        <w:trPr>
          <w:divId w:val="39415893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Net gains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Revenues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394158933"/>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Net (losses) gains on commodity derivative instruments not associated with current-period transactions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348 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394158933"/>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Restructuring costs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394158933"/>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18"/>
                <w:szCs w:val="18"/>
              </w:rPr>
              <w:t>Loss on extinguishment of debt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394158933"/>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Unrealized gains on foreign currency derivative instruments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394158933"/>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394158933"/>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394158933"/>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rPr>
          <w:divId w:val="394158933"/>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bl>
    <w:p w:rsidR="00000000" w:rsidRDefault="00844BCF">
      <w:pPr>
        <w:jc w:val="center"/>
        <w:divId w:val="1393819745"/>
        <w:rPr>
          <w:rFonts w:eastAsia="Times New Roman"/>
        </w:rPr>
      </w:pPr>
      <w:r>
        <w:rPr>
          <w:rFonts w:eastAsia="Times New Roman"/>
          <w:color w:val="000000"/>
          <w:sz w:val="20"/>
          <w:szCs w:val="20"/>
        </w:rPr>
        <w:t>32</w:t>
      </w:r>
    </w:p>
    <w:p w:rsidR="00000000" w:rsidRDefault="00844BCF">
      <w:pPr>
        <w:rPr>
          <w:rFonts w:eastAsia="Times New Roman"/>
        </w:rPr>
      </w:pPr>
      <w:r>
        <w:rPr>
          <w:rFonts w:eastAsia="Times New Roman"/>
        </w:rPr>
        <w:pict>
          <v:rect id="_x0000_i1058" style="width:0;height:1.5pt" o:hralign="center" o:hrstd="t" o:hr="t" fillcolor="#a0a0a0" stroked="f"/>
        </w:pict>
      </w:r>
    </w:p>
    <w:p w:rsidR="00000000" w:rsidRDefault="00844BCF">
      <w:pPr>
        <w:divId w:val="143207011"/>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646208697"/>
        <w:rPr>
          <w:rFonts w:eastAsia="Times New Roman"/>
        </w:rPr>
      </w:pPr>
      <w:r>
        <w:rPr>
          <w:rFonts w:eastAsia="Times New Roman"/>
          <w:b/>
          <w:bCs/>
          <w:color w:val="000000"/>
          <w:sz w:val="20"/>
          <w:szCs w:val="20"/>
        </w:rPr>
        <w:t>UGI CORPORATION AND SUBSIDIARIES</w:t>
      </w:r>
    </w:p>
    <w:p w:rsidR="00000000" w:rsidRDefault="00844BCF">
      <w:pPr>
        <w:jc w:val="center"/>
        <w:divId w:val="823008853"/>
        <w:rPr>
          <w:rFonts w:eastAsia="Times New Roman"/>
        </w:rPr>
      </w:pPr>
      <w:r>
        <w:rPr>
          <w:rFonts w:eastAsia="Times New Roman"/>
          <w:b/>
          <w:bCs/>
          <w:color w:val="000000"/>
          <w:sz w:val="20"/>
          <w:szCs w:val="20"/>
          <w:u w:val="single"/>
        </w:rPr>
        <w:t>Notes to Condensed Consolidated Financial Statements</w:t>
      </w:r>
    </w:p>
    <w:p w:rsidR="00000000" w:rsidRDefault="00844BCF">
      <w:pPr>
        <w:jc w:val="center"/>
        <w:divId w:val="646208697"/>
        <w:rPr>
          <w:rFonts w:eastAsia="Times New Roman"/>
        </w:rPr>
      </w:pPr>
      <w:r>
        <w:rPr>
          <w:rFonts w:eastAsia="Times New Roman"/>
          <w:color w:val="000000"/>
          <w:sz w:val="20"/>
          <w:szCs w:val="20"/>
        </w:rPr>
        <w:t>(unaudited)</w:t>
      </w:r>
    </w:p>
    <w:p w:rsidR="00000000" w:rsidRDefault="00844BCF">
      <w:pPr>
        <w:jc w:val="center"/>
        <w:divId w:val="646208697"/>
        <w:rPr>
          <w:rFonts w:eastAsia="Times New Roman"/>
        </w:rPr>
      </w:pPr>
      <w:r>
        <w:rPr>
          <w:rFonts w:eastAsia="Times New Roman"/>
          <w:color w:val="000000"/>
          <w:sz w:val="20"/>
          <w:szCs w:val="20"/>
        </w:rPr>
        <w:t>(Currency in millions, except per share amounts and where indicated otherwise)</w:t>
      </w:r>
    </w:p>
    <w:tbl>
      <w:tblPr>
        <w:tblW w:w="4824" w:type="pct"/>
        <w:tblCellMar>
          <w:top w:w="15" w:type="dxa"/>
          <w:left w:w="15" w:type="dxa"/>
          <w:bottom w:w="15" w:type="dxa"/>
          <w:right w:w="15" w:type="dxa"/>
        </w:tblCellMar>
        <w:tblLook w:val="04A0" w:firstRow="1" w:lastRow="0" w:firstColumn="1" w:lastColumn="0" w:noHBand="0" w:noVBand="1"/>
      </w:tblPr>
      <w:tblGrid>
        <w:gridCol w:w="39"/>
        <w:gridCol w:w="3327"/>
        <w:gridCol w:w="38"/>
        <w:gridCol w:w="36"/>
        <w:gridCol w:w="36"/>
        <w:gridCol w:w="36"/>
        <w:gridCol w:w="54"/>
        <w:gridCol w:w="1276"/>
        <w:gridCol w:w="37"/>
        <w:gridCol w:w="36"/>
        <w:gridCol w:w="36"/>
        <w:gridCol w:w="36"/>
        <w:gridCol w:w="111"/>
        <w:gridCol w:w="700"/>
        <w:gridCol w:w="36"/>
        <w:gridCol w:w="36"/>
        <w:gridCol w:w="36"/>
        <w:gridCol w:w="36"/>
        <w:gridCol w:w="111"/>
        <w:gridCol w:w="862"/>
        <w:gridCol w:w="36"/>
        <w:gridCol w:w="36"/>
        <w:gridCol w:w="36"/>
        <w:gridCol w:w="36"/>
        <w:gridCol w:w="111"/>
        <w:gridCol w:w="736"/>
        <w:gridCol w:w="36"/>
        <w:gridCol w:w="36"/>
        <w:gridCol w:w="36"/>
      </w:tblGrid>
      <w:tr w:rsidR="00000000">
        <w:tc>
          <w:tcPr>
            <w:tcW w:w="50" w:type="pct"/>
            <w:vAlign w:val="center"/>
            <w:hideMark/>
          </w:tcPr>
          <w:p w:rsidR="00000000" w:rsidRDefault="00844BCF">
            <w:pPr>
              <w:jc w:val="center"/>
              <w:rPr>
                <w:rFonts w:eastAsia="Times New Roman"/>
              </w:rPr>
            </w:pPr>
          </w:p>
        </w:tc>
        <w:tc>
          <w:tcPr>
            <w:tcW w:w="218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93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18"/>
                <w:szCs w:val="18"/>
              </w:rPr>
              <w:t>Six Months Ended March 31, 2021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Location on Income Statement</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AmeriGas Propane</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UGI International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 xml:space="preserve">Midstream &amp; </w:t>
            </w:r>
            <w:r>
              <w:rPr>
                <w:rFonts w:eastAsia="Times New Roman"/>
                <w:color w:val="000000"/>
                <w:sz w:val="18"/>
                <w:szCs w:val="18"/>
              </w:rPr>
              <w:t>Marketing</w:t>
            </w:r>
          </w:p>
        </w:tc>
        <w:tc>
          <w:tcPr>
            <w:tcW w:w="0" w:type="auto"/>
            <w:vAlign w:val="center"/>
            <w:hideMark/>
          </w:tcPr>
          <w:p w:rsidR="00000000" w:rsidRDefault="00844BCF">
            <w:pPr>
              <w:spacing w:after="100"/>
              <w:jc w:val="center"/>
              <w:rPr>
                <w:rFonts w:eastAsia="Times New Roman"/>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Net gains (losses)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 xml:space="preserve">Cost of sales </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Unrealized losses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Other non-operating income (expense), net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vAlign w:val="center"/>
            <w:hideMark/>
          </w:tcPr>
          <w:p w:rsidR="00000000" w:rsidRDefault="00844BCF">
            <w:pPr>
              <w:spacing w:after="100"/>
              <w:jc w:val="right"/>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r w:rsidR="00000000">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c>
          <w:tcPr>
            <w:tcW w:w="0" w:type="auto"/>
            <w:vAlign w:val="center"/>
            <w:hideMark/>
          </w:tcPr>
          <w:p w:rsidR="00000000" w:rsidRDefault="00844BCF">
            <w:pPr>
              <w:spacing w:after="100"/>
              <w:rPr>
                <w:rFonts w:eastAsia="Times New Roman"/>
                <w:sz w:val="20"/>
                <w:szCs w:val="20"/>
              </w:rPr>
            </w:pPr>
          </w:p>
        </w:tc>
      </w:tr>
    </w:tbl>
    <w:p w:rsidR="00000000" w:rsidRDefault="00844BCF">
      <w:pPr>
        <w:jc w:val="both"/>
        <w:divId w:val="375667085"/>
        <w:rPr>
          <w:rFonts w:eastAsia="Times New Roman"/>
        </w:rPr>
      </w:pPr>
    </w:p>
    <w:p w:rsidR="00000000" w:rsidRDefault="00844BCF">
      <w:pPr>
        <w:ind w:hanging="360"/>
        <w:jc w:val="both"/>
        <w:divId w:val="2084066411"/>
        <w:rPr>
          <w:rFonts w:eastAsia="Times New Roman"/>
        </w:rPr>
      </w:pPr>
      <w:r>
        <w:rPr>
          <w:rFonts w:eastAsia="Times New Roman"/>
          <w:color w:val="000000"/>
          <w:sz w:val="20"/>
          <w:szCs w:val="20"/>
        </w:rPr>
        <w:t>(b)Represents the elimination of intersegment transactions principally among Midstream &amp; Marketing, Utilities and AmeriGas Propane.</w:t>
      </w:r>
    </w:p>
    <w:p w:rsidR="00000000" w:rsidRDefault="00844BCF">
      <w:pPr>
        <w:jc w:val="both"/>
        <w:rPr>
          <w:rFonts w:eastAsia="Times New Roman"/>
        </w:rPr>
      </w:pPr>
    </w:p>
    <w:p w:rsidR="00000000" w:rsidRDefault="00844BCF">
      <w:pPr>
        <w:divId w:val="807239654"/>
        <w:rPr>
          <w:rFonts w:eastAsia="Times New Roman"/>
        </w:rPr>
      </w:pPr>
      <w:r>
        <w:rPr>
          <w:rFonts w:eastAsia="Times New Roman"/>
          <w:b/>
          <w:bCs/>
          <w:color w:val="000000"/>
          <w:sz w:val="20"/>
          <w:szCs w:val="20"/>
          <w:u w:val="single"/>
        </w:rPr>
        <w:t xml:space="preserve">Note 15 — Business Transformation </w:t>
      </w:r>
      <w:r>
        <w:rPr>
          <w:rFonts w:eastAsia="Times New Roman"/>
          <w:b/>
          <w:bCs/>
          <w:color w:val="000000"/>
          <w:sz w:val="20"/>
          <w:szCs w:val="20"/>
          <w:u w:val="single"/>
        </w:rPr>
        <w:t>Initiatives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 xml:space="preserve">AmeriGas and UGI International. </w:t>
      </w:r>
      <w:r>
        <w:rPr>
          <w:rFonts w:eastAsia="Times New Roman"/>
          <w:color w:val="000000"/>
          <w:sz w:val="20"/>
          <w:szCs w:val="20"/>
        </w:rPr>
        <w:t>Beginning in Fiscal 2019, we began executing on multi-year business transformation initiatives at our AmeriGas Propane and UGI International business segments. These initiatives are designed to improve long-ter</w:t>
      </w:r>
      <w:r>
        <w:rPr>
          <w:rFonts w:eastAsia="Times New Roman"/>
          <w:color w:val="000000"/>
          <w:sz w:val="20"/>
          <w:szCs w:val="20"/>
        </w:rPr>
        <w:t>m operational performance by, among other things, reducing costs and improving efficiency in the areas of sales and marketing, supply and logistics, operations, purchasing, and administration. In addition, these business transformation initiatives focus on</w:t>
      </w:r>
      <w:r>
        <w:rPr>
          <w:rFonts w:eastAsia="Times New Roman"/>
          <w:color w:val="000000"/>
          <w:sz w:val="20"/>
          <w:szCs w:val="20"/>
        </w:rPr>
        <w:t xml:space="preserve"> enhancing the customer experience through, among other things, enhanced customer relationship management and an improved digital customer experience. During the three and six months ended March 31, 2021, we incurred $17 and $32 of costs, respectively, pri</w:t>
      </w:r>
      <w:r>
        <w:rPr>
          <w:rFonts w:eastAsia="Times New Roman"/>
          <w:color w:val="000000"/>
          <w:sz w:val="20"/>
          <w:szCs w:val="20"/>
        </w:rPr>
        <w:t>ncipally comprising consulting, advisory, marketing and employee-related costs. These costs are primarily reflected in “Operating and administrative expenses” on the Condensed Consolidated Statements of Income. These previously announced business transform</w:t>
      </w:r>
      <w:r>
        <w:rPr>
          <w:rFonts w:eastAsia="Times New Roman"/>
          <w:color w:val="000000"/>
          <w:sz w:val="20"/>
          <w:szCs w:val="20"/>
        </w:rPr>
        <w:t>ation initiatives are substantially complete.</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Corporate Services.</w:t>
      </w:r>
      <w:r>
        <w:rPr>
          <w:rFonts w:eastAsia="Times New Roman"/>
          <w:color w:val="000000"/>
          <w:sz w:val="20"/>
          <w:szCs w:val="20"/>
        </w:rPr>
        <w:t xml:space="preserve"> Beginning in Fiscal 2020, we initiated a transformation project focused on our support functions including: finance, procurement, human resources, and information technology. This initiati</w:t>
      </w:r>
      <w:r>
        <w:rPr>
          <w:rFonts w:eastAsia="Times New Roman"/>
          <w:color w:val="000000"/>
          <w:sz w:val="20"/>
          <w:szCs w:val="20"/>
        </w:rPr>
        <w:t>ve will standardize processes and activities across our global platform, while leveraging the use of best practices and efficiencies between our businesses. Amounts reflected in “Operating and administrative expenses” on the Condensed Consolidated Statemen</w:t>
      </w:r>
      <w:r>
        <w:rPr>
          <w:rFonts w:eastAsia="Times New Roman"/>
          <w:color w:val="000000"/>
          <w:sz w:val="20"/>
          <w:szCs w:val="20"/>
        </w:rPr>
        <w:t>t of Income in connection with this initiative during the three and six months ended March 31, 2022 and 2021, were not material.</w:t>
      </w:r>
    </w:p>
    <w:p w:rsidR="00000000" w:rsidRDefault="00844BCF">
      <w:pPr>
        <w:divId w:val="1334912931"/>
        <w:rPr>
          <w:rFonts w:eastAsia="Times New Roman"/>
        </w:rPr>
      </w:pPr>
    </w:p>
    <w:p w:rsidR="00000000" w:rsidRDefault="00844BCF">
      <w:pPr>
        <w:divId w:val="704066298"/>
        <w:rPr>
          <w:rFonts w:eastAsia="Times New Roman"/>
        </w:rPr>
      </w:pPr>
      <w:r>
        <w:rPr>
          <w:rFonts w:eastAsia="Times New Roman"/>
          <w:b/>
          <w:bCs/>
          <w:color w:val="000000"/>
          <w:sz w:val="20"/>
          <w:szCs w:val="20"/>
          <w:u w:val="single"/>
        </w:rPr>
        <w:t>Note 16 — Impact of Global Pandemic</w:t>
      </w:r>
    </w:p>
    <w:p w:rsidR="00000000" w:rsidRDefault="00844BCF">
      <w:pPr>
        <w:divId w:val="817451822"/>
        <w:rPr>
          <w:rFonts w:eastAsia="Times New Roman"/>
        </w:rPr>
      </w:pPr>
    </w:p>
    <w:p w:rsidR="00000000" w:rsidRDefault="00844BCF">
      <w:pPr>
        <w:jc w:val="both"/>
        <w:rPr>
          <w:rFonts w:eastAsia="Times New Roman"/>
        </w:rPr>
      </w:pPr>
      <w:r>
        <w:rPr>
          <w:rFonts w:eastAsia="Times New Roman"/>
          <w:color w:val="000000"/>
          <w:sz w:val="20"/>
          <w:szCs w:val="20"/>
        </w:rPr>
        <w:t>In March 2020, the WHO declared a global pandemic attributable to the outbreak and cont</w:t>
      </w:r>
      <w:r>
        <w:rPr>
          <w:rFonts w:eastAsia="Times New Roman"/>
          <w:color w:val="000000"/>
          <w:sz w:val="20"/>
          <w:szCs w:val="20"/>
        </w:rPr>
        <w:t>inued spread of COVID-19 that has had a significant impact throughout the global economy. In connection with the mitigation and containment procedures recommended by the WHO, the CDC, and as imposed by federal, state, and local governmental authorities, in</w:t>
      </w:r>
      <w:r>
        <w:rPr>
          <w:rFonts w:eastAsia="Times New Roman"/>
          <w:color w:val="000000"/>
          <w:sz w:val="20"/>
          <w:szCs w:val="20"/>
        </w:rPr>
        <w:t>cluding shelter-in-place orders, quarantines and similar restrictions, the Company has implemented a variety of procedures to protect its employees, third-party business partners, and customers worldwide. The Company continues to provide essential products</w:t>
      </w:r>
      <w:r>
        <w:rPr>
          <w:rFonts w:eastAsia="Times New Roman"/>
          <w:color w:val="000000"/>
          <w:sz w:val="20"/>
          <w:szCs w:val="20"/>
        </w:rPr>
        <w:t xml:space="preserve"> and services to its global customers in a safe and reliable manner, and will continue to do so in compliance with mandated restrictions presented by each of the markets it serves. The Company continues to evaluate and react to the effects of a prolonged d</w:t>
      </w:r>
      <w:r>
        <w:rPr>
          <w:rFonts w:eastAsia="Times New Roman"/>
          <w:color w:val="000000"/>
          <w:sz w:val="20"/>
          <w:szCs w:val="20"/>
        </w:rPr>
        <w:t>isruption and the potential of continued impact on its results of operations. These items may include, but are not limited to: the financial condition of its customers; decreased availability and demand for its products and services; realization of account</w:t>
      </w:r>
      <w:r>
        <w:rPr>
          <w:rFonts w:eastAsia="Times New Roman"/>
          <w:color w:val="000000"/>
          <w:sz w:val="20"/>
          <w:szCs w:val="20"/>
        </w:rPr>
        <w:t>s receivable; impairment considerations related to certain current assets, long-lived assets and goodwill; delays related to current and future projects; commodity price volatility and supply chain constraints; and the effects of government stimulus effort</w:t>
      </w:r>
      <w:r>
        <w:rPr>
          <w:rFonts w:eastAsia="Times New Roman"/>
          <w:color w:val="000000"/>
          <w:sz w:val="20"/>
          <w:szCs w:val="20"/>
        </w:rPr>
        <w:t>s including tax legislation in response to COVID-19. The Company cannot predict the duration or magnitude of the pandemic and the total effects on its business, financial position, results of operations, liquidity or cash flows at this time.</w:t>
      </w:r>
    </w:p>
    <w:p w:rsidR="00000000" w:rsidRDefault="00844BCF">
      <w:pPr>
        <w:jc w:val="both"/>
        <w:rPr>
          <w:rFonts w:eastAsia="Times New Roman"/>
        </w:rPr>
      </w:pPr>
    </w:p>
    <w:p w:rsidR="00000000" w:rsidRDefault="00844BCF">
      <w:pPr>
        <w:jc w:val="center"/>
        <w:divId w:val="847914065"/>
        <w:rPr>
          <w:rFonts w:eastAsia="Times New Roman"/>
        </w:rPr>
      </w:pPr>
      <w:r>
        <w:rPr>
          <w:rFonts w:eastAsia="Times New Roman"/>
          <w:color w:val="000000"/>
          <w:sz w:val="20"/>
          <w:szCs w:val="20"/>
        </w:rPr>
        <w:t>33</w:t>
      </w:r>
    </w:p>
    <w:p w:rsidR="00000000" w:rsidRDefault="00844BCF">
      <w:pPr>
        <w:rPr>
          <w:rFonts w:eastAsia="Times New Roman"/>
        </w:rPr>
      </w:pPr>
      <w:r>
        <w:rPr>
          <w:rFonts w:eastAsia="Times New Roman"/>
        </w:rPr>
        <w:pict>
          <v:rect id="_x0000_i1059" style="width:0;height:1.5pt" o:hralign="center" o:hrstd="t" o:hr="t" fillcolor="#a0a0a0" stroked="f"/>
        </w:pict>
      </w:r>
    </w:p>
    <w:p w:rsidR="00000000" w:rsidRDefault="00844BCF">
      <w:pPr>
        <w:divId w:val="417558343"/>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606959932"/>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844BCF">
      <w:pPr>
        <w:divId w:val="463545965"/>
        <w:rPr>
          <w:rFonts w:eastAsia="Times New Roman"/>
        </w:rPr>
      </w:pPr>
    </w:p>
    <w:p w:rsidR="00000000" w:rsidRDefault="00844BCF">
      <w:pPr>
        <w:divId w:val="1161896118"/>
        <w:rPr>
          <w:rFonts w:eastAsia="Times New Roman"/>
        </w:rPr>
      </w:pPr>
      <w:r>
        <w:rPr>
          <w:rFonts w:eastAsia="Times New Roman"/>
          <w:b/>
          <w:bCs/>
          <w:color w:val="000000"/>
          <w:sz w:val="20"/>
          <w:szCs w:val="20"/>
        </w:rPr>
        <w:t>Forward-Looking</w:t>
      </w:r>
      <w:r>
        <w:rPr>
          <w:rFonts w:eastAsia="Times New Roman"/>
          <w:b/>
          <w:bCs/>
          <w:color w:val="000000"/>
          <w:sz w:val="20"/>
          <w:szCs w:val="20"/>
        </w:rPr>
        <w:t xml:space="preserve"> Statements</w:t>
      </w:r>
    </w:p>
    <w:p w:rsidR="00000000" w:rsidRDefault="00844BCF">
      <w:pPr>
        <w:divId w:val="86001991"/>
        <w:rPr>
          <w:rFonts w:eastAsia="Times New Roman"/>
        </w:rPr>
      </w:pPr>
    </w:p>
    <w:p w:rsidR="00000000" w:rsidRDefault="00844BCF">
      <w:pPr>
        <w:jc w:val="both"/>
        <w:rPr>
          <w:rFonts w:eastAsia="Times New Roman"/>
        </w:rPr>
      </w:pPr>
      <w:r>
        <w:rPr>
          <w:rFonts w:eastAsia="Times New Roman"/>
          <w:color w:val="000000"/>
          <w:sz w:val="20"/>
          <w:szCs w:val="20"/>
        </w:rPr>
        <w:t>Information contained in this Quarterly Report on Form 10-Q may contain forward-looking statements within the meaning of Section 27A of the Securities Act of 1933, as amended, and Section 21E of the Exchange Act. Such statements use forward-l</w:t>
      </w:r>
      <w:r>
        <w:rPr>
          <w:rFonts w:eastAsia="Times New Roman"/>
          <w:color w:val="000000"/>
          <w:sz w:val="20"/>
          <w:szCs w:val="20"/>
        </w:rPr>
        <w:t>ooking words such as “believe,” “plan,” “anticipate,” “continue,” “estimate,” “expect,” “may,” or other similar words. These statements discuss plans, strategies, events or developments that we expect or anticipate will or may occur in the future.</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A forw</w:t>
      </w:r>
      <w:r>
        <w:rPr>
          <w:rFonts w:eastAsia="Times New Roman"/>
          <w:color w:val="000000"/>
          <w:sz w:val="20"/>
          <w:szCs w:val="20"/>
        </w:rPr>
        <w:t>ard-looking statement may include a statement of the assumptions or bases underlying the forward-looking statement. We believe that we have chosen these assumptions or bases in good faith and that they are reasonable. However, we caution you that actual re</w:t>
      </w:r>
      <w:r>
        <w:rPr>
          <w:rFonts w:eastAsia="Times New Roman"/>
          <w:color w:val="000000"/>
          <w:sz w:val="20"/>
          <w:szCs w:val="20"/>
        </w:rPr>
        <w:t xml:space="preserve">sults almost always vary from assumed facts or bases, and the differences between actual results and assumed facts or bases can be material, depending on the circumstances. When considering forward-looking statements, you should keep in mind the following </w:t>
      </w:r>
      <w:r>
        <w:rPr>
          <w:rFonts w:eastAsia="Times New Roman"/>
          <w:color w:val="000000"/>
          <w:sz w:val="20"/>
          <w:szCs w:val="20"/>
        </w:rPr>
        <w:t>important factors that could affect our future results and could cause those results to differ materially from those expressed in our forward-looking statements: (1) weather conditions, including increasingly uncertain weather patterns due to climate chang</w:t>
      </w:r>
      <w:r>
        <w:rPr>
          <w:rFonts w:eastAsia="Times New Roman"/>
          <w:color w:val="000000"/>
          <w:sz w:val="20"/>
          <w:szCs w:val="20"/>
        </w:rPr>
        <w:t>e, resulting in reduced demand, and the seasonal nature of our business; (2) cost volatility and availability of propane and other LPG, electricity, and natural gas, as well as the availability of LPG cylinders, and the capacity to transport product to our</w:t>
      </w:r>
      <w:r>
        <w:rPr>
          <w:rFonts w:eastAsia="Times New Roman"/>
          <w:color w:val="000000"/>
          <w:sz w:val="20"/>
          <w:szCs w:val="20"/>
        </w:rPr>
        <w:t xml:space="preserve"> customers; (3) changes in domestic and foreign laws and regulations, including safety, tax, consumer protection, data privacy, accounting, and environmental matters, such as regulatory responses to climate change; (4) inability to timely recover costs thr</w:t>
      </w:r>
      <w:r>
        <w:rPr>
          <w:rFonts w:eastAsia="Times New Roman"/>
          <w:color w:val="000000"/>
          <w:sz w:val="20"/>
          <w:szCs w:val="20"/>
        </w:rPr>
        <w:t>ough utility rate proceedings; (5) the impact of pending and future legal or regulatory proceedings, inquiries or investigations; (6) competitive pressures from the same and alternative energy sources; (7) failure to acquire new customers or retain current</w:t>
      </w:r>
      <w:r>
        <w:rPr>
          <w:rFonts w:eastAsia="Times New Roman"/>
          <w:color w:val="000000"/>
          <w:sz w:val="20"/>
          <w:szCs w:val="20"/>
        </w:rPr>
        <w:t xml:space="preserve"> customers thereby reducing or limiting any increase in revenues; (8) liability for environmental claims; (9) increased customer conservation measures due to high energy prices and improvements in energy efficiency and technology resulting in reduced deman</w:t>
      </w:r>
      <w:r>
        <w:rPr>
          <w:rFonts w:eastAsia="Times New Roman"/>
          <w:color w:val="000000"/>
          <w:sz w:val="20"/>
          <w:szCs w:val="20"/>
        </w:rPr>
        <w:t>d; (10) adverse labor relations and our ability to address existing or potential workforce shortages; (11) customer, counterparty, supplier, or vendor defaults; (12) liability for uninsured claims and for claims in excess of insurance coverage, including t</w:t>
      </w:r>
      <w:r>
        <w:rPr>
          <w:rFonts w:eastAsia="Times New Roman"/>
          <w:color w:val="000000"/>
          <w:sz w:val="20"/>
          <w:szCs w:val="20"/>
        </w:rPr>
        <w:t>hose for personal injury and property damage arising from explosions, terrorism, natural disasters, pandemics and other catastrophic events that may result from operating hazards and risks incidental to generating and distributing electricity and transport</w:t>
      </w:r>
      <w:r>
        <w:rPr>
          <w:rFonts w:eastAsia="Times New Roman"/>
          <w:color w:val="000000"/>
          <w:sz w:val="20"/>
          <w:szCs w:val="20"/>
        </w:rPr>
        <w:t>ing, storing and distributing natural gas in all forms; (13) transmission or distribution system service interruptions; (14) political, regulatory and economic conditions in the United States, Europe and other foreign countries, including uncertainties rel</w:t>
      </w:r>
      <w:r>
        <w:rPr>
          <w:rFonts w:eastAsia="Times New Roman"/>
          <w:color w:val="000000"/>
          <w:sz w:val="20"/>
          <w:szCs w:val="20"/>
        </w:rPr>
        <w:t>ated to the military conflict between Russia and Ukraine, and foreign currency exchange rate fluctuations, particularly the euro; (15) capital market conditions, including reduced access to capital markets and interest rate fluctuations; (16) changes in co</w:t>
      </w:r>
      <w:r>
        <w:rPr>
          <w:rFonts w:eastAsia="Times New Roman"/>
          <w:color w:val="000000"/>
          <w:sz w:val="20"/>
          <w:szCs w:val="20"/>
        </w:rPr>
        <w:t>mmodity market prices resulting in significantly higher cash collateral requirements; (17) reduced distributions from subsidiaries impacting the ability to pay dividends; (18) changes in Marcellus and Utica Shale gas production; (19) the availability, timi</w:t>
      </w:r>
      <w:r>
        <w:rPr>
          <w:rFonts w:eastAsia="Times New Roman"/>
          <w:color w:val="000000"/>
          <w:sz w:val="20"/>
          <w:szCs w:val="20"/>
        </w:rPr>
        <w:t>ng and success of our acquisitions, commercial initiatives and investments to grow our businesses; (20) our ability to successfully integrate acquired businesses and achieve anticipated synergies; (21) the interruption, disruption, failure or malfunction o</w:t>
      </w:r>
      <w:r>
        <w:rPr>
          <w:rFonts w:eastAsia="Times New Roman"/>
          <w:color w:val="000000"/>
          <w:sz w:val="20"/>
          <w:szCs w:val="20"/>
        </w:rPr>
        <w:t>f our information technology systems, and those of our third-party vendors or service providers, including due to cyber attack; (22) the inability to complete pending or future energy infrastructure projects; (23) our ability to achieve the operational ben</w:t>
      </w:r>
      <w:r>
        <w:rPr>
          <w:rFonts w:eastAsia="Times New Roman"/>
          <w:color w:val="000000"/>
          <w:sz w:val="20"/>
          <w:szCs w:val="20"/>
        </w:rPr>
        <w:t>efits and cost efficiencies expected from the completion of pending and future business transformation initiatives, including the impact of customer service disruptions resulting in potential customer loss due to the transformation activities; (24) uncerta</w:t>
      </w:r>
      <w:r>
        <w:rPr>
          <w:rFonts w:eastAsia="Times New Roman"/>
          <w:color w:val="000000"/>
          <w:sz w:val="20"/>
          <w:szCs w:val="20"/>
        </w:rPr>
        <w:t>inties related to a global pandemic, including the duration and/or impact of the COVID-19 pandemic; (25) the impact of proposed or future tax legislation, including the potential reversal of existing tax legislation that is beneficial to us; and (26) our a</w:t>
      </w:r>
      <w:r>
        <w:rPr>
          <w:rFonts w:eastAsia="Times New Roman"/>
          <w:color w:val="000000"/>
          <w:sz w:val="20"/>
          <w:szCs w:val="20"/>
        </w:rPr>
        <w:t>bility to overcome supply chain issues that may result in delays or shortages in, as well as increased costs of, equipment, materials or other resources that are critical to our business operations.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These factors, and those factors set forth in Item </w:t>
      </w:r>
      <w:r>
        <w:rPr>
          <w:rFonts w:eastAsia="Times New Roman"/>
          <w:color w:val="000000"/>
          <w:sz w:val="20"/>
          <w:szCs w:val="20"/>
        </w:rPr>
        <w:t>1A. Risk Factors in this report and in the Company’s 2021 Annual Report, are not necessarily all of the important factors that could cause actual results to differ materially from those expressed in any of our forward-looking statements. Other unknown or u</w:t>
      </w:r>
      <w:r>
        <w:rPr>
          <w:rFonts w:eastAsia="Times New Roman"/>
          <w:color w:val="000000"/>
          <w:sz w:val="20"/>
          <w:szCs w:val="20"/>
        </w:rPr>
        <w:t>npredictable factors could also have material adverse effects on future results. We undertake no obligation to update publicly any forward-looking statement whether as a result of new information or future events except as required by the federal securitie</w:t>
      </w:r>
      <w:r>
        <w:rPr>
          <w:rFonts w:eastAsia="Times New Roman"/>
          <w:color w:val="000000"/>
          <w:sz w:val="20"/>
          <w:szCs w:val="20"/>
        </w:rPr>
        <w:t>s laws.</w:t>
      </w:r>
    </w:p>
    <w:p w:rsidR="00000000" w:rsidRDefault="00844BCF">
      <w:pPr>
        <w:jc w:val="both"/>
        <w:rPr>
          <w:rFonts w:eastAsia="Times New Roman"/>
        </w:rPr>
      </w:pPr>
    </w:p>
    <w:p w:rsidR="00000000" w:rsidRDefault="00844BCF">
      <w:pPr>
        <w:jc w:val="center"/>
        <w:rPr>
          <w:rFonts w:eastAsia="Times New Roman"/>
        </w:rPr>
      </w:pPr>
      <w:r>
        <w:rPr>
          <w:rFonts w:eastAsia="Times New Roman"/>
          <w:b/>
          <w:bCs/>
          <w:color w:val="000000"/>
          <w:sz w:val="20"/>
          <w:szCs w:val="20"/>
          <w:u w:val="single"/>
        </w:rPr>
        <w:t>ANALYSIS OF RESULTS OF OPERATIONS</w:t>
      </w:r>
    </w:p>
    <w:p w:rsidR="00000000" w:rsidRDefault="00844BCF">
      <w:pPr>
        <w:jc w:val="center"/>
        <w:rPr>
          <w:rFonts w:eastAsia="Times New Roman"/>
        </w:rPr>
      </w:pPr>
    </w:p>
    <w:p w:rsidR="00000000" w:rsidRDefault="00844BCF">
      <w:pPr>
        <w:jc w:val="both"/>
        <w:rPr>
          <w:rFonts w:eastAsia="Times New Roman"/>
        </w:rPr>
      </w:pPr>
      <w:r>
        <w:rPr>
          <w:rFonts w:eastAsia="Times New Roman"/>
          <w:color w:val="000000"/>
          <w:sz w:val="20"/>
          <w:szCs w:val="20"/>
        </w:rPr>
        <w:t>The following analysis compares the Company’s results of operations for the 2022 three-month period with the 2021 three-month period and the 2022 six-month period with the 2021 six-month period. Our analysis of</w:t>
      </w:r>
      <w:r>
        <w:rPr>
          <w:rFonts w:eastAsia="Times New Roman"/>
          <w:color w:val="000000"/>
          <w:sz w:val="20"/>
          <w:szCs w:val="20"/>
        </w:rPr>
        <w:t xml:space="preserve"> results of operations should be read in conjunction with the segment information included in Note 14 to Condensed Consolidated Financial Statements.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Because most of our businesses sell or distribute energy products used in large part for heating purpos</w:t>
      </w:r>
      <w:r>
        <w:rPr>
          <w:rFonts w:eastAsia="Times New Roman"/>
          <w:color w:val="000000"/>
          <w:sz w:val="20"/>
          <w:szCs w:val="20"/>
        </w:rPr>
        <w:t>es, our results are significantly influenced by temperatures in our service territories, particularly during the heating-season months of October through March. As a result, our operating results, excluding the effects of gains and losses on derivative ins</w:t>
      </w:r>
      <w:r>
        <w:rPr>
          <w:rFonts w:eastAsia="Times New Roman"/>
          <w:color w:val="000000"/>
          <w:sz w:val="20"/>
          <w:szCs w:val="20"/>
        </w:rPr>
        <w:t xml:space="preserve">truments not </w:t>
      </w:r>
    </w:p>
    <w:p w:rsidR="00000000" w:rsidRDefault="00844BCF">
      <w:pPr>
        <w:jc w:val="center"/>
        <w:divId w:val="985476420"/>
        <w:rPr>
          <w:rFonts w:eastAsia="Times New Roman"/>
        </w:rPr>
      </w:pPr>
      <w:r>
        <w:rPr>
          <w:rFonts w:eastAsia="Times New Roman"/>
          <w:color w:val="000000"/>
          <w:sz w:val="20"/>
          <w:szCs w:val="20"/>
        </w:rPr>
        <w:t>34</w:t>
      </w:r>
    </w:p>
    <w:p w:rsidR="00000000" w:rsidRDefault="00844BCF">
      <w:pPr>
        <w:rPr>
          <w:rFonts w:eastAsia="Times New Roman"/>
        </w:rPr>
      </w:pPr>
      <w:r>
        <w:rPr>
          <w:rFonts w:eastAsia="Times New Roman"/>
        </w:rPr>
        <w:pict>
          <v:rect id="_x0000_i1060" style="width:0;height:1.5pt" o:hralign="center" o:hrstd="t" o:hr="t" fillcolor="#a0a0a0" stroked="f"/>
        </w:pict>
      </w:r>
    </w:p>
    <w:p w:rsidR="00000000" w:rsidRDefault="00844BCF">
      <w:pPr>
        <w:divId w:val="365519485"/>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45304250"/>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color w:val="000000"/>
          <w:sz w:val="20"/>
          <w:szCs w:val="20"/>
        </w:rPr>
        <w:t>associated with current-period transactions as further discussed below, are significantly hig</w:t>
      </w:r>
      <w:r>
        <w:rPr>
          <w:rFonts w:eastAsia="Times New Roman"/>
          <w:color w:val="000000"/>
          <w:sz w:val="20"/>
          <w:szCs w:val="20"/>
        </w:rPr>
        <w:t>her in our first and second fiscal quarters.</w:t>
      </w:r>
    </w:p>
    <w:p w:rsidR="00000000" w:rsidRDefault="00844BCF">
      <w:pPr>
        <w:divId w:val="2013531883"/>
        <w:rPr>
          <w:rFonts w:eastAsia="Times New Roman"/>
        </w:rPr>
      </w:pPr>
    </w:p>
    <w:p w:rsidR="00000000" w:rsidRDefault="00844BCF">
      <w:pPr>
        <w:jc w:val="both"/>
        <w:divId w:val="1335261141"/>
        <w:rPr>
          <w:rFonts w:eastAsia="Times New Roman"/>
        </w:rPr>
      </w:pPr>
      <w:r>
        <w:rPr>
          <w:rFonts w:eastAsia="Times New Roman"/>
          <w:b/>
          <w:bCs/>
          <w:color w:val="000000"/>
          <w:sz w:val="20"/>
          <w:szCs w:val="20"/>
        </w:rPr>
        <w:t>Non-GAAP Financial Measures</w:t>
      </w:r>
    </w:p>
    <w:p w:rsidR="00000000" w:rsidRDefault="00844BCF">
      <w:pPr>
        <w:jc w:val="both"/>
        <w:divId w:val="1331635673"/>
        <w:rPr>
          <w:rFonts w:eastAsia="Times New Roman"/>
        </w:rPr>
      </w:pPr>
      <w:r>
        <w:rPr>
          <w:rFonts w:eastAsia="Times New Roman"/>
          <w:color w:val="000000"/>
          <w:sz w:val="20"/>
          <w:szCs w:val="20"/>
        </w:rPr>
        <w:t>UGI management uses “adjusted net income attributable to UGI Corporation” and “adjusted diluted earnings per share,” both of which are non-GAAP financial measures, when evaluating U</w:t>
      </w:r>
      <w:r>
        <w:rPr>
          <w:rFonts w:eastAsia="Times New Roman"/>
          <w:color w:val="000000"/>
          <w:sz w:val="20"/>
          <w:szCs w:val="20"/>
        </w:rPr>
        <w:t>GI’s overall performance. Management believes that these non-GAAP measures provide meaningful information to investors about UGI’s performance because they eliminate gains and losses on commodity and certain foreign currency derivative instruments not asso</w:t>
      </w:r>
      <w:r>
        <w:rPr>
          <w:rFonts w:eastAsia="Times New Roman"/>
          <w:color w:val="000000"/>
          <w:sz w:val="20"/>
          <w:szCs w:val="20"/>
        </w:rPr>
        <w:t>ciated with current-period transactions and other significant discrete items that can affect the comparison of period-over-period results.</w:t>
      </w:r>
    </w:p>
    <w:p w:rsidR="00000000" w:rsidRDefault="00844BCF">
      <w:pPr>
        <w:jc w:val="both"/>
        <w:divId w:val="320740154"/>
        <w:rPr>
          <w:rFonts w:eastAsia="Times New Roman"/>
        </w:rPr>
      </w:pPr>
      <w:r>
        <w:rPr>
          <w:rFonts w:eastAsia="Times New Roman"/>
          <w:color w:val="000000"/>
          <w:sz w:val="20"/>
          <w:szCs w:val="20"/>
        </w:rPr>
        <w:t xml:space="preserve">UGI does not designate its commodity and certain foreign currency derivative instruments as hedges under GAAP. Volatility in net income attributable to UGI Corporation can occur as a result of gains and losses on such derivative instruments not associated </w:t>
      </w:r>
      <w:r>
        <w:rPr>
          <w:rFonts w:eastAsia="Times New Roman"/>
          <w:color w:val="000000"/>
          <w:sz w:val="20"/>
          <w:szCs w:val="20"/>
        </w:rPr>
        <w:t>with current-period transactions. These gains and losses result principally from recording changes in unrealized gains and losses on unsettled commodity and certain foreign currency derivative instruments and, to a much lesser extent, certain realized gain</w:t>
      </w:r>
      <w:r>
        <w:rPr>
          <w:rFonts w:eastAsia="Times New Roman"/>
          <w:color w:val="000000"/>
          <w:sz w:val="20"/>
          <w:szCs w:val="20"/>
        </w:rPr>
        <w:t xml:space="preserve">s and losses on settled commodity derivative instruments that are not associated with current-period transactions. However, because these derivative instruments economically hedge anticipated future purchases or sales of energy commodities, or in the case </w:t>
      </w:r>
      <w:r>
        <w:rPr>
          <w:rFonts w:eastAsia="Times New Roman"/>
          <w:color w:val="000000"/>
          <w:sz w:val="20"/>
          <w:szCs w:val="20"/>
        </w:rPr>
        <w:t>of certain foreign currency derivatives reduce volatility in anticipated future earnings associated with our foreign operations, we expect that such gains or losses will be largely offset by gains or losses on anticipated future energy commodity transactio</w:t>
      </w:r>
      <w:r>
        <w:rPr>
          <w:rFonts w:eastAsia="Times New Roman"/>
          <w:color w:val="000000"/>
          <w:sz w:val="20"/>
          <w:szCs w:val="20"/>
        </w:rPr>
        <w:t>ns or mitigate volatility in anticipated future earnings. Non-GAAP financial measures are not in accordance with, or an alternative to, GAAP and should be considered in addition to, and not as a substitute for, the comparable GAAP measures.</w:t>
      </w:r>
    </w:p>
    <w:p w:rsidR="00000000" w:rsidRDefault="00844BCF">
      <w:pPr>
        <w:jc w:val="both"/>
        <w:divId w:val="478348942"/>
        <w:rPr>
          <w:rFonts w:eastAsia="Times New Roman"/>
        </w:rPr>
      </w:pPr>
      <w:r>
        <w:rPr>
          <w:rFonts w:eastAsia="Times New Roman"/>
          <w:color w:val="000000"/>
          <w:sz w:val="20"/>
          <w:szCs w:val="20"/>
        </w:rPr>
        <w:t>The following t</w:t>
      </w:r>
      <w:r>
        <w:rPr>
          <w:rFonts w:eastAsia="Times New Roman"/>
          <w:color w:val="000000"/>
          <w:sz w:val="20"/>
          <w:szCs w:val="20"/>
        </w:rPr>
        <w:t xml:space="preserve">ables reflect the adjustments referred to above and reconcile net income attributable to UGI Corporation, the most directly comparable GAAP measure, to adjusted net income attributable to UGI Corporation, and reconcile diluted earnings per share, the most </w:t>
      </w:r>
      <w:r>
        <w:rPr>
          <w:rFonts w:eastAsia="Times New Roman"/>
          <w:color w:val="000000"/>
          <w:sz w:val="20"/>
          <w:szCs w:val="20"/>
        </w:rPr>
        <w:t>directly comparable GAAP measure, to adjusted diluted earnings per share:</w:t>
      </w:r>
    </w:p>
    <w:p w:rsidR="00000000" w:rsidRDefault="00844BCF">
      <w:pPr>
        <w:jc w:val="center"/>
        <w:divId w:val="2064674710"/>
        <w:rPr>
          <w:rFonts w:eastAsia="Times New Roman"/>
        </w:rPr>
      </w:pPr>
      <w:r>
        <w:rPr>
          <w:rFonts w:eastAsia="Times New Roman"/>
          <w:color w:val="000000"/>
          <w:sz w:val="20"/>
          <w:szCs w:val="20"/>
        </w:rPr>
        <w:t>35</w:t>
      </w:r>
    </w:p>
    <w:p w:rsidR="00000000" w:rsidRDefault="00844BCF">
      <w:pPr>
        <w:rPr>
          <w:rFonts w:eastAsia="Times New Roman"/>
        </w:rPr>
      </w:pPr>
      <w:r>
        <w:rPr>
          <w:rFonts w:eastAsia="Times New Roman"/>
        </w:rPr>
        <w:pict>
          <v:rect id="_x0000_i1061" style="width:0;height:1.5pt" o:hralign="center" o:hrstd="t" o:hr="t" fillcolor="#a0a0a0" stroked="f"/>
        </w:pict>
      </w:r>
    </w:p>
    <w:p w:rsidR="00000000" w:rsidRDefault="00844BCF">
      <w:pPr>
        <w:divId w:val="1786805650"/>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2057852027"/>
        <w:rPr>
          <w:rFonts w:eastAsia="Times New Roman"/>
        </w:rPr>
      </w:pPr>
      <w:r>
        <w:rPr>
          <w:rFonts w:eastAsia="Times New Roman"/>
          <w:b/>
          <w:bCs/>
          <w:color w:val="000000"/>
          <w:sz w:val="20"/>
          <w:szCs w:val="20"/>
        </w:rPr>
        <w:t>UGI CORPORATION AND SUBSIDIARIES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34"/>
        <w:gridCol w:w="38"/>
        <w:gridCol w:w="36"/>
        <w:gridCol w:w="36"/>
        <w:gridCol w:w="36"/>
        <w:gridCol w:w="120"/>
        <w:gridCol w:w="834"/>
        <w:gridCol w:w="36"/>
        <w:gridCol w:w="36"/>
        <w:gridCol w:w="36"/>
        <w:gridCol w:w="36"/>
        <w:gridCol w:w="120"/>
        <w:gridCol w:w="834"/>
        <w:gridCol w:w="36"/>
        <w:gridCol w:w="36"/>
        <w:gridCol w:w="36"/>
        <w:gridCol w:w="36"/>
        <w:gridCol w:w="120"/>
        <w:gridCol w:w="835"/>
        <w:gridCol w:w="36"/>
        <w:gridCol w:w="36"/>
        <w:gridCol w:w="36"/>
        <w:gridCol w:w="36"/>
        <w:gridCol w:w="120"/>
        <w:gridCol w:w="836"/>
        <w:gridCol w:w="36"/>
      </w:tblGrid>
      <w:tr w:rsidR="00000000">
        <w:trPr>
          <w:divId w:val="1014265911"/>
        </w:trPr>
        <w:tc>
          <w:tcPr>
            <w:tcW w:w="50" w:type="pct"/>
            <w:vAlign w:val="center"/>
            <w:hideMark/>
          </w:tcPr>
          <w:p w:rsidR="00000000" w:rsidRDefault="00844BCF">
            <w:pPr>
              <w:jc w:val="center"/>
              <w:rPr>
                <w:rFonts w:eastAsia="Times New Roman"/>
              </w:rPr>
            </w:pPr>
          </w:p>
        </w:tc>
        <w:tc>
          <w:tcPr>
            <w:tcW w:w="234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9"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014265911"/>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March 31,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Six Months Ended</w:t>
            </w:r>
            <w:r>
              <w:rPr>
                <w:rFonts w:eastAsia="Times New Roman"/>
                <w:color w:val="000000"/>
                <w:sz w:val="20"/>
                <w:szCs w:val="20"/>
              </w:rPr>
              <w:br/>
              <w:t>March 31,</w:t>
            </w:r>
          </w:p>
        </w:tc>
      </w:tr>
      <w:tr w:rsidR="00000000">
        <w:trPr>
          <w:divId w:val="1014265911"/>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r>
      <w:tr w:rsidR="00000000">
        <w:trPr>
          <w:divId w:val="101426591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514 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Net income attributable to UGI Corporation</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divId w:val="642467836"/>
              <w:rPr>
                <w:rFonts w:eastAsia="Times New Roman"/>
              </w:rPr>
            </w:pPr>
            <w:r>
              <w:rPr>
                <w:rFonts w:eastAsia="Times New Roman"/>
                <w:color w:val="000000"/>
                <w:sz w:val="20"/>
                <w:szCs w:val="20"/>
              </w:rPr>
              <w:t>Net gains on commodity derivative instruments not associated with current-period transactions (net of tax of $204, $22, $93 and $53, respectively)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divId w:val="868184886"/>
              <w:rPr>
                <w:rFonts w:eastAsia="Times New Roman"/>
              </w:rPr>
            </w:pPr>
            <w:r>
              <w:rPr>
                <w:rFonts w:eastAsia="Times New Roman"/>
                <w:color w:val="000000"/>
                <w:sz w:val="20"/>
                <w:szCs w:val="20"/>
              </w:rPr>
              <w:t>Unrealized (gains) losses on foreign currency derivative instruments (net of tax of $(1), $4, $1, and $(1), respectively)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divId w:val="207575670"/>
              <w:rPr>
                <w:rFonts w:eastAsia="Times New Roman"/>
              </w:rPr>
            </w:pPr>
            <w:r>
              <w:rPr>
                <w:rFonts w:eastAsia="Times New Roman"/>
                <w:color w:val="000000"/>
                <w:sz w:val="20"/>
                <w:szCs w:val="20"/>
              </w:rPr>
              <w:t>Loss on extinguishment of debt (net of tax of $0, $0, $(3) and $0, respectively)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divId w:val="1948653377"/>
              <w:rPr>
                <w:rFonts w:eastAsia="Times New Roman"/>
              </w:rPr>
            </w:pPr>
            <w:r>
              <w:rPr>
                <w:rFonts w:eastAsia="Times New Roman"/>
                <w:color w:val="000000"/>
                <w:sz w:val="20"/>
                <w:szCs w:val="20"/>
              </w:rPr>
              <w:t>Acquisition and integration expenses associat</w:t>
            </w:r>
            <w:r>
              <w:rPr>
                <w:rFonts w:eastAsia="Times New Roman"/>
                <w:color w:val="000000"/>
                <w:sz w:val="20"/>
                <w:szCs w:val="20"/>
              </w:rPr>
              <w:t>ed with the Mountaineer Acquisition (net of tax of $0, $0, $0 and $(1), respectively)</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divId w:val="876359385"/>
              <w:rPr>
                <w:rFonts w:eastAsia="Times New Roman"/>
              </w:rPr>
            </w:pPr>
            <w:r>
              <w:rPr>
                <w:rFonts w:eastAsia="Times New Roman"/>
                <w:color w:val="000000"/>
                <w:sz w:val="20"/>
                <w:szCs w:val="20"/>
              </w:rPr>
              <w:t>Business transformation expenses (net of tax of $0, $(5), $(1) and $(9), respectively)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Impact of change in Italian tax law</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divId w:val="1516767972"/>
              <w:rPr>
                <w:rFonts w:eastAsia="Times New Roman"/>
              </w:rPr>
            </w:pPr>
            <w:r>
              <w:rPr>
                <w:rFonts w:eastAsia="Times New Roman"/>
                <w:color w:val="000000"/>
                <w:sz w:val="20"/>
                <w:szCs w:val="20"/>
              </w:rPr>
              <w:t>Restructuring costs (net of tax of $(5), $0, $(5) and $0, respectively)</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014265911"/>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014265911"/>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Total adjustments (a) (b)</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Adjusted net income attributable to UGI Corporation</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Height w:val="300"/>
        </w:trPr>
        <w:tc>
          <w:tcPr>
            <w:tcW w:w="0" w:type="auto"/>
            <w:gridSpan w:val="3"/>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014265911"/>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Three Months Ended</w:t>
            </w:r>
            <w:r>
              <w:rPr>
                <w:rFonts w:eastAsia="Times New Roman"/>
                <w:color w:val="000000"/>
                <w:sz w:val="20"/>
                <w:szCs w:val="20"/>
              </w:rPr>
              <w:br/>
              <w:t>March 31,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Six Months Ended</w:t>
            </w:r>
            <w:r>
              <w:rPr>
                <w:rFonts w:eastAsia="Times New Roman"/>
                <w:color w:val="000000"/>
                <w:sz w:val="20"/>
                <w:szCs w:val="20"/>
              </w:rPr>
              <w:br/>
              <w:t>March 31,</w:t>
            </w:r>
          </w:p>
        </w:tc>
      </w:tr>
      <w:tr w:rsidR="00000000">
        <w:trPr>
          <w:divId w:val="1014265911"/>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Adjusted diluted earnings per share</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r>
      <w:tr w:rsidR="00000000">
        <w:trPr>
          <w:divId w:val="101426591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AmeriGas Propane</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International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0.47 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0.68 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0.91 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Midstream &amp; Marketing</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0.26 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0.31 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0.50 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0.47 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Utilities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0.62 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0.47 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0.91 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0.71 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Corporate &amp; Other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0.37 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0.98 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0.61 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Earnings per share - diluted</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Net gains on commodity derivative instruments not associated with current-period transactions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(2.48)</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(0.25)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(0.65)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Unrealized (gains) losses on foreign currency derivative instruments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(0.05)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(0.02)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Loss on extinguishment of debt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Acquisition and integration expenses associated with the Mountaineer Acquisition</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Business transformation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0.07 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0.13 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Impact of change in Italian tax law</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Restructuring costs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014265911"/>
        </w:trPr>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014265911"/>
        </w:trPr>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Total adjustments (a)</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(0.60)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01426591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divId w:val="1490517572"/>
              <w:rPr>
                <w:rFonts w:eastAsia="Times New Roman"/>
              </w:rPr>
            </w:pPr>
            <w:r>
              <w:rPr>
                <w:rFonts w:eastAsia="Times New Roman"/>
                <w:b/>
                <w:bCs/>
                <w:color w:val="000000"/>
                <w:sz w:val="20"/>
                <w:szCs w:val="20"/>
              </w:rPr>
              <w:t>Adjusted earnings per share - diluted</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ind w:hanging="360"/>
        <w:jc w:val="both"/>
        <w:rPr>
          <w:rFonts w:eastAsia="Times New Roman"/>
        </w:rPr>
      </w:pPr>
      <w:r>
        <w:rPr>
          <w:rFonts w:eastAsia="Times New Roman"/>
          <w:color w:val="000000"/>
          <w:sz w:val="20"/>
          <w:szCs w:val="20"/>
        </w:rPr>
        <w:t>(a)Corporate &amp; Other includes certain adjustments made to our reporting segments in arriving at net income attributable to UGI Co</w:t>
      </w:r>
      <w:r>
        <w:rPr>
          <w:rFonts w:eastAsia="Times New Roman"/>
          <w:color w:val="000000"/>
          <w:sz w:val="20"/>
          <w:szCs w:val="20"/>
        </w:rPr>
        <w:t xml:space="preserve">rporation. These adjustments have been excluded from the segment results to align with the measure used by our </w:t>
      </w:r>
    </w:p>
    <w:p w:rsidR="00000000" w:rsidRDefault="00844BCF">
      <w:pPr>
        <w:jc w:val="center"/>
        <w:divId w:val="1931621230"/>
        <w:rPr>
          <w:rFonts w:eastAsia="Times New Roman"/>
        </w:rPr>
      </w:pPr>
      <w:r>
        <w:rPr>
          <w:rFonts w:eastAsia="Times New Roman"/>
          <w:color w:val="000000"/>
          <w:sz w:val="20"/>
          <w:szCs w:val="20"/>
        </w:rPr>
        <w:t>36</w:t>
      </w:r>
    </w:p>
    <w:p w:rsidR="00000000" w:rsidRDefault="00844BCF">
      <w:pPr>
        <w:rPr>
          <w:rFonts w:eastAsia="Times New Roman"/>
        </w:rPr>
      </w:pPr>
      <w:r>
        <w:rPr>
          <w:rFonts w:eastAsia="Times New Roman"/>
        </w:rPr>
        <w:pict>
          <v:rect id="_x0000_i1062" style="width:0;height:1.5pt" o:hralign="center" o:hrstd="t" o:hr="t" fillcolor="#a0a0a0" stroked="f"/>
        </w:pict>
      </w:r>
    </w:p>
    <w:p w:rsidR="00000000" w:rsidRDefault="00844BCF">
      <w:pPr>
        <w:divId w:val="1828085338"/>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377775900"/>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color w:val="000000"/>
          <w:sz w:val="20"/>
          <w:szCs w:val="20"/>
        </w:rPr>
        <w:t>CODM in assessing segment performance and allocating resources.  See Note 14 to Condensed Consolidated Financial Statements for additional information related to these adjustments, as well as other items included within Corporate &amp; Other.</w:t>
      </w:r>
    </w:p>
    <w:p w:rsidR="00000000" w:rsidRDefault="00844BCF">
      <w:pPr>
        <w:ind w:hanging="360"/>
        <w:jc w:val="both"/>
        <w:rPr>
          <w:rFonts w:eastAsia="Times New Roman"/>
        </w:rPr>
      </w:pPr>
      <w:r>
        <w:rPr>
          <w:rFonts w:eastAsia="Times New Roman"/>
          <w:color w:val="000000"/>
          <w:sz w:val="20"/>
          <w:szCs w:val="20"/>
        </w:rPr>
        <w:t>(b)Income taxes a</w:t>
      </w:r>
      <w:r>
        <w:rPr>
          <w:rFonts w:eastAsia="Times New Roman"/>
          <w:color w:val="000000"/>
          <w:sz w:val="20"/>
          <w:szCs w:val="20"/>
        </w:rPr>
        <w:t>ssociated with pre-tax adjustments determined using statutory business unit tax rates.</w:t>
      </w:r>
    </w:p>
    <w:p w:rsidR="00000000" w:rsidRDefault="00844BCF">
      <w:pPr>
        <w:jc w:val="both"/>
        <w:rPr>
          <w:rFonts w:eastAsia="Times New Roman"/>
        </w:rPr>
      </w:pPr>
    </w:p>
    <w:p w:rsidR="00000000" w:rsidRDefault="00844BCF">
      <w:pPr>
        <w:divId w:val="488712716"/>
        <w:rPr>
          <w:rFonts w:eastAsia="Times New Roman"/>
        </w:rPr>
      </w:pPr>
      <w:r>
        <w:rPr>
          <w:rFonts w:eastAsia="Times New Roman"/>
          <w:b/>
          <w:bCs/>
          <w:color w:val="000000"/>
          <w:sz w:val="20"/>
          <w:szCs w:val="20"/>
          <w:u w:val="single"/>
        </w:rPr>
        <w:t>EXECUTIVE OVERVIEW</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u w:val="single"/>
        </w:rPr>
        <w:t>Recent Developments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Global Macroeconomic Conditions.</w:t>
      </w:r>
      <w:r>
        <w:rPr>
          <w:rFonts w:eastAsia="Times New Roman"/>
          <w:color w:val="000000"/>
          <w:sz w:val="20"/>
          <w:szCs w:val="20"/>
        </w:rPr>
        <w:t xml:space="preserve"> During Fiscal 2021 and continuing into the current fiscal year, global commodity and labor </w:t>
      </w:r>
      <w:r>
        <w:rPr>
          <w:rFonts w:eastAsia="Times New Roman"/>
          <w:color w:val="000000"/>
          <w:sz w:val="20"/>
          <w:szCs w:val="20"/>
        </w:rPr>
        <w:t>markets experienced significant inflationary pressures attributable to economic recovery and supply chain issues associated with the ongoing COVID-19 pandemic, as discussed below. These inflationary pressures led to significant volatility across various co</w:t>
      </w:r>
      <w:r>
        <w:rPr>
          <w:rFonts w:eastAsia="Times New Roman"/>
          <w:color w:val="000000"/>
          <w:sz w:val="20"/>
          <w:szCs w:val="20"/>
        </w:rPr>
        <w:t>nsumer price indices during Fiscal 2021 and have continued during the 2022 three- and six-month period. We have experienced substantial shifts in commodity prices, particularly in LPG, natural gas and electricity prices, which, in turn, have led to extensi</w:t>
      </w:r>
      <w:r>
        <w:rPr>
          <w:rFonts w:eastAsia="Times New Roman"/>
          <w:color w:val="000000"/>
          <w:sz w:val="20"/>
          <w:szCs w:val="20"/>
        </w:rPr>
        <w:t xml:space="preserve">ve mark-to-market impacts on commodity derivatives instruments not associated with current-period activity. The ongoing strain on supply costs has resulted in increased inventory costs and certain distribution expenses across all of our businesses. It has </w:t>
      </w:r>
      <w:r>
        <w:rPr>
          <w:rFonts w:eastAsia="Times New Roman"/>
          <w:color w:val="000000"/>
          <w:sz w:val="20"/>
          <w:szCs w:val="20"/>
        </w:rPr>
        <w:t>also affected requirements around cash collateral and restricted cash associated with our outstanding derivatives. The Company believes that the impact of these external factors and the associated extreme cost volatility are temporary and their impact is e</w:t>
      </w:r>
      <w:r>
        <w:rPr>
          <w:rFonts w:eastAsia="Times New Roman"/>
          <w:color w:val="000000"/>
          <w:sz w:val="20"/>
          <w:szCs w:val="20"/>
        </w:rPr>
        <w:t>xpected to be mitigated by our continued cost control initiatives, and liquidity management.</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 xml:space="preserve">Ongoing COVID-19 Pandemic. </w:t>
      </w:r>
      <w:r>
        <w:rPr>
          <w:rFonts w:eastAsia="Times New Roman"/>
          <w:color w:val="000000"/>
          <w:sz w:val="20"/>
          <w:szCs w:val="20"/>
        </w:rPr>
        <w:t>In March 2020, the WHO declared a global pandemic attributable to the outbreak and continued spread of COVID-19 that has had a signifi</w:t>
      </w:r>
      <w:r>
        <w:rPr>
          <w:rFonts w:eastAsia="Times New Roman"/>
          <w:color w:val="000000"/>
          <w:sz w:val="20"/>
          <w:szCs w:val="20"/>
        </w:rPr>
        <w:t>cant impact throughout the global economy.</w:t>
      </w:r>
      <w:r>
        <w:rPr>
          <w:rFonts w:eastAsia="Times New Roman"/>
          <w:color w:val="000000"/>
        </w:rPr>
        <w:t xml:space="preserve"> </w:t>
      </w:r>
      <w:r>
        <w:rPr>
          <w:rFonts w:eastAsia="Times New Roman"/>
          <w:color w:val="000000"/>
          <w:sz w:val="20"/>
          <w:szCs w:val="20"/>
        </w:rPr>
        <w:t>In connection with the mitigation and containment procedures recommended by the WHO, the CDC, and as imposed by federal, state, and local governmental authorities, including shelter-in-place orders, quarantines an</w:t>
      </w:r>
      <w:r>
        <w:rPr>
          <w:rFonts w:eastAsia="Times New Roman"/>
          <w:color w:val="000000"/>
          <w:sz w:val="20"/>
          <w:szCs w:val="20"/>
        </w:rPr>
        <w:t>d similar restrictions, we have implemented a variety of procedures to protect our employees, third-party business partners, and customers worldwide. We continue to provide essential products and services to our global customers in a safe and reliable mann</w:t>
      </w:r>
      <w:r>
        <w:rPr>
          <w:rFonts w:eastAsia="Times New Roman"/>
          <w:color w:val="000000"/>
          <w:sz w:val="20"/>
          <w:szCs w:val="20"/>
        </w:rPr>
        <w:t>er and will continue to do so in compliance with mandated restrictions presented by each of the markets we serve.</w:t>
      </w:r>
      <w:r>
        <w:rPr>
          <w:rFonts w:eastAsia="Times New Roman"/>
          <w:color w:val="000000"/>
        </w:rPr>
        <w:t xml:space="preserve"> </w:t>
      </w:r>
      <w:r>
        <w:rPr>
          <w:rFonts w:eastAsia="Times New Roman"/>
          <w:color w:val="000000"/>
          <w:sz w:val="20"/>
          <w:szCs w:val="20"/>
        </w:rPr>
        <w:t>We continue to evaluate and react to the effects of a prolonged disruption and the potential of continued impact on our results of operations.</w:t>
      </w:r>
      <w:r>
        <w:rPr>
          <w:rFonts w:eastAsia="Times New Roman"/>
          <w:color w:val="000000"/>
        </w:rPr>
        <w:t xml:space="preserve"> </w:t>
      </w:r>
      <w:r>
        <w:rPr>
          <w:rFonts w:eastAsia="Times New Roman"/>
          <w:color w:val="000000"/>
          <w:sz w:val="20"/>
          <w:szCs w:val="20"/>
        </w:rPr>
        <w:t>These items may include, but are not limited to: the financial condition of our customers; decreased availability and demand for our products and services; realization of accounts receivable; impairment considerations related to certain current assets, lo</w:t>
      </w:r>
      <w:r>
        <w:rPr>
          <w:rFonts w:eastAsia="Times New Roman"/>
          <w:color w:val="000000"/>
          <w:sz w:val="20"/>
          <w:szCs w:val="20"/>
        </w:rPr>
        <w:t>ng-lived assets and goodwill; delays related to current and future projects; commodity price volatility and supply chain constraints; and the effects of government stimulus efforts including tax legislation in response to COVID-19.</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We cannot predict the </w:t>
      </w:r>
      <w:r>
        <w:rPr>
          <w:rFonts w:eastAsia="Times New Roman"/>
          <w:color w:val="000000"/>
          <w:sz w:val="20"/>
          <w:szCs w:val="20"/>
        </w:rPr>
        <w:t>duration or total magnitude of the pandemic and the total effects on our business, financial position, results of operations, liquidity or cash flows at this time, but we remain focused on managing our financial condition and liquidity throughout this glob</w:t>
      </w:r>
      <w:r>
        <w:rPr>
          <w:rFonts w:eastAsia="Times New Roman"/>
          <w:color w:val="000000"/>
          <w:sz w:val="20"/>
          <w:szCs w:val="20"/>
        </w:rPr>
        <w:t>al crisis.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Continuing Business Transformation Initiatives.</w:t>
      </w:r>
      <w:r>
        <w:rPr>
          <w:rFonts w:eastAsia="Times New Roman"/>
          <w:b/>
          <w:bCs/>
          <w:color w:val="000000"/>
          <w:sz w:val="20"/>
          <w:szCs w:val="20"/>
        </w:rPr>
        <w:t xml:space="preserve"> </w:t>
      </w:r>
      <w:r>
        <w:rPr>
          <w:rFonts w:eastAsia="Times New Roman"/>
          <w:color w:val="000000"/>
          <w:sz w:val="20"/>
          <w:szCs w:val="20"/>
        </w:rPr>
        <w:t>By the end of Fiscal 2021, AmeriGas Propane and UGI International substantially completed their previously announced business transformation initiatives.</w:t>
      </w:r>
      <w:r>
        <w:rPr>
          <w:rFonts w:eastAsia="Times New Roman"/>
          <w:color w:val="000000"/>
        </w:rPr>
        <w:t xml:space="preserve"> </w:t>
      </w:r>
      <w:r>
        <w:rPr>
          <w:rFonts w:eastAsia="Times New Roman"/>
          <w:color w:val="000000"/>
          <w:sz w:val="20"/>
          <w:szCs w:val="20"/>
        </w:rPr>
        <w:t>Anticipated benefits to be fully recogniz</w:t>
      </w:r>
      <w:r>
        <w:rPr>
          <w:rFonts w:eastAsia="Times New Roman"/>
          <w:color w:val="000000"/>
          <w:sz w:val="20"/>
          <w:szCs w:val="20"/>
        </w:rPr>
        <w:t>ed in Fiscal 2022 for both programs remain on target.</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Beginning</w:t>
      </w:r>
      <w:r>
        <w:rPr>
          <w:rFonts w:eastAsia="Times New Roman"/>
          <w:color w:val="000000"/>
        </w:rPr>
        <w:t xml:space="preserve"> </w:t>
      </w:r>
      <w:r>
        <w:rPr>
          <w:rFonts w:eastAsia="Times New Roman"/>
          <w:color w:val="000000"/>
          <w:sz w:val="20"/>
          <w:szCs w:val="20"/>
        </w:rPr>
        <w:t>in</w:t>
      </w:r>
      <w:r>
        <w:rPr>
          <w:rFonts w:eastAsia="Times New Roman"/>
          <w:color w:val="000000"/>
        </w:rPr>
        <w:t xml:space="preserve"> </w:t>
      </w:r>
      <w:r>
        <w:rPr>
          <w:rFonts w:eastAsia="Times New Roman"/>
          <w:color w:val="000000"/>
          <w:sz w:val="20"/>
          <w:szCs w:val="20"/>
        </w:rPr>
        <w:t>Fiscal</w:t>
      </w:r>
      <w:r>
        <w:rPr>
          <w:rFonts w:eastAsia="Times New Roman"/>
          <w:color w:val="000000"/>
        </w:rPr>
        <w:t xml:space="preserve"> </w:t>
      </w:r>
      <w:r>
        <w:rPr>
          <w:rFonts w:eastAsia="Times New Roman"/>
          <w:color w:val="000000"/>
          <w:sz w:val="20"/>
          <w:szCs w:val="20"/>
        </w:rPr>
        <w:t>2020,</w:t>
      </w:r>
      <w:r>
        <w:rPr>
          <w:rFonts w:eastAsia="Times New Roman"/>
          <w:color w:val="000000"/>
        </w:rPr>
        <w:t xml:space="preserve"> </w:t>
      </w:r>
      <w:r>
        <w:rPr>
          <w:rFonts w:eastAsia="Times New Roman"/>
          <w:color w:val="000000"/>
          <w:sz w:val="20"/>
          <w:szCs w:val="20"/>
        </w:rPr>
        <w:t>we initiated</w:t>
      </w:r>
      <w:r>
        <w:rPr>
          <w:rFonts w:eastAsia="Times New Roman"/>
          <w:color w:val="000000"/>
        </w:rPr>
        <w:t xml:space="preserve"> </w:t>
      </w:r>
      <w:r>
        <w:rPr>
          <w:rFonts w:eastAsia="Times New Roman"/>
          <w:color w:val="000000"/>
          <w:sz w:val="20"/>
          <w:szCs w:val="20"/>
        </w:rPr>
        <w:t>a transformation project</w:t>
      </w:r>
      <w:r>
        <w:rPr>
          <w:rFonts w:eastAsia="Times New Roman"/>
          <w:color w:val="000000"/>
        </w:rPr>
        <w:t xml:space="preserve"> </w:t>
      </w:r>
      <w:r>
        <w:rPr>
          <w:rFonts w:eastAsia="Times New Roman"/>
          <w:color w:val="000000"/>
          <w:sz w:val="20"/>
          <w:szCs w:val="20"/>
        </w:rPr>
        <w:t>focused on</w:t>
      </w:r>
      <w:r>
        <w:rPr>
          <w:rFonts w:eastAsia="Times New Roman"/>
          <w:color w:val="000000"/>
        </w:rPr>
        <w:t xml:space="preserve"> </w:t>
      </w:r>
      <w:r>
        <w:rPr>
          <w:rFonts w:eastAsia="Times New Roman"/>
          <w:color w:val="000000"/>
          <w:sz w:val="20"/>
          <w:szCs w:val="20"/>
        </w:rPr>
        <w:t>our</w:t>
      </w:r>
      <w:r>
        <w:rPr>
          <w:rFonts w:eastAsia="Times New Roman"/>
          <w:color w:val="000000"/>
        </w:rPr>
        <w:t xml:space="preserve"> </w:t>
      </w:r>
      <w:r>
        <w:rPr>
          <w:rFonts w:eastAsia="Times New Roman"/>
          <w:color w:val="000000"/>
          <w:sz w:val="20"/>
          <w:szCs w:val="20"/>
        </w:rPr>
        <w:t>corporate support</w:t>
      </w:r>
      <w:r>
        <w:rPr>
          <w:rFonts w:eastAsia="Times New Roman"/>
          <w:color w:val="000000"/>
        </w:rPr>
        <w:t xml:space="preserve"> </w:t>
      </w:r>
      <w:r>
        <w:rPr>
          <w:rFonts w:eastAsia="Times New Roman"/>
          <w:color w:val="000000"/>
          <w:sz w:val="20"/>
          <w:szCs w:val="20"/>
        </w:rPr>
        <w:t>functions</w:t>
      </w:r>
      <w:r>
        <w:rPr>
          <w:rFonts w:eastAsia="Times New Roman"/>
          <w:color w:val="000000"/>
        </w:rPr>
        <w:t xml:space="preserve"> </w:t>
      </w:r>
      <w:r>
        <w:rPr>
          <w:rFonts w:eastAsia="Times New Roman"/>
          <w:color w:val="000000"/>
          <w:sz w:val="20"/>
          <w:szCs w:val="20"/>
        </w:rPr>
        <w:t>including:</w:t>
      </w:r>
      <w:r>
        <w:rPr>
          <w:rFonts w:eastAsia="Times New Roman"/>
          <w:color w:val="000000"/>
        </w:rPr>
        <w:t xml:space="preserve"> </w:t>
      </w:r>
      <w:r>
        <w:rPr>
          <w:rFonts w:eastAsia="Times New Roman"/>
          <w:color w:val="000000"/>
          <w:sz w:val="20"/>
          <w:szCs w:val="20"/>
        </w:rPr>
        <w:t>finance, procurement, human resources, and information technology. This initiative</w:t>
      </w:r>
      <w:r>
        <w:rPr>
          <w:rFonts w:eastAsia="Times New Roman"/>
          <w:color w:val="000000"/>
          <w:sz w:val="20"/>
          <w:szCs w:val="20"/>
        </w:rPr>
        <w:t xml:space="preserve"> will standardize processes and activities across our global platform, while leveraging the use of best practices and efficiencies between our businesses. While this initiative is being coordinated across multiple support functions, each function is at a d</w:t>
      </w:r>
      <w:r>
        <w:rPr>
          <w:rFonts w:eastAsia="Times New Roman"/>
          <w:color w:val="000000"/>
          <w:sz w:val="20"/>
          <w:szCs w:val="20"/>
        </w:rPr>
        <w:t>ifferent stage of transformation and will undergo the required changes by the end of Fiscal 2023. In connection with these activities, we expect to incur approximately $40 million of non-recurring costs during that time resulting in more than $15 million o</w:t>
      </w:r>
      <w:r>
        <w:rPr>
          <w:rFonts w:eastAsia="Times New Roman"/>
          <w:color w:val="000000"/>
          <w:sz w:val="20"/>
          <w:szCs w:val="20"/>
        </w:rPr>
        <w:t>f ongoing annualized savings by the end of Fiscal 2023.</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u w:val="single"/>
        </w:rPr>
        <w:t xml:space="preserve">2022 three-month period compared with 2021 three-month period </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Discussion.</w:t>
      </w:r>
      <w:r>
        <w:rPr>
          <w:rFonts w:eastAsia="Times New Roman"/>
          <w:color w:val="000000"/>
          <w:sz w:val="20"/>
          <w:szCs w:val="20"/>
        </w:rPr>
        <w:t xml:space="preserve"> </w:t>
      </w:r>
      <w:r>
        <w:rPr>
          <w:rFonts w:eastAsia="Times New Roman"/>
          <w:color w:val="000000"/>
          <w:sz w:val="20"/>
          <w:szCs w:val="20"/>
        </w:rPr>
        <w:t>Net income attributable to UGI Corporation for the 2022 three-month period was $933 million (equal to $4.32 per diluted share) compared to $489 million (equal to $2.33 per diluted share) during the 2021 three-month period. These results include net gains f</w:t>
      </w:r>
      <w:r>
        <w:rPr>
          <w:rFonts w:eastAsia="Times New Roman"/>
          <w:color w:val="000000"/>
          <w:sz w:val="20"/>
          <w:szCs w:val="20"/>
        </w:rPr>
        <w:t>rom changes in unrealized commodity derivative instruments and certain foreign currency derivative instruments of $535 million and $63 million, respectively, during the 2022 and 2021 three-month periods, as well as business transformation expenses of $2 mi</w:t>
      </w:r>
      <w:r>
        <w:rPr>
          <w:rFonts w:eastAsia="Times New Roman"/>
          <w:color w:val="000000"/>
          <w:sz w:val="20"/>
          <w:szCs w:val="20"/>
        </w:rPr>
        <w:t xml:space="preserve">llion and $14 million, respectively, in the 2022 and 2021 three-month periods. The 2022 three-month period also includes restructuring costs of $13 million largely attributable to a reduction in workforce and related </w:t>
      </w:r>
    </w:p>
    <w:p w:rsidR="00000000" w:rsidRDefault="00844BCF">
      <w:pPr>
        <w:jc w:val="center"/>
        <w:divId w:val="902061353"/>
        <w:rPr>
          <w:rFonts w:eastAsia="Times New Roman"/>
        </w:rPr>
      </w:pPr>
      <w:r>
        <w:rPr>
          <w:rFonts w:eastAsia="Times New Roman"/>
          <w:color w:val="000000"/>
          <w:sz w:val="20"/>
          <w:szCs w:val="20"/>
        </w:rPr>
        <w:t>37</w:t>
      </w:r>
    </w:p>
    <w:p w:rsidR="00000000" w:rsidRDefault="00844BCF">
      <w:pPr>
        <w:rPr>
          <w:rFonts w:eastAsia="Times New Roman"/>
        </w:rPr>
      </w:pPr>
      <w:r>
        <w:rPr>
          <w:rFonts w:eastAsia="Times New Roman"/>
        </w:rPr>
        <w:pict>
          <v:rect id="_x0000_i1063" style="width:0;height:1.5pt" o:hralign="center" o:hrstd="t" o:hr="t" fillcolor="#a0a0a0" stroked="f"/>
        </w:pict>
      </w:r>
    </w:p>
    <w:p w:rsidR="00000000" w:rsidRDefault="00844BCF">
      <w:pPr>
        <w:divId w:val="120464031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384675683"/>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color w:val="000000"/>
          <w:sz w:val="20"/>
          <w:szCs w:val="20"/>
        </w:rPr>
        <w:t>costs, while the 2021 three-month period includes a $23 million tax benefit related to an election made in connection with a tax law change in Italy and $1 million of integration expenses associated with Mountaineer.</w:t>
      </w:r>
    </w:p>
    <w:p w:rsidR="00000000" w:rsidRDefault="00844BCF">
      <w:pPr>
        <w:jc w:val="both"/>
        <w:rPr>
          <w:rFonts w:eastAsia="Times New Roman"/>
        </w:rPr>
      </w:pPr>
    </w:p>
    <w:p w:rsidR="00000000" w:rsidRDefault="00844BCF">
      <w:pPr>
        <w:jc w:val="both"/>
        <w:divId w:val="1736393644"/>
        <w:rPr>
          <w:rFonts w:eastAsia="Times New Roman"/>
        </w:rPr>
      </w:pPr>
      <w:r>
        <w:rPr>
          <w:rFonts w:eastAsia="Times New Roman"/>
          <w:color w:val="000000"/>
          <w:sz w:val="20"/>
          <w:szCs w:val="20"/>
        </w:rPr>
        <w:t>Adjusted net income attributable to U</w:t>
      </w:r>
      <w:r>
        <w:rPr>
          <w:rFonts w:eastAsia="Times New Roman"/>
          <w:color w:val="000000"/>
          <w:sz w:val="20"/>
          <w:szCs w:val="20"/>
        </w:rPr>
        <w:t>GI Corporation for the 2022 three-month period was $413 million (equal to $1.91 per diluted share) compared to $418 million (equal to $1.99 per diluted share) during the 2021 three-month period. The decrease in adjusted net income attributable to UGI Corpo</w:t>
      </w:r>
      <w:r>
        <w:rPr>
          <w:rFonts w:eastAsia="Times New Roman"/>
          <w:color w:val="000000"/>
          <w:sz w:val="20"/>
          <w:szCs w:val="20"/>
        </w:rPr>
        <w:t>ration during the 2022 three-month period reflects lower earnings contributions from our LPG businesses which were significantly impacted by the effects of commodity price volatility on current-period margins and related volumes. Results for the prior-year</w:t>
      </w:r>
      <w:r>
        <w:rPr>
          <w:rFonts w:eastAsia="Times New Roman"/>
          <w:color w:val="000000"/>
          <w:sz w:val="20"/>
          <w:szCs w:val="20"/>
        </w:rPr>
        <w:t xml:space="preserve"> period also included a tax benefit under the CARES Act. These factors were partially offset by improved earnings from Utilities largely attributable to contributions from the Mountaineer Acquisition. </w:t>
      </w:r>
    </w:p>
    <w:p w:rsidR="00000000" w:rsidRDefault="00844BCF">
      <w:pPr>
        <w:jc w:val="both"/>
        <w:divId w:val="661858879"/>
        <w:rPr>
          <w:rFonts w:eastAsia="Times New Roman"/>
        </w:rPr>
      </w:pPr>
      <w:r>
        <w:rPr>
          <w:rFonts w:eastAsia="Times New Roman"/>
          <w:color w:val="000000"/>
          <w:sz w:val="20"/>
          <w:szCs w:val="20"/>
        </w:rPr>
        <w:t>AmeriGas Propane’s adjusted net income attributable to</w:t>
      </w:r>
      <w:r>
        <w:rPr>
          <w:rFonts w:eastAsia="Times New Roman"/>
          <w:color w:val="000000"/>
          <w:sz w:val="20"/>
          <w:szCs w:val="20"/>
        </w:rPr>
        <w:t xml:space="preserve"> UGI Corporation decreased $12 million in the 2022 three-month period. This decrease principally reflects lower retail propane margin primarily attributable to lower volumes sold and higher operating and administrative expenses primarily attributable to in</w:t>
      </w:r>
      <w:r>
        <w:rPr>
          <w:rFonts w:eastAsia="Times New Roman"/>
          <w:color w:val="000000"/>
          <w:sz w:val="20"/>
          <w:szCs w:val="20"/>
        </w:rPr>
        <w:t>creasing distribution costs and other expenses attributable to inflationary pressures.</w:t>
      </w:r>
    </w:p>
    <w:p w:rsidR="00000000" w:rsidRDefault="00844BCF">
      <w:pPr>
        <w:jc w:val="both"/>
        <w:divId w:val="1257976348"/>
        <w:rPr>
          <w:rFonts w:eastAsia="Times New Roman"/>
        </w:rPr>
      </w:pPr>
      <w:r>
        <w:rPr>
          <w:rFonts w:eastAsia="Times New Roman"/>
          <w:color w:val="000000"/>
          <w:sz w:val="20"/>
          <w:szCs w:val="20"/>
        </w:rPr>
        <w:t>UGI International’s adjusted net income attributable to UGI Corporation decreased $10 million in the 2022 three-month period principally reflecting lower total margin fr</w:t>
      </w:r>
      <w:r>
        <w:rPr>
          <w:rFonts w:eastAsia="Times New Roman"/>
          <w:color w:val="000000"/>
          <w:sz w:val="20"/>
          <w:szCs w:val="20"/>
        </w:rPr>
        <w:t>om our energy marketing business. This decrease was partially offset by strong margin management efforts at UGI International’s LPG business despite the rising commodity cost environment.</w:t>
      </w:r>
    </w:p>
    <w:p w:rsidR="00000000" w:rsidRDefault="00844BCF">
      <w:pPr>
        <w:jc w:val="both"/>
        <w:divId w:val="1673340455"/>
        <w:rPr>
          <w:rFonts w:eastAsia="Times New Roman"/>
        </w:rPr>
      </w:pPr>
      <w:r>
        <w:rPr>
          <w:rFonts w:eastAsia="Times New Roman"/>
          <w:color w:val="000000"/>
          <w:sz w:val="20"/>
          <w:szCs w:val="20"/>
        </w:rPr>
        <w:t>Midstream &amp; Marketing’s adjusted net income attributable to UGI Corp</w:t>
      </w:r>
      <w:r>
        <w:rPr>
          <w:rFonts w:eastAsia="Times New Roman"/>
          <w:color w:val="000000"/>
          <w:sz w:val="20"/>
          <w:szCs w:val="20"/>
        </w:rPr>
        <w:t>oration decreased $6 million in the 2022 three-month period primarily attributable to lower total margin which was negatively impacted by the settlement timing of certain multi-year commodity storage hedge contracts during the current-year period, partiall</w:t>
      </w:r>
      <w:r>
        <w:rPr>
          <w:rFonts w:eastAsia="Times New Roman"/>
          <w:color w:val="000000"/>
          <w:sz w:val="20"/>
          <w:szCs w:val="20"/>
        </w:rPr>
        <w:t xml:space="preserve">y offset by the absence of a contingent consideration adjustment related to the GHI acquisition in the prior-year period. </w:t>
      </w:r>
    </w:p>
    <w:p w:rsidR="00000000" w:rsidRDefault="00844BCF">
      <w:pPr>
        <w:jc w:val="both"/>
        <w:rPr>
          <w:rFonts w:eastAsia="Times New Roman"/>
        </w:rPr>
      </w:pPr>
      <w:r>
        <w:rPr>
          <w:rFonts w:eastAsia="Times New Roman"/>
          <w:color w:val="000000"/>
          <w:sz w:val="20"/>
          <w:szCs w:val="20"/>
        </w:rPr>
        <w:t>Utilities’ adjusted net income attributable to UGI Corporation increased $35 million in the 2022 three-month period compared to the p</w:t>
      </w:r>
      <w:r>
        <w:rPr>
          <w:rFonts w:eastAsia="Times New Roman"/>
          <w:color w:val="000000"/>
          <w:sz w:val="20"/>
          <w:szCs w:val="20"/>
        </w:rPr>
        <w:t>rior-year period. The increase was largely related to incremental earnings attributable to the Mountaineer Acquisition. Colder weather and the implementation of a DSIC at UGI Utilities, effective during the second half of Fiscal 2021, also contributed to t</w:t>
      </w:r>
      <w:r>
        <w:rPr>
          <w:rFonts w:eastAsia="Times New Roman"/>
          <w:color w:val="000000"/>
          <w:sz w:val="20"/>
          <w:szCs w:val="20"/>
        </w:rPr>
        <w:t>he earnings improvement during the current-year period.</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u w:val="single"/>
        </w:rPr>
        <w:t>2022 six-month period compared with 2021 six-month period</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Discussion.</w:t>
      </w:r>
      <w:r>
        <w:rPr>
          <w:rFonts w:eastAsia="Times New Roman"/>
          <w:color w:val="000000"/>
          <w:sz w:val="20"/>
          <w:szCs w:val="20"/>
        </w:rPr>
        <w:t xml:space="preserve"> Net income attributable to UGI Corporation for the 2022 six-month period was $836 million (equal to $3.87 per diluted share) c</w:t>
      </w:r>
      <w:r>
        <w:rPr>
          <w:rFonts w:eastAsia="Times New Roman"/>
          <w:color w:val="000000"/>
          <w:sz w:val="20"/>
          <w:szCs w:val="20"/>
        </w:rPr>
        <w:t>ompared to $792 million (equal to $3.77 per diluted share) during the 2021 six-month period. These results include net gains from changes in unrealized commodity derivative instruments and certain foreign currency derivative instruments of $247 million and</w:t>
      </w:r>
      <w:r>
        <w:rPr>
          <w:rFonts w:eastAsia="Times New Roman"/>
          <w:color w:val="000000"/>
          <w:sz w:val="20"/>
          <w:szCs w:val="20"/>
        </w:rPr>
        <w:t xml:space="preserve"> $133 million, respectively, during the 2022 and 2021 six-month periods. Net income attributable to UGI Corporation also reflects business transformation expenses of $3 million and $27 million, respectively, in the 2022 and 2021 six-month periods, as well </w:t>
      </w:r>
      <w:r>
        <w:rPr>
          <w:rFonts w:eastAsia="Times New Roman"/>
          <w:color w:val="000000"/>
          <w:sz w:val="20"/>
          <w:szCs w:val="20"/>
        </w:rPr>
        <w:t>as acquisition and integration expenses associated with Mountaineer of $1 million and $2 million, respectively, in the 2022 and 2021 six-month periods. The 2022 six-month period also includes restructuring costs of $13 million largely attributable to a red</w:t>
      </w:r>
      <w:r>
        <w:rPr>
          <w:rFonts w:eastAsia="Times New Roman"/>
          <w:color w:val="000000"/>
          <w:sz w:val="20"/>
          <w:szCs w:val="20"/>
        </w:rPr>
        <w:t>uction in workforce and related costs and a loss on extinguishment of debt of $8 million associated with financing activities at UGI International, while the 2021 six-month period includes a $23 million tax benefit related to an election made in connection</w:t>
      </w:r>
      <w:r>
        <w:rPr>
          <w:rFonts w:eastAsia="Times New Roman"/>
          <w:color w:val="000000"/>
          <w:sz w:val="20"/>
          <w:szCs w:val="20"/>
        </w:rPr>
        <w:t xml:space="preserve"> with a tax law change in Italy. </w:t>
      </w:r>
    </w:p>
    <w:p w:rsidR="00000000" w:rsidRDefault="00844BCF">
      <w:pPr>
        <w:jc w:val="both"/>
        <w:rPr>
          <w:rFonts w:eastAsia="Times New Roman"/>
        </w:rPr>
      </w:pPr>
    </w:p>
    <w:p w:rsidR="00000000" w:rsidRDefault="00844BCF">
      <w:pPr>
        <w:jc w:val="both"/>
        <w:divId w:val="1131633264"/>
        <w:rPr>
          <w:rFonts w:eastAsia="Times New Roman"/>
        </w:rPr>
      </w:pPr>
      <w:r>
        <w:rPr>
          <w:rFonts w:eastAsia="Times New Roman"/>
          <w:color w:val="000000"/>
          <w:sz w:val="20"/>
          <w:szCs w:val="20"/>
        </w:rPr>
        <w:t xml:space="preserve">Adjusted net income attributable to UGI Corporation for the 2022 six-month period was $614 million (equal to $2.84 per diluted share) compared to $665 million (equal to $3.17 per diluted share) during the 2021 six-month </w:t>
      </w:r>
      <w:r>
        <w:rPr>
          <w:rFonts w:eastAsia="Times New Roman"/>
          <w:color w:val="000000"/>
          <w:sz w:val="20"/>
          <w:szCs w:val="20"/>
        </w:rPr>
        <w:t>period. The decrease in adjusted net income attributable to UGI Corporation during the 2022 six-month period reflects lower earnings contributions from our LPG businesses which were impacted by the effects of commodity price volatility on current-period ma</w:t>
      </w:r>
      <w:r>
        <w:rPr>
          <w:rFonts w:eastAsia="Times New Roman"/>
          <w:color w:val="000000"/>
          <w:sz w:val="20"/>
          <w:szCs w:val="20"/>
        </w:rPr>
        <w:t>rgins and related volumes. Results for the prior-year period also included a tax benefit under the CARES Act. These factors were partially offset by improved earnings from Utilities largely attributable to contributions from the Mountaineer Acquisition and</w:t>
      </w:r>
      <w:r>
        <w:rPr>
          <w:rFonts w:eastAsia="Times New Roman"/>
          <w:color w:val="000000"/>
          <w:sz w:val="20"/>
          <w:szCs w:val="20"/>
        </w:rPr>
        <w:t xml:space="preserve"> higher renewable energy and peaking margin at our Midstream &amp; Marketing business compared to the prior-year period. </w:t>
      </w:r>
    </w:p>
    <w:p w:rsidR="00000000" w:rsidRDefault="00844BCF">
      <w:pPr>
        <w:jc w:val="both"/>
        <w:divId w:val="324480109"/>
        <w:rPr>
          <w:rFonts w:eastAsia="Times New Roman"/>
        </w:rPr>
      </w:pPr>
      <w:r>
        <w:rPr>
          <w:rFonts w:eastAsia="Times New Roman"/>
          <w:color w:val="000000"/>
          <w:sz w:val="20"/>
          <w:szCs w:val="20"/>
        </w:rPr>
        <w:t>AmeriGas Propane’s adjusted net income attributable to UGI Corporation decreased $52 million in the 2022 six-month period. This decrease p</w:t>
      </w:r>
      <w:r>
        <w:rPr>
          <w:rFonts w:eastAsia="Times New Roman"/>
          <w:color w:val="000000"/>
          <w:sz w:val="20"/>
          <w:szCs w:val="20"/>
        </w:rPr>
        <w:t>rincipally reflects lower retail propane margin primarily attributable to lower volumes sold and higher operating and administrative expenses primarily attributable to increasing distribution costs and other expenses attributable to inflationary pressures.</w:t>
      </w:r>
    </w:p>
    <w:p w:rsidR="00000000" w:rsidRDefault="00844BCF">
      <w:pPr>
        <w:jc w:val="both"/>
        <w:divId w:val="1516916370"/>
        <w:rPr>
          <w:rFonts w:eastAsia="Times New Roman"/>
        </w:rPr>
      </w:pPr>
      <w:r>
        <w:rPr>
          <w:rFonts w:eastAsia="Times New Roman"/>
          <w:color w:val="000000"/>
          <w:sz w:val="20"/>
          <w:szCs w:val="20"/>
        </w:rPr>
        <w:t xml:space="preserve">UGI International’s adjusted net income attributable to UGI Corporation decreased $45 million in the 2022 six-month period principally reflecting lower total margin from our energy marketing business and higher distribution, packaging and personnel costs </w:t>
      </w:r>
      <w:r>
        <w:rPr>
          <w:rFonts w:eastAsia="Times New Roman"/>
          <w:color w:val="000000"/>
          <w:sz w:val="20"/>
          <w:szCs w:val="20"/>
        </w:rPr>
        <w:t>associated with higher retail LPG volumes sold and inflationary pressures. This decrease was partially offset by strong margin management efforts at UGI International’s LPG business despite the rising commodity cost environment.</w:t>
      </w:r>
    </w:p>
    <w:p w:rsidR="00000000" w:rsidRDefault="00844BCF">
      <w:pPr>
        <w:jc w:val="center"/>
        <w:divId w:val="1723869335"/>
        <w:rPr>
          <w:rFonts w:eastAsia="Times New Roman"/>
        </w:rPr>
      </w:pPr>
      <w:r>
        <w:rPr>
          <w:rFonts w:eastAsia="Times New Roman"/>
          <w:color w:val="000000"/>
          <w:sz w:val="20"/>
          <w:szCs w:val="20"/>
        </w:rPr>
        <w:t>38</w:t>
      </w:r>
    </w:p>
    <w:p w:rsidR="00000000" w:rsidRDefault="00844BCF">
      <w:pPr>
        <w:rPr>
          <w:rFonts w:eastAsia="Times New Roman"/>
        </w:rPr>
      </w:pPr>
      <w:r>
        <w:rPr>
          <w:rFonts w:eastAsia="Times New Roman"/>
        </w:rPr>
        <w:pict>
          <v:rect id="_x0000_i1064" style="width:0;height:1.5pt" o:hralign="center" o:hrstd="t" o:hr="t" fillcolor="#a0a0a0" stroked="f"/>
        </w:pict>
      </w:r>
    </w:p>
    <w:p w:rsidR="00000000" w:rsidRDefault="00844BCF">
      <w:pPr>
        <w:divId w:val="94249672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911626704"/>
        <w:rPr>
          <w:rFonts w:eastAsia="Times New Roman"/>
        </w:rPr>
      </w:pPr>
      <w:r>
        <w:rPr>
          <w:rFonts w:eastAsia="Times New Roman"/>
          <w:b/>
          <w:bCs/>
          <w:color w:val="000000"/>
          <w:sz w:val="20"/>
          <w:szCs w:val="20"/>
        </w:rPr>
        <w:t>UGI CORPORATION AND SUBSIDIARIES</w:t>
      </w:r>
    </w:p>
    <w:p w:rsidR="00000000" w:rsidRDefault="00844BCF">
      <w:pPr>
        <w:jc w:val="both"/>
        <w:divId w:val="734277741"/>
        <w:rPr>
          <w:rFonts w:eastAsia="Times New Roman"/>
        </w:rPr>
      </w:pPr>
      <w:r>
        <w:rPr>
          <w:rFonts w:eastAsia="Times New Roman"/>
          <w:color w:val="000000"/>
          <w:sz w:val="20"/>
          <w:szCs w:val="20"/>
        </w:rPr>
        <w:t>Midstream &amp; Marketing’s adjusted net income attributable to UGI Corporation increased $10 million in the 2022 six-month period primaril</w:t>
      </w:r>
      <w:r>
        <w:rPr>
          <w:rFonts w:eastAsia="Times New Roman"/>
          <w:color w:val="000000"/>
          <w:sz w:val="20"/>
          <w:szCs w:val="20"/>
        </w:rPr>
        <w:t xml:space="preserve">y attributable to higher margins related to renewable energy marketing activities compared to the prior-year period. </w:t>
      </w:r>
    </w:p>
    <w:p w:rsidR="00000000" w:rsidRDefault="00844BCF">
      <w:pPr>
        <w:jc w:val="both"/>
        <w:rPr>
          <w:rFonts w:eastAsia="Times New Roman"/>
        </w:rPr>
      </w:pPr>
      <w:r>
        <w:rPr>
          <w:rFonts w:eastAsia="Times New Roman"/>
          <w:color w:val="000000"/>
          <w:sz w:val="20"/>
          <w:szCs w:val="20"/>
        </w:rPr>
        <w:t>Utilities’ adjusted net income attributable to UGI Corporation increased $49 million in the 2022 six-month period compared to the prior-ye</w:t>
      </w:r>
      <w:r>
        <w:rPr>
          <w:rFonts w:eastAsia="Times New Roman"/>
          <w:color w:val="000000"/>
          <w:sz w:val="20"/>
          <w:szCs w:val="20"/>
        </w:rPr>
        <w:t>ar period. The increase was largely related to incremental earnings attributable to the Mountaineer Acquisition. The increase in base rates and the implementation of a DSIC at UGI Utilities, both effective during the second half of Fiscal 2021, also contri</w:t>
      </w:r>
      <w:r>
        <w:rPr>
          <w:rFonts w:eastAsia="Times New Roman"/>
          <w:color w:val="000000"/>
          <w:sz w:val="20"/>
          <w:szCs w:val="20"/>
        </w:rPr>
        <w:t>buted to the earnings improvement during the current-year period.</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u w:val="single"/>
        </w:rPr>
        <w:t>SEGMENT RESULTS OF OPERATIONS</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2022 Three-Month Period Compared with the 2021 Three-Month Period</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AmeriGas Propane</w:t>
      </w:r>
      <w:r>
        <w:rPr>
          <w:rFonts w:eastAsia="Times New Roman"/>
          <w:b/>
          <w:bCs/>
          <w:color w:val="000000"/>
          <w:sz w:val="20"/>
          <w:szCs w:val="20"/>
        </w:rPr>
        <w:t xml:space="preserve"> </w:t>
      </w:r>
    </w:p>
    <w:p w:rsidR="00000000" w:rsidRDefault="00844BCF">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0"/>
        <w:gridCol w:w="3731"/>
        <w:gridCol w:w="39"/>
        <w:gridCol w:w="36"/>
        <w:gridCol w:w="36"/>
        <w:gridCol w:w="36"/>
        <w:gridCol w:w="120"/>
        <w:gridCol w:w="802"/>
        <w:gridCol w:w="187"/>
        <w:gridCol w:w="36"/>
        <w:gridCol w:w="36"/>
        <w:gridCol w:w="36"/>
        <w:gridCol w:w="120"/>
        <w:gridCol w:w="802"/>
        <w:gridCol w:w="187"/>
        <w:gridCol w:w="36"/>
        <w:gridCol w:w="36"/>
        <w:gridCol w:w="36"/>
        <w:gridCol w:w="121"/>
        <w:gridCol w:w="682"/>
        <w:gridCol w:w="37"/>
        <w:gridCol w:w="37"/>
        <w:gridCol w:w="37"/>
        <w:gridCol w:w="36"/>
        <w:gridCol w:w="36"/>
        <w:gridCol w:w="768"/>
        <w:gridCol w:w="187"/>
      </w:tblGrid>
      <w:tr w:rsidR="00000000">
        <w:tc>
          <w:tcPr>
            <w:tcW w:w="50" w:type="pct"/>
            <w:vAlign w:val="center"/>
            <w:hideMark/>
          </w:tcPr>
          <w:p w:rsidR="00000000" w:rsidRDefault="00844BCF">
            <w:pPr>
              <w:jc w:val="both"/>
              <w:rPr>
                <w:rFonts w:eastAsia="Times New Roman"/>
              </w:rPr>
            </w:pPr>
          </w:p>
        </w:tc>
        <w:tc>
          <w:tcPr>
            <w:tcW w:w="232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0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1,048 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940 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income/earnings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329 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Heating degree days—% colder (warmer) than normal (b)</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844BCF">
      <w:pPr>
        <w:ind w:hanging="360"/>
        <w:jc w:val="both"/>
        <w:rPr>
          <w:rFonts w:eastAsia="Times New Roman"/>
        </w:rPr>
      </w:pPr>
      <w:r>
        <w:rPr>
          <w:rFonts w:eastAsia="Times New Roman"/>
          <w:color w:val="000000"/>
          <w:sz w:val="20"/>
          <w:szCs w:val="20"/>
        </w:rPr>
        <w:t>(b)Deviation from average heating degree days is determined</w:t>
      </w:r>
      <w:r>
        <w:rPr>
          <w:rFonts w:eastAsia="Times New Roman"/>
          <w:color w:val="000000"/>
          <w:sz w:val="20"/>
          <w:szCs w:val="20"/>
        </w:rPr>
        <w:t xml:space="preserve"> on a rolling 10-year period utilizing volume-weighted weather data based on weather statistics provided by NOAA for 344 regions in the United States, excluding Alaska and Hawaii.</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Average temperatures during the 2022 three-month period were 2.9% colder t</w:t>
      </w:r>
      <w:r>
        <w:rPr>
          <w:rFonts w:eastAsia="Times New Roman"/>
          <w:color w:val="000000"/>
          <w:sz w:val="20"/>
          <w:szCs w:val="20"/>
        </w:rPr>
        <w:t>han normal and 4.8% colder than the prior-year period. Total retail gallons sold decreased 8% during the 2022 three-month period principally reflecting the continued impact of customer service challenges that occurred in Fiscal 2021, increased price sensit</w:t>
      </w:r>
      <w:r>
        <w:rPr>
          <w:rFonts w:eastAsia="Times New Roman"/>
          <w:color w:val="000000"/>
          <w:sz w:val="20"/>
          <w:szCs w:val="20"/>
        </w:rPr>
        <w:t>ivity in the higher commodity cost environment and the prior-year impact of COVID-19 on cylinder exchange and resale volumes.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Average daily wholesale propane commodity prices during the 2022 three-month period at Mont Belvieu, Texas, one of the major sup</w:t>
      </w:r>
      <w:r>
        <w:rPr>
          <w:rFonts w:eastAsia="Times New Roman"/>
          <w:color w:val="000000"/>
          <w:sz w:val="20"/>
          <w:szCs w:val="20"/>
        </w:rPr>
        <w:t>ply points in the U.S., were approximately 45% higher than such prices during the 2021 three-month period. This increase in prices has impacted both total revenues and total costs of sales during the 2022 three-month period. Total revenues increased $108 m</w:t>
      </w:r>
      <w:r>
        <w:rPr>
          <w:rFonts w:eastAsia="Times New Roman"/>
          <w:color w:val="000000"/>
          <w:sz w:val="20"/>
          <w:szCs w:val="20"/>
        </w:rPr>
        <w:t>illion during the 2022 three-month period largely reflecting higher average propane selling prices ($152 million) and higher wholesale volumes sold ($13 million) compared to the prior-year period. These positive impacts were partially offset by the effects</w:t>
      </w:r>
      <w:r>
        <w:rPr>
          <w:rFonts w:eastAsia="Times New Roman"/>
          <w:color w:val="000000"/>
          <w:sz w:val="20"/>
          <w:szCs w:val="20"/>
        </w:rPr>
        <w:t xml:space="preserve"> of the previously mentioned decrease in retail propane volumes sold ($61 million).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Total cost of sales increased $114 million during the 2022 three-month period largely attributable to the higher average propane product costs ($125 million) and higher wholesale propane volumes sold ($12 million). These increases in cost of sales were par</w:t>
      </w:r>
      <w:r>
        <w:rPr>
          <w:rFonts w:eastAsia="Times New Roman"/>
          <w:color w:val="000000"/>
          <w:sz w:val="20"/>
          <w:szCs w:val="20"/>
        </w:rPr>
        <w:t>tially offset by the decrease in retail propane volumes sold ($28 million). Total margin decreased $6 million in the 2022 three-month period largely attributable to the lower retail propane volumes ($33 million) partially offset by higher average retail ma</w:t>
      </w:r>
      <w:r>
        <w:rPr>
          <w:rFonts w:eastAsia="Times New Roman"/>
          <w:color w:val="000000"/>
          <w:sz w:val="20"/>
          <w:szCs w:val="20"/>
        </w:rPr>
        <w:t>rgins ($27 million).</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Operating income and earnings before interest expense and income taxes decreased $12 million during the 2022 three-month period primarily reflecting the decrease in total margin and higher operating and administrative expenses ($7 mi</w:t>
      </w:r>
      <w:r>
        <w:rPr>
          <w:rFonts w:eastAsia="Times New Roman"/>
          <w:color w:val="000000"/>
          <w:sz w:val="20"/>
          <w:szCs w:val="20"/>
        </w:rPr>
        <w:t>llion) compared to the prior-year period. The increase in operating and administrative expenses was impacted by the inflationary cost environment and reflects, among other things, higher expenses associated with general insurance ($6 million), vehicle fuel</w:t>
      </w:r>
      <w:r>
        <w:rPr>
          <w:rFonts w:eastAsia="Times New Roman"/>
          <w:color w:val="000000"/>
          <w:sz w:val="20"/>
          <w:szCs w:val="20"/>
        </w:rPr>
        <w:t xml:space="preserve"> ($4 million) and bad debt reserves ($4 million) compared to the prior-year period. These increases were partially offset by lower employee compensation and benefits ($7 million).</w:t>
      </w:r>
    </w:p>
    <w:p w:rsidR="00000000" w:rsidRDefault="00844BCF">
      <w:pPr>
        <w:jc w:val="both"/>
        <w:rPr>
          <w:rFonts w:eastAsia="Times New Roman"/>
        </w:rPr>
      </w:pPr>
    </w:p>
    <w:p w:rsidR="00000000" w:rsidRDefault="00844BCF">
      <w:pPr>
        <w:jc w:val="center"/>
        <w:divId w:val="1799490117"/>
        <w:rPr>
          <w:rFonts w:eastAsia="Times New Roman"/>
        </w:rPr>
      </w:pPr>
      <w:r>
        <w:rPr>
          <w:rFonts w:eastAsia="Times New Roman"/>
          <w:color w:val="000000"/>
          <w:sz w:val="20"/>
          <w:szCs w:val="20"/>
        </w:rPr>
        <w:t>39</w:t>
      </w:r>
    </w:p>
    <w:p w:rsidR="00000000" w:rsidRDefault="00844BCF">
      <w:pPr>
        <w:rPr>
          <w:rFonts w:eastAsia="Times New Roman"/>
        </w:rPr>
      </w:pPr>
      <w:r>
        <w:rPr>
          <w:rFonts w:eastAsia="Times New Roman"/>
        </w:rPr>
        <w:pict>
          <v:rect id="_x0000_i1065" style="width:0;height:1.5pt" o:hralign="center" o:hrstd="t" o:hr="t" fillcolor="#a0a0a0" stroked="f"/>
        </w:pict>
      </w:r>
    </w:p>
    <w:p w:rsidR="00000000" w:rsidRDefault="00844BCF">
      <w:pPr>
        <w:divId w:val="565606389"/>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415516652"/>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b/>
          <w:bCs/>
          <w:i/>
          <w:iCs/>
          <w:color w:val="000000"/>
          <w:sz w:val="20"/>
          <w:szCs w:val="20"/>
        </w:rPr>
        <w:t>UGI International</w:t>
      </w:r>
    </w:p>
    <w:p w:rsidR="00000000" w:rsidRDefault="00844BCF">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52"/>
        <w:gridCol w:w="38"/>
        <w:gridCol w:w="36"/>
        <w:gridCol w:w="36"/>
        <w:gridCol w:w="36"/>
        <w:gridCol w:w="120"/>
        <w:gridCol w:w="804"/>
        <w:gridCol w:w="187"/>
        <w:gridCol w:w="36"/>
        <w:gridCol w:w="36"/>
        <w:gridCol w:w="36"/>
        <w:gridCol w:w="120"/>
        <w:gridCol w:w="804"/>
        <w:gridCol w:w="187"/>
        <w:gridCol w:w="36"/>
        <w:gridCol w:w="36"/>
        <w:gridCol w:w="36"/>
        <w:gridCol w:w="121"/>
        <w:gridCol w:w="658"/>
        <w:gridCol w:w="37"/>
        <w:gridCol w:w="36"/>
        <w:gridCol w:w="36"/>
        <w:gridCol w:w="36"/>
        <w:gridCol w:w="40"/>
        <w:gridCol w:w="580"/>
        <w:gridCol w:w="187"/>
      </w:tblGrid>
      <w:tr w:rsidR="00000000">
        <w:tc>
          <w:tcPr>
            <w:tcW w:w="50" w:type="pct"/>
            <w:vAlign w:val="center"/>
            <w:hideMark/>
          </w:tcPr>
          <w:p w:rsidR="00000000" w:rsidRDefault="00844BCF">
            <w:pPr>
              <w:jc w:val="both"/>
              <w:rPr>
                <w:rFonts w:eastAsia="Times New Roman"/>
              </w:rPr>
            </w:pPr>
          </w:p>
        </w:tc>
        <w:tc>
          <w:tcPr>
            <w:tcW w:w="245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9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7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1,224 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834 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Heating degree days—</w:t>
            </w:r>
            <w:r>
              <w:rPr>
                <w:rFonts w:eastAsia="Times New Roman"/>
                <w:color w:val="000000"/>
                <w:sz w:val="20"/>
                <w:szCs w:val="20"/>
              </w:rPr>
              <w:t>% warmer than normal (b)</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ind w:hanging="360"/>
        <w:jc w:val="both"/>
        <w:rPr>
          <w:rFonts w:eastAsia="Times New Roman"/>
        </w:rPr>
      </w:pPr>
      <w:r>
        <w:rPr>
          <w:rFonts w:eastAsia="Times New Roman"/>
          <w:color w:val="000000"/>
          <w:sz w:val="20"/>
          <w:szCs w:val="20"/>
        </w:rPr>
        <w:t xml:space="preserve">(a)Total </w:t>
      </w:r>
      <w:r>
        <w:rPr>
          <w:rFonts w:eastAsia="Times New Roman"/>
          <w:color w:val="000000"/>
          <w:sz w:val="20"/>
          <w:szCs w:val="20"/>
        </w:rPr>
        <w:t>margin represents revenues less cost of sales.</w:t>
      </w:r>
    </w:p>
    <w:p w:rsidR="00000000" w:rsidRDefault="00844BCF">
      <w:pPr>
        <w:ind w:hanging="360"/>
        <w:jc w:val="both"/>
        <w:rPr>
          <w:rFonts w:eastAsia="Times New Roman"/>
        </w:rPr>
      </w:pPr>
      <w:r>
        <w:rPr>
          <w:rFonts w:eastAsia="Times New Roman"/>
          <w:color w:val="000000"/>
          <w:sz w:val="20"/>
          <w:szCs w:val="20"/>
        </w:rPr>
        <w:t>(b)Deviation from average heating degree days is determined on a rolling 10-year period utilizing volume-weighted weather data at locations in our UGI International service territories.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Average temperatures </w:t>
      </w:r>
      <w:r>
        <w:rPr>
          <w:rFonts w:eastAsia="Times New Roman"/>
          <w:color w:val="000000"/>
          <w:sz w:val="20"/>
          <w:szCs w:val="20"/>
        </w:rPr>
        <w:t>during the 2022 three-month period were 5.7% warmer than normal and 4.9% warmer than the prior-year period. Total LPG retail gallons sold during the 2022 three-month period increased slightly and was attributable to the recovery of certain bulk and autogas</w:t>
      </w:r>
      <w:r>
        <w:rPr>
          <w:rFonts w:eastAsia="Times New Roman"/>
          <w:color w:val="000000"/>
          <w:sz w:val="20"/>
          <w:szCs w:val="20"/>
        </w:rPr>
        <w:t xml:space="preserve"> volumes that were negatively impacted by COVID-19 offset by the effects of weather that was warmer than the prior-year period.</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UGI International base-currency results are translated into U.S. dollars based upon exchange rates experienced during the repo</w:t>
      </w:r>
      <w:r>
        <w:rPr>
          <w:rFonts w:eastAsia="Times New Roman"/>
          <w:color w:val="000000"/>
          <w:sz w:val="20"/>
          <w:szCs w:val="20"/>
        </w:rPr>
        <w:t>rting periods. The functional currency of a significant portion of our UGI International results is the euro and, to a much lesser extent, the British pound sterling. During the 2022 and 2021 three-month periods, the average unweighted euro-to-dollar trans</w:t>
      </w:r>
      <w:r>
        <w:rPr>
          <w:rFonts w:eastAsia="Times New Roman"/>
          <w:color w:val="000000"/>
          <w:sz w:val="20"/>
          <w:szCs w:val="20"/>
        </w:rPr>
        <w:t xml:space="preserve">lation rates were approximately $1.12 and $1.21, respectively, and the average unweighted British pound sterling-to-dollar translation rates were approximately $1.34 and $1.38, respectively. Fluctuations in these foreign currency exchange rates can have a </w:t>
      </w:r>
      <w:r>
        <w:rPr>
          <w:rFonts w:eastAsia="Times New Roman"/>
          <w:color w:val="000000"/>
          <w:sz w:val="20"/>
          <w:szCs w:val="20"/>
        </w:rPr>
        <w:t xml:space="preserve">significant impact on the individual financial statement components discussed below. The net effect of changes in foreign currency exchange rates on UGI International’s earnings before interest expense and income taxes resulted in a net loss of $7 million </w:t>
      </w:r>
      <w:r>
        <w:rPr>
          <w:rFonts w:eastAsia="Times New Roman"/>
          <w:color w:val="000000"/>
          <w:sz w:val="20"/>
          <w:szCs w:val="20"/>
        </w:rPr>
        <w:t>in the 2022 three-month period. However, the impact of these changes is mitigated by the effects of forward foreign currency exchange contracts entered into over a multi-year period intended to substantially offset this volatility. These forward foreign cu</w:t>
      </w:r>
      <w:r>
        <w:rPr>
          <w:rFonts w:eastAsia="Times New Roman"/>
          <w:color w:val="000000"/>
          <w:sz w:val="20"/>
          <w:szCs w:val="20"/>
        </w:rPr>
        <w:t xml:space="preserve">rrency exchange contracts resulted in realized net gains of $6 million and $1 million in the 2022 and 2021 three-month periods, respectively.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UGI International revenues and cost of sales increased $390 million and $439 million, respectively, during the </w:t>
      </w:r>
      <w:r>
        <w:rPr>
          <w:rFonts w:eastAsia="Times New Roman"/>
          <w:color w:val="000000"/>
          <w:sz w:val="20"/>
          <w:szCs w:val="20"/>
        </w:rPr>
        <w:t xml:space="preserve">2022 three-month period compared to the prior-year period. Average wholesale prices for propane and butane during the 2022 three-month period in northwest Europe were approximately 59% and 94% higher, respectively, compared with the prior-year period. The </w:t>
      </w:r>
      <w:r>
        <w:rPr>
          <w:rFonts w:eastAsia="Times New Roman"/>
          <w:color w:val="000000"/>
          <w:sz w:val="20"/>
          <w:szCs w:val="20"/>
        </w:rPr>
        <w:t>increase in revenues and cost of sales principally reflects the impact of significant increases and volatility in natural gas and power prices on our energy marketing business and the effects of these higher average propane and butane selling prices and pr</w:t>
      </w:r>
      <w:r>
        <w:rPr>
          <w:rFonts w:eastAsia="Times New Roman"/>
          <w:color w:val="000000"/>
          <w:sz w:val="20"/>
          <w:szCs w:val="20"/>
        </w:rPr>
        <w:t>oduct costs compared to the prior-year period. These increases were partially offset by the translation effects of weaker foreign currencies (approximately $88 million and $68 million, respectively).</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UGI International total margin decreased $49 million d</w:t>
      </w:r>
      <w:r>
        <w:rPr>
          <w:rFonts w:eastAsia="Times New Roman"/>
          <w:color w:val="000000"/>
          <w:sz w:val="20"/>
          <w:szCs w:val="20"/>
        </w:rPr>
        <w:t>uring the 2022 three-month period primarily reflecting lower total margin from our energy marketing business and the translation effects of weaker foreign currencies (approximately $20 million). This decrease was partially offset by higher total margin fro</w:t>
      </w:r>
      <w:r>
        <w:rPr>
          <w:rFonts w:eastAsia="Times New Roman"/>
          <w:color w:val="000000"/>
          <w:sz w:val="20"/>
          <w:szCs w:val="20"/>
        </w:rPr>
        <w:t>m our LPG business attributable to strong margin management efforts despite the effects of the previously mentioned higher product costs and weather that was warmer than the prior-year period. The lower total margin from our energy marketing business is la</w:t>
      </w:r>
      <w:r>
        <w:rPr>
          <w:rFonts w:eastAsia="Times New Roman"/>
          <w:color w:val="000000"/>
          <w:sz w:val="20"/>
          <w:szCs w:val="20"/>
        </w:rPr>
        <w:t xml:space="preserve">rgely due to the impact of significant volatility in commodity costs and its effects on the unit margins of certain customer contracts during the 2022 three-month period. The effects of this volatility on such customer contracts are expected to be largely </w:t>
      </w:r>
      <w:r>
        <w:rPr>
          <w:rFonts w:eastAsia="Times New Roman"/>
          <w:color w:val="000000"/>
          <w:sz w:val="20"/>
          <w:szCs w:val="20"/>
        </w:rPr>
        <w:t>confined to the primary heating season.</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UGI International operating income and earnings before interest expense and income taxes decreased $36 million and $29 million, respectively, during the 2022 three-month period compared to the prior-year period. Th</w:t>
      </w:r>
      <w:r>
        <w:rPr>
          <w:rFonts w:eastAsia="Times New Roman"/>
          <w:color w:val="000000"/>
          <w:sz w:val="20"/>
          <w:szCs w:val="20"/>
        </w:rPr>
        <w:t>e decrease in operating income principally reflects the previously mentioned decrease in total margin partially offset by higher other operating income related to gains on the sale of assets and slightly lower operating and administrative expenses which in</w:t>
      </w:r>
      <w:r>
        <w:rPr>
          <w:rFonts w:eastAsia="Times New Roman"/>
          <w:color w:val="000000"/>
          <w:sz w:val="20"/>
          <w:szCs w:val="20"/>
        </w:rPr>
        <w:t>cludes the impact of weaker foreign currencies in the 2022 three-month period. The decrease in earnings before interest expense and income taxes in the 2022 three-month period largely reflects the decrease in operating income partially offset by higher rea</w:t>
      </w:r>
      <w:r>
        <w:rPr>
          <w:rFonts w:eastAsia="Times New Roman"/>
          <w:color w:val="000000"/>
          <w:sz w:val="20"/>
          <w:szCs w:val="20"/>
        </w:rPr>
        <w:t xml:space="preserve">lized gains on foreign </w:t>
      </w:r>
    </w:p>
    <w:p w:rsidR="00000000" w:rsidRDefault="00844BCF">
      <w:pPr>
        <w:jc w:val="center"/>
        <w:divId w:val="1560286869"/>
        <w:rPr>
          <w:rFonts w:eastAsia="Times New Roman"/>
        </w:rPr>
      </w:pPr>
      <w:r>
        <w:rPr>
          <w:rFonts w:eastAsia="Times New Roman"/>
          <w:color w:val="000000"/>
          <w:sz w:val="20"/>
          <w:szCs w:val="20"/>
        </w:rPr>
        <w:t>40</w:t>
      </w:r>
    </w:p>
    <w:p w:rsidR="00000000" w:rsidRDefault="00844BCF">
      <w:pPr>
        <w:rPr>
          <w:rFonts w:eastAsia="Times New Roman"/>
        </w:rPr>
      </w:pPr>
      <w:r>
        <w:rPr>
          <w:rFonts w:eastAsia="Times New Roman"/>
        </w:rPr>
        <w:pict>
          <v:rect id="_x0000_i1066" style="width:0;height:1.5pt" o:hralign="center" o:hrstd="t" o:hr="t" fillcolor="#a0a0a0" stroked="f"/>
        </w:pict>
      </w:r>
    </w:p>
    <w:p w:rsidR="00000000" w:rsidRDefault="00844BCF">
      <w:pPr>
        <w:divId w:val="30293281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376202378"/>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color w:val="000000"/>
          <w:sz w:val="20"/>
          <w:szCs w:val="20"/>
        </w:rPr>
        <w:t>currency exchange contracts entered into in order to reduce volatility in UGI International earnings resulting from the effects of changes in foreign currency exchange rates ($5 million).</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Midstream &amp; Marketing</w:t>
      </w:r>
    </w:p>
    <w:p w:rsidR="00000000" w:rsidRDefault="00844BCF">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666"/>
        <w:gridCol w:w="38"/>
        <w:gridCol w:w="36"/>
        <w:gridCol w:w="36"/>
        <w:gridCol w:w="36"/>
        <w:gridCol w:w="120"/>
        <w:gridCol w:w="858"/>
        <w:gridCol w:w="36"/>
        <w:gridCol w:w="36"/>
        <w:gridCol w:w="36"/>
        <w:gridCol w:w="36"/>
        <w:gridCol w:w="120"/>
        <w:gridCol w:w="858"/>
        <w:gridCol w:w="36"/>
        <w:gridCol w:w="36"/>
        <w:gridCol w:w="36"/>
        <w:gridCol w:w="36"/>
        <w:gridCol w:w="121"/>
        <w:gridCol w:w="858"/>
        <w:gridCol w:w="37"/>
        <w:gridCol w:w="37"/>
        <w:gridCol w:w="37"/>
        <w:gridCol w:w="36"/>
        <w:gridCol w:w="36"/>
        <w:gridCol w:w="849"/>
        <w:gridCol w:w="187"/>
      </w:tblGrid>
      <w:tr w:rsidR="00000000">
        <w:tc>
          <w:tcPr>
            <w:tcW w:w="50" w:type="pct"/>
            <w:vAlign w:val="center"/>
            <w:hideMark/>
          </w:tcPr>
          <w:p w:rsidR="00000000" w:rsidRDefault="00844BCF">
            <w:pPr>
              <w:jc w:val="both"/>
              <w:rPr>
                <w:rFonts w:eastAsia="Times New Roman"/>
              </w:rPr>
            </w:pPr>
          </w:p>
        </w:tc>
        <w:tc>
          <w:tcPr>
            <w:tcW w:w="225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 xml:space="preserve">Revenues </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671 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bl>
    <w:p w:rsidR="00000000" w:rsidRDefault="00844BCF">
      <w:pPr>
        <w:ind w:hanging="360"/>
        <w:jc w:val="both"/>
        <w:rPr>
          <w:rFonts w:eastAsia="Times New Roman"/>
        </w:rPr>
      </w:pPr>
      <w:r>
        <w:rPr>
          <w:rFonts w:eastAsia="Times New Roman"/>
          <w:color w:val="000000"/>
          <w:sz w:val="20"/>
          <w:szCs w:val="20"/>
        </w:rPr>
        <w:t>(a)Total margin represents revenues less cost of sales.</w:t>
      </w:r>
    </w:p>
    <w:p w:rsidR="00000000" w:rsidRDefault="00844BCF">
      <w:pPr>
        <w:divId w:val="1507358322"/>
        <w:rPr>
          <w:rFonts w:eastAsia="Times New Roman"/>
        </w:rPr>
      </w:pPr>
    </w:p>
    <w:p w:rsidR="00000000" w:rsidRDefault="00844BCF">
      <w:pPr>
        <w:jc w:val="both"/>
        <w:rPr>
          <w:rFonts w:eastAsia="Times New Roman"/>
        </w:rPr>
      </w:pPr>
      <w:r>
        <w:rPr>
          <w:rFonts w:eastAsia="Times New Roman"/>
          <w:color w:val="000000"/>
          <w:sz w:val="20"/>
          <w:szCs w:val="20"/>
        </w:rPr>
        <w:t>Average temperatures across Midstream &amp; Marketing’s energy marketing territory duri</w:t>
      </w:r>
      <w:r>
        <w:rPr>
          <w:rFonts w:eastAsia="Times New Roman"/>
          <w:color w:val="000000"/>
          <w:sz w:val="20"/>
          <w:szCs w:val="20"/>
        </w:rPr>
        <w:t>ng the 2022 three-month period were 2.8% warmer than normal and relatively consistent with the prior-year period.</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Midstream &amp; Marketing revenues and cost of sales for the 2022 three-month period increased $187 million and $197 million, respectively, comp</w:t>
      </w:r>
      <w:r>
        <w:rPr>
          <w:rFonts w:eastAsia="Times New Roman"/>
          <w:color w:val="000000"/>
          <w:sz w:val="20"/>
          <w:szCs w:val="20"/>
        </w:rPr>
        <w:t>ared to the prior-year period. These increases were largely driven by natural gas marketing, including the effects of peaking and capacity management activities, which were impacted by significantly higher average natural gas prices compared to the prior-y</w:t>
      </w:r>
      <w:r>
        <w:rPr>
          <w:rFonts w:eastAsia="Times New Roman"/>
          <w:color w:val="000000"/>
          <w:sz w:val="20"/>
          <w:szCs w:val="20"/>
        </w:rPr>
        <w:t xml:space="preserve">ear period, partially offset by lower volumes. As a result, natural gas revenues and cost of sales increased $183 million and $186 million, respectively, during the 2022 three-month period.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Midstream &amp; Marketing total margin decreased $10 million in the</w:t>
      </w:r>
      <w:r>
        <w:rPr>
          <w:rFonts w:eastAsia="Times New Roman"/>
          <w:color w:val="000000"/>
          <w:sz w:val="20"/>
          <w:szCs w:val="20"/>
        </w:rPr>
        <w:t xml:space="preserve"> 2022 three-month period largely reflecting lower margin from capacity management contracts ($15 million) and natural gas marketing activities ($3 million). Capacity management margin was negatively impacted by the settlement timing of certain multi-year c</w:t>
      </w:r>
      <w:r>
        <w:rPr>
          <w:rFonts w:eastAsia="Times New Roman"/>
          <w:color w:val="000000"/>
          <w:sz w:val="20"/>
          <w:szCs w:val="20"/>
        </w:rPr>
        <w:t>ommodity storage hedge contracts during the 2022 three-month period. These impacts were partially offset by improved margin from peaking contracts ($6 million) compared to the prior-year period and incremental margin attributable to the Stonehenge Acquisit</w:t>
      </w:r>
      <w:r>
        <w:rPr>
          <w:rFonts w:eastAsia="Times New Roman"/>
          <w:color w:val="000000"/>
          <w:sz w:val="20"/>
          <w:szCs w:val="20"/>
        </w:rPr>
        <w:t xml:space="preserve">ion ($4 million).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Midstream &amp; Marketing operating income and earnings before interest expense and income taxes during the 2022 three-month period decreased $5 million and $10 million, respectively, compared to the prior-year period. The decrease in oper</w:t>
      </w:r>
      <w:r>
        <w:rPr>
          <w:rFonts w:eastAsia="Times New Roman"/>
          <w:color w:val="000000"/>
          <w:sz w:val="20"/>
          <w:szCs w:val="20"/>
        </w:rPr>
        <w:t>ating income primarily reflects the lower total margin and higher operating and administrative expenses ($2 million), partially offset by the absence of a contingent consideration adjustment related to the GHI acquisition in the prior-year period. The decr</w:t>
      </w:r>
      <w:r>
        <w:rPr>
          <w:rFonts w:eastAsia="Times New Roman"/>
          <w:color w:val="000000"/>
          <w:sz w:val="20"/>
          <w:szCs w:val="20"/>
        </w:rPr>
        <w:t xml:space="preserve">ease in earnings before interest expense and income taxes reflects the decrease in operating income and lower income from equity-method investments compared to the prior-year period. </w:t>
      </w:r>
    </w:p>
    <w:p w:rsidR="00000000" w:rsidRDefault="00844BCF">
      <w:pPr>
        <w:divId w:val="415130659"/>
        <w:rPr>
          <w:rFonts w:eastAsia="Times New Roman"/>
        </w:rPr>
      </w:pPr>
    </w:p>
    <w:p w:rsidR="00000000" w:rsidRDefault="00844BCF">
      <w:pPr>
        <w:divId w:val="1048919672"/>
        <w:rPr>
          <w:rFonts w:eastAsia="Times New Roman"/>
        </w:rPr>
      </w:pPr>
      <w:r>
        <w:rPr>
          <w:rFonts w:eastAsia="Times New Roman"/>
          <w:b/>
          <w:bCs/>
          <w:i/>
          <w:iCs/>
          <w:color w:val="000000"/>
          <w:sz w:val="20"/>
          <w:szCs w:val="20"/>
        </w:rPr>
        <w:t>Utilities</w:t>
      </w:r>
    </w:p>
    <w:p w:rsidR="00000000" w:rsidRDefault="00844BCF">
      <w:pPr>
        <w:divId w:val="367805570"/>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061"/>
        <w:gridCol w:w="38"/>
        <w:gridCol w:w="36"/>
        <w:gridCol w:w="36"/>
        <w:gridCol w:w="36"/>
        <w:gridCol w:w="120"/>
        <w:gridCol w:w="718"/>
        <w:gridCol w:w="187"/>
        <w:gridCol w:w="36"/>
        <w:gridCol w:w="36"/>
        <w:gridCol w:w="36"/>
        <w:gridCol w:w="120"/>
        <w:gridCol w:w="731"/>
        <w:gridCol w:w="187"/>
        <w:gridCol w:w="36"/>
        <w:gridCol w:w="36"/>
        <w:gridCol w:w="36"/>
        <w:gridCol w:w="120"/>
        <w:gridCol w:w="672"/>
        <w:gridCol w:w="36"/>
        <w:gridCol w:w="36"/>
        <w:gridCol w:w="36"/>
        <w:gridCol w:w="36"/>
        <w:gridCol w:w="37"/>
        <w:gridCol w:w="596"/>
        <w:gridCol w:w="187"/>
      </w:tblGrid>
      <w:tr w:rsidR="00000000">
        <w:trPr>
          <w:jc w:val="center"/>
        </w:trPr>
        <w:tc>
          <w:tcPr>
            <w:tcW w:w="50" w:type="pct"/>
            <w:vAlign w:val="center"/>
            <w:hideMark/>
          </w:tcPr>
          <w:p w:rsidR="00000000" w:rsidRDefault="00844BCF">
            <w:pPr>
              <w:rPr>
                <w:rFonts w:eastAsia="Times New Roman"/>
              </w:rPr>
            </w:pPr>
          </w:p>
        </w:tc>
        <w:tc>
          <w:tcPr>
            <w:tcW w:w="252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0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 the three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Increase</w:t>
            </w: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707 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442 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Gas Utility system throughput—bcf</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Core market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Natural gas heating degree days—% warmer than normal (b)</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ind w:hanging="360"/>
        <w:jc w:val="both"/>
        <w:rPr>
          <w:rFonts w:eastAsia="Times New Roman"/>
        </w:rPr>
      </w:pPr>
      <w:r>
        <w:rPr>
          <w:rFonts w:eastAsia="Times New Roman"/>
          <w:color w:val="000000"/>
          <w:sz w:val="20"/>
          <w:szCs w:val="20"/>
        </w:rPr>
        <w:t>(a)Total margin represents revenues less cost of sales and revenue-related taxes (i.e., gross receipts and business and occupation taxes) of $10 million and $2 million, respectively, during the 2022 and 2021 three-month periods. For f</w:t>
      </w:r>
      <w:r>
        <w:rPr>
          <w:rFonts w:eastAsia="Times New Roman"/>
          <w:color w:val="000000"/>
          <w:sz w:val="20"/>
          <w:szCs w:val="20"/>
        </w:rPr>
        <w:t>inancial statement purposes, revenue-related taxes are included in “Operating and administrative expenses” on the Condensed Consolidated Statements of Income (but are excluded from operating and administrative expenses presented above).</w:t>
      </w:r>
    </w:p>
    <w:p w:rsidR="00000000" w:rsidRDefault="00844BCF">
      <w:pPr>
        <w:jc w:val="center"/>
        <w:divId w:val="162819285"/>
        <w:rPr>
          <w:rFonts w:eastAsia="Times New Roman"/>
        </w:rPr>
      </w:pPr>
      <w:r>
        <w:rPr>
          <w:rFonts w:eastAsia="Times New Roman"/>
          <w:color w:val="000000"/>
          <w:sz w:val="20"/>
          <w:szCs w:val="20"/>
        </w:rPr>
        <w:t>41</w:t>
      </w:r>
    </w:p>
    <w:p w:rsidR="00000000" w:rsidRDefault="00844BCF">
      <w:pPr>
        <w:rPr>
          <w:rFonts w:eastAsia="Times New Roman"/>
        </w:rPr>
      </w:pPr>
      <w:r>
        <w:rPr>
          <w:rFonts w:eastAsia="Times New Roman"/>
        </w:rPr>
        <w:pict>
          <v:rect id="_x0000_i1067" style="width:0;height:1.5pt" o:hralign="center" o:hrstd="t" o:hr="t" fillcolor="#a0a0a0" stroked="f"/>
        </w:pict>
      </w:r>
    </w:p>
    <w:p w:rsidR="00000000" w:rsidRDefault="00844BCF">
      <w:pPr>
        <w:divId w:val="143593016"/>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2012826763"/>
        <w:rPr>
          <w:rFonts w:eastAsia="Times New Roman"/>
        </w:rPr>
      </w:pPr>
      <w:r>
        <w:rPr>
          <w:rFonts w:eastAsia="Times New Roman"/>
          <w:b/>
          <w:bCs/>
          <w:color w:val="000000"/>
          <w:sz w:val="20"/>
          <w:szCs w:val="20"/>
        </w:rPr>
        <w:t>UGI CORPORATION AND SUBSIDIARIES</w:t>
      </w:r>
    </w:p>
    <w:p w:rsidR="00000000" w:rsidRDefault="00844BCF">
      <w:pPr>
        <w:ind w:hanging="360"/>
        <w:jc w:val="both"/>
        <w:rPr>
          <w:rFonts w:eastAsia="Times New Roman"/>
        </w:rPr>
      </w:pPr>
      <w:r>
        <w:rPr>
          <w:rFonts w:eastAsia="Times New Roman"/>
          <w:color w:val="000000"/>
          <w:sz w:val="20"/>
          <w:szCs w:val="20"/>
        </w:rPr>
        <w:t>(b)</w:t>
      </w:r>
      <w:r>
        <w:rPr>
          <w:rFonts w:eastAsia="Times New Roman"/>
          <w:color w:val="000000"/>
          <w:sz w:val="20"/>
          <w:szCs w:val="20"/>
        </w:rPr>
        <w:t>Deviation from average heating degree days is determined on a 10-year period utilizing volume-weighted weather data based on weather statistics provided by NOAA for airports located within Gas Utility’s service territories.</w:t>
      </w:r>
    </w:p>
    <w:p w:rsidR="00000000" w:rsidRDefault="00844BCF">
      <w:pPr>
        <w:jc w:val="both"/>
        <w:rPr>
          <w:rFonts w:eastAsia="Times New Roman"/>
        </w:rPr>
      </w:pPr>
    </w:p>
    <w:p w:rsidR="00000000" w:rsidRDefault="00844BCF">
      <w:pPr>
        <w:jc w:val="both"/>
        <w:divId w:val="337463624"/>
        <w:rPr>
          <w:rFonts w:eastAsia="Times New Roman"/>
        </w:rPr>
      </w:pPr>
      <w:r>
        <w:rPr>
          <w:rFonts w:eastAsia="Times New Roman"/>
          <w:color w:val="000000"/>
          <w:sz w:val="20"/>
          <w:szCs w:val="20"/>
        </w:rPr>
        <w:t xml:space="preserve">Temperatures in Gas Utility’s </w:t>
      </w:r>
      <w:r>
        <w:rPr>
          <w:rFonts w:eastAsia="Times New Roman"/>
          <w:color w:val="000000"/>
          <w:sz w:val="20"/>
          <w:szCs w:val="20"/>
        </w:rPr>
        <w:t xml:space="preserve">service territories during the 2022 three-month period were 3.4% warmer than normal but 3.7% colder than the prior-year period. The increase in Gas Utility core market and total volumes during the 2022 three-month period are largely related to incremental </w:t>
      </w:r>
      <w:r>
        <w:rPr>
          <w:rFonts w:eastAsia="Times New Roman"/>
          <w:color w:val="000000"/>
          <w:sz w:val="20"/>
          <w:szCs w:val="20"/>
        </w:rPr>
        <w:t xml:space="preserve">volumes attributable to the acquisition of Mountaineer and the effects of colder weather compared to the prior-year period. The increase in Electric Utility distribution sales volumes was also attributable to colder weather during the current-year period. </w:t>
      </w:r>
    </w:p>
    <w:p w:rsidR="00000000" w:rsidRDefault="00844BCF">
      <w:pPr>
        <w:jc w:val="both"/>
        <w:rPr>
          <w:rFonts w:eastAsia="Times New Roman"/>
        </w:rPr>
      </w:pPr>
      <w:r>
        <w:rPr>
          <w:rFonts w:eastAsia="Times New Roman"/>
          <w:color w:val="000000"/>
          <w:sz w:val="20"/>
          <w:szCs w:val="20"/>
        </w:rPr>
        <w:t>Utilities revenues increased $265 million in the 2022 three-month period reflecting a $255 million increase in Gas Utility revenues and a $10 million increase in Electric Utility revenues. The increase in Gas Utility revenues principally reflects incremen</w:t>
      </w:r>
      <w:r>
        <w:rPr>
          <w:rFonts w:eastAsia="Times New Roman"/>
          <w:color w:val="000000"/>
          <w:sz w:val="20"/>
          <w:szCs w:val="20"/>
        </w:rPr>
        <w:t>tal revenues attributable to Mountaineer ($121 million), higher PGC rates compared to the prior-year period, higher pricing on off system sales and higher volumes attributable to the colder weather. The increase in Electric Utility revenues during the 2022</w:t>
      </w:r>
      <w:r>
        <w:rPr>
          <w:rFonts w:eastAsia="Times New Roman"/>
          <w:color w:val="000000"/>
          <w:sz w:val="20"/>
          <w:szCs w:val="20"/>
        </w:rPr>
        <w:t xml:space="preserve"> three-month period reflects the increase in base rates that went into effect in November 2021 and higher sales volumes and DS rates compared to the prior-year period.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Utilities cost of sales increased $186 million compared to the prior-year period. The</w:t>
      </w:r>
      <w:r>
        <w:rPr>
          <w:rFonts w:eastAsia="Times New Roman"/>
          <w:color w:val="000000"/>
          <w:sz w:val="20"/>
          <w:szCs w:val="20"/>
        </w:rPr>
        <w:t xml:space="preserve"> increase in Gas Utility cost of sales ($179 million) during the 2022 three-month period reflects incremental cost attributable to Mountaineer ($69 million), higher PGC rates compared to the prior-year period, increased cost of sales associated with off-sy</w:t>
      </w:r>
      <w:r>
        <w:rPr>
          <w:rFonts w:eastAsia="Times New Roman"/>
          <w:color w:val="000000"/>
          <w:sz w:val="20"/>
          <w:szCs w:val="20"/>
        </w:rPr>
        <w:t xml:space="preserve">stem sales, and the increase in volumes. Electric Utility cost of sales increased during the 2022 three-month period largely reflecting the higher volumes and DS rates compared to the prior-year period.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Utilities total margin increased $79 million durin</w:t>
      </w:r>
      <w:r>
        <w:rPr>
          <w:rFonts w:eastAsia="Times New Roman"/>
          <w:color w:val="000000"/>
          <w:sz w:val="20"/>
          <w:szCs w:val="20"/>
        </w:rPr>
        <w:t>g the 2022 three-month period largely reflecting incremental margin attributable to Mountaineer ($52 million). The implementation of a DSIC, higher margin from large delivery service customers including the effects of customer growth compared to the prior-</w:t>
      </w:r>
      <w:r>
        <w:rPr>
          <w:rFonts w:eastAsia="Times New Roman"/>
          <w:color w:val="000000"/>
          <w:sz w:val="20"/>
          <w:szCs w:val="20"/>
        </w:rPr>
        <w:t xml:space="preserve">year period, and higher volumes also contributed to the increase in Gas Utility margin. Electric Utility margin increased $3 million largely attributable to the increase in base rates and higher volumes compared to the prior-year period.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Utilities opera</w:t>
      </w:r>
      <w:r>
        <w:rPr>
          <w:rFonts w:eastAsia="Times New Roman"/>
          <w:color w:val="000000"/>
          <w:sz w:val="20"/>
          <w:szCs w:val="20"/>
        </w:rPr>
        <w:t>ting income and earnings before interest expense and income taxes increased $49 million and $52 million, respectively, during the 2022 three-month period. These increases largely reflect the previously mentioned increase in total margin partially offset by</w:t>
      </w:r>
      <w:r>
        <w:rPr>
          <w:rFonts w:eastAsia="Times New Roman"/>
          <w:color w:val="000000"/>
          <w:sz w:val="20"/>
          <w:szCs w:val="20"/>
        </w:rPr>
        <w:t xml:space="preserve"> higher operating and administrative expenses ($24 million) and higher depreciation expense ($7 million) compared to the prior-year period, both principally related to incremental expenses attributable to Mountaineer. The higher depreciation expense compar</w:t>
      </w:r>
      <w:r>
        <w:rPr>
          <w:rFonts w:eastAsia="Times New Roman"/>
          <w:color w:val="000000"/>
          <w:sz w:val="20"/>
          <w:szCs w:val="20"/>
        </w:rPr>
        <w:t>ed to the prior-year period also includes the effects of continued distribution system capital expenditure activity. The increase in earnings before interest expense and income taxes also includes a higher non-service pension benefit compared to the prior-</w:t>
      </w:r>
      <w:r>
        <w:rPr>
          <w:rFonts w:eastAsia="Times New Roman"/>
          <w:color w:val="000000"/>
          <w:sz w:val="20"/>
          <w:szCs w:val="20"/>
        </w:rPr>
        <w:t>year period.</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Interest Expense and Income Taxes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Our consolidated interest expense during the 2022 three-month period was $82 million compared to $78 million during the 2021 three-month period. This increase largely reflects the effects of incremental long-term debt outstanding during the current period,</w:t>
      </w:r>
      <w:r>
        <w:rPr>
          <w:rFonts w:eastAsia="Times New Roman"/>
          <w:color w:val="000000"/>
          <w:sz w:val="20"/>
          <w:szCs w:val="20"/>
        </w:rPr>
        <w:t xml:space="preserve"> net of repayments, primarily related to the Mountaineer Acquisition and UGI Utilities’ issuance of senior notes during the second half of Fiscal 2021.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The increase in the Company’s effective income tax rate for the 2022 three-month period reflects the </w:t>
      </w:r>
      <w:r>
        <w:rPr>
          <w:rFonts w:eastAsia="Times New Roman"/>
          <w:color w:val="000000"/>
          <w:sz w:val="20"/>
          <w:szCs w:val="20"/>
        </w:rPr>
        <w:t>absence of benefits from the prior-year period related to an election made in connection with a tax law change in Italy and under the CARES Act. These items were partially offset by the net effects of a decrease in the concentration of foreign earnings, in</w:t>
      </w:r>
      <w:r>
        <w:rPr>
          <w:rFonts w:eastAsia="Times New Roman"/>
          <w:color w:val="000000"/>
          <w:sz w:val="20"/>
          <w:szCs w:val="20"/>
        </w:rPr>
        <w:t xml:space="preserve">cluding the effects of higher gains on commodity derivative instruments compared to the prior-year period, reflecting foreign statutory tax rates that exceed the U.S. statutory rate. </w:t>
      </w:r>
    </w:p>
    <w:p w:rsidR="00000000" w:rsidRDefault="00844BCF">
      <w:pPr>
        <w:jc w:val="both"/>
        <w:rPr>
          <w:rFonts w:eastAsia="Times New Roman"/>
        </w:rPr>
      </w:pPr>
    </w:p>
    <w:p w:rsidR="00000000" w:rsidRDefault="00844BCF">
      <w:pPr>
        <w:jc w:val="both"/>
        <w:divId w:val="2077165153"/>
        <w:rPr>
          <w:rFonts w:eastAsia="Times New Roman"/>
        </w:rPr>
      </w:pPr>
      <w:r>
        <w:rPr>
          <w:rFonts w:eastAsia="Times New Roman"/>
          <w:color w:val="000000"/>
          <w:sz w:val="20"/>
          <w:szCs w:val="20"/>
        </w:rPr>
        <w:t>The Company continues to evaluate the elections available under curren</w:t>
      </w:r>
      <w:r>
        <w:rPr>
          <w:rFonts w:eastAsia="Times New Roman"/>
          <w:color w:val="000000"/>
          <w:sz w:val="20"/>
          <w:szCs w:val="20"/>
        </w:rPr>
        <w:t>t regulations and pending legislation. Accordingly, the impacts on the Company’s income tax provisions and taxes payable or refundable related to these items are subject to change.</w:t>
      </w:r>
    </w:p>
    <w:p w:rsidR="00000000" w:rsidRDefault="00844BCF">
      <w:pPr>
        <w:jc w:val="both"/>
        <w:rPr>
          <w:rFonts w:eastAsia="Times New Roman"/>
        </w:rPr>
      </w:pPr>
    </w:p>
    <w:p w:rsidR="00000000" w:rsidRDefault="00844BCF">
      <w:pPr>
        <w:jc w:val="center"/>
        <w:divId w:val="928584172"/>
        <w:rPr>
          <w:rFonts w:eastAsia="Times New Roman"/>
        </w:rPr>
      </w:pPr>
      <w:r>
        <w:rPr>
          <w:rFonts w:eastAsia="Times New Roman"/>
          <w:color w:val="000000"/>
          <w:sz w:val="20"/>
          <w:szCs w:val="20"/>
        </w:rPr>
        <w:t>42</w:t>
      </w:r>
    </w:p>
    <w:p w:rsidR="00000000" w:rsidRDefault="00844BCF">
      <w:pPr>
        <w:rPr>
          <w:rFonts w:eastAsia="Times New Roman"/>
        </w:rPr>
      </w:pPr>
      <w:r>
        <w:rPr>
          <w:rFonts w:eastAsia="Times New Roman"/>
        </w:rPr>
        <w:pict>
          <v:rect id="_x0000_i1068" style="width:0;height:1.5pt" o:hralign="center" o:hrstd="t" o:hr="t" fillcolor="#a0a0a0" stroked="f"/>
        </w:pict>
      </w:r>
    </w:p>
    <w:p w:rsidR="00000000" w:rsidRDefault="00844BCF">
      <w:pPr>
        <w:divId w:val="1990940392"/>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589045751"/>
        <w:rPr>
          <w:rFonts w:eastAsia="Times New Roman"/>
        </w:rPr>
      </w:pPr>
      <w:r>
        <w:rPr>
          <w:rFonts w:eastAsia="Times New Roman"/>
          <w:b/>
          <w:bCs/>
          <w:color w:val="000000"/>
          <w:sz w:val="20"/>
          <w:szCs w:val="20"/>
        </w:rPr>
        <w:t>UGI CORPORATION AND SUBSIDIARIES</w:t>
      </w:r>
    </w:p>
    <w:p w:rsidR="00000000" w:rsidRDefault="00844BCF">
      <w:pPr>
        <w:divId w:val="1716156952"/>
        <w:rPr>
          <w:rFonts w:eastAsia="Times New Roman"/>
        </w:rPr>
      </w:pPr>
      <w:r>
        <w:rPr>
          <w:rFonts w:eastAsia="Times New Roman"/>
          <w:b/>
          <w:bCs/>
          <w:color w:val="000000"/>
          <w:sz w:val="20"/>
          <w:szCs w:val="20"/>
        </w:rPr>
        <w:t>2022 Six-Month Period Compared with the 2021 Six-Month Period</w:t>
      </w:r>
    </w:p>
    <w:p w:rsidR="00000000" w:rsidRDefault="00844BCF">
      <w:pPr>
        <w:divId w:val="384835194"/>
        <w:rPr>
          <w:rFonts w:eastAsia="Times New Roman"/>
        </w:rPr>
      </w:pPr>
      <w:r>
        <w:rPr>
          <w:rFonts w:eastAsia="Times New Roman"/>
          <w:b/>
          <w:bCs/>
          <w:i/>
          <w:iCs/>
          <w:color w:val="000000"/>
          <w:sz w:val="20"/>
          <w:szCs w:val="20"/>
        </w:rPr>
        <w:t>AmeriGas Propane</w:t>
      </w:r>
    </w:p>
    <w:tbl>
      <w:tblPr>
        <w:tblW w:w="4992" w:type="pct"/>
        <w:tblCellMar>
          <w:top w:w="15" w:type="dxa"/>
          <w:left w:w="15" w:type="dxa"/>
          <w:bottom w:w="15" w:type="dxa"/>
          <w:right w:w="15" w:type="dxa"/>
        </w:tblCellMar>
        <w:tblLook w:val="04A0" w:firstRow="1" w:lastRow="0" w:firstColumn="1" w:lastColumn="0" w:noHBand="0" w:noVBand="1"/>
      </w:tblPr>
      <w:tblGrid>
        <w:gridCol w:w="40"/>
        <w:gridCol w:w="3731"/>
        <w:gridCol w:w="39"/>
        <w:gridCol w:w="36"/>
        <w:gridCol w:w="36"/>
        <w:gridCol w:w="36"/>
        <w:gridCol w:w="120"/>
        <w:gridCol w:w="802"/>
        <w:gridCol w:w="187"/>
        <w:gridCol w:w="36"/>
        <w:gridCol w:w="36"/>
        <w:gridCol w:w="36"/>
        <w:gridCol w:w="120"/>
        <w:gridCol w:w="802"/>
        <w:gridCol w:w="187"/>
        <w:gridCol w:w="36"/>
        <w:gridCol w:w="36"/>
        <w:gridCol w:w="36"/>
        <w:gridCol w:w="121"/>
        <w:gridCol w:w="682"/>
        <w:gridCol w:w="37"/>
        <w:gridCol w:w="37"/>
        <w:gridCol w:w="37"/>
        <w:gridCol w:w="36"/>
        <w:gridCol w:w="36"/>
        <w:gridCol w:w="768"/>
        <w:gridCol w:w="187"/>
      </w:tblGrid>
      <w:tr w:rsidR="00000000">
        <w:tc>
          <w:tcPr>
            <w:tcW w:w="50" w:type="pct"/>
            <w:vAlign w:val="center"/>
            <w:hideMark/>
          </w:tcPr>
          <w:p w:rsidR="00000000" w:rsidRDefault="00844BCF">
            <w:pPr>
              <w:rPr>
                <w:rFonts w:eastAsia="Times New Roman"/>
              </w:rPr>
            </w:pPr>
          </w:p>
        </w:tc>
        <w:tc>
          <w:tcPr>
            <w:tcW w:w="2324"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0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 the six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Increase (Decrease)</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1,826 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1,606 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863 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903 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454 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income/earnings before interest expense and income taxes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Retail gallons sold (millions)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570 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631 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Heating degree days—% warmer than normal (b)</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ind w:hanging="360"/>
        <w:jc w:val="both"/>
        <w:rPr>
          <w:rFonts w:eastAsia="Times New Roman"/>
        </w:rPr>
      </w:pPr>
      <w:r>
        <w:rPr>
          <w:rFonts w:eastAsia="Times New Roman"/>
          <w:color w:val="000000"/>
          <w:sz w:val="20"/>
          <w:szCs w:val="20"/>
        </w:rPr>
        <w:t>(a)Total margin represents total revenues less total cost of sales.</w:t>
      </w:r>
    </w:p>
    <w:p w:rsidR="00000000" w:rsidRDefault="00844BCF">
      <w:pPr>
        <w:ind w:hanging="360"/>
        <w:jc w:val="both"/>
        <w:rPr>
          <w:rFonts w:eastAsia="Times New Roman"/>
        </w:rPr>
      </w:pPr>
      <w:r>
        <w:rPr>
          <w:rFonts w:eastAsia="Times New Roman"/>
          <w:color w:val="000000"/>
          <w:sz w:val="20"/>
          <w:szCs w:val="20"/>
        </w:rPr>
        <w:t>(b)Deviation from average heating degree days is determined</w:t>
      </w:r>
      <w:r>
        <w:rPr>
          <w:rFonts w:eastAsia="Times New Roman"/>
          <w:color w:val="000000"/>
          <w:sz w:val="20"/>
          <w:szCs w:val="20"/>
        </w:rPr>
        <w:t xml:space="preserve"> on a rolling 10-year period utilizing volume-weighted weather data based on weather statistics provided by NOAA for 344 regions in the United States, excluding Alaska and Hawaii.</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Average temperatures during the 2022 six-month period were 2.7% warmer tha</w:t>
      </w:r>
      <w:r>
        <w:rPr>
          <w:rFonts w:eastAsia="Times New Roman"/>
          <w:color w:val="000000"/>
          <w:sz w:val="20"/>
          <w:szCs w:val="20"/>
        </w:rPr>
        <w:t>n normal and relatively consistent with the prior-year period. Total retail gallons sold decreased 10% during the 2022 six-month period reflecting the continued impact of customer service challenges that occurred in Fiscal 2021, increased price sensitivity</w:t>
      </w:r>
      <w:r>
        <w:rPr>
          <w:rFonts w:eastAsia="Times New Roman"/>
          <w:color w:val="000000"/>
          <w:sz w:val="20"/>
          <w:szCs w:val="20"/>
        </w:rPr>
        <w:t xml:space="preserve"> in the higher commodity cost environment and the prior-year impact of COVID-19 on cylinder exchange and resale volumes.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Average daily wholesale propane commodity prices during the 2022 six-month period at Mont Belvieu, Texas, one of the major supply poi</w:t>
      </w:r>
      <w:r>
        <w:rPr>
          <w:rFonts w:eastAsia="Times New Roman"/>
          <w:color w:val="000000"/>
          <w:sz w:val="20"/>
          <w:szCs w:val="20"/>
        </w:rPr>
        <w:t xml:space="preserve">nts in the U.S., were approximately 73% higher than such prices during the 2021 six-month period. This significant increase in prices has impacted both total revenues and total costs of sales during the 2022 six-month period. Total revenues increased $220 </w:t>
      </w:r>
      <w:r>
        <w:rPr>
          <w:rFonts w:eastAsia="Times New Roman"/>
          <w:color w:val="000000"/>
          <w:sz w:val="20"/>
          <w:szCs w:val="20"/>
        </w:rPr>
        <w:t xml:space="preserve">million during the 2022 six-month period largely reflecting higher average propane selling prices ($323 million) and higher wholesale volumes sold ($29 million) compared to the prior-year period. These positive impacts were partially offset by the effects </w:t>
      </w:r>
      <w:r>
        <w:rPr>
          <w:rFonts w:eastAsia="Times New Roman"/>
          <w:color w:val="000000"/>
          <w:sz w:val="20"/>
          <w:szCs w:val="20"/>
        </w:rPr>
        <w:t xml:space="preserve">of the previously mentioned decrease in retail propane volumes sold ($136 million).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Total cost of sales increased $260 million during the 2022 six-month period largely attributable to the higher average propane product costs ($286 million) and higher wh</w:t>
      </w:r>
      <w:r>
        <w:rPr>
          <w:rFonts w:eastAsia="Times New Roman"/>
          <w:color w:val="000000"/>
          <w:sz w:val="20"/>
          <w:szCs w:val="20"/>
        </w:rPr>
        <w:t>olesale propane volumes sold ($27 million). These increases in cost of sales were partially offset by the decrease in retail propane volumes sold ($59 million). Total margin decreased $40 million in the 2022 six-month period largely attributable to the low</w:t>
      </w:r>
      <w:r>
        <w:rPr>
          <w:rFonts w:eastAsia="Times New Roman"/>
          <w:color w:val="000000"/>
          <w:sz w:val="20"/>
          <w:szCs w:val="20"/>
        </w:rPr>
        <w:t xml:space="preserve">er retail propane volumes ($77 million) partially offset by higher average propane margins ($37 million).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Operating income and earnings before interest expense and income taxes decreased $67 million during the 2022 six-month period primarily reflecting </w:t>
      </w:r>
      <w:r>
        <w:rPr>
          <w:rFonts w:eastAsia="Times New Roman"/>
          <w:color w:val="000000"/>
          <w:sz w:val="20"/>
          <w:szCs w:val="20"/>
        </w:rPr>
        <w:t>the decrease in total margin and higher operating and administrative expenses ($26 million) compared to the prior-year period. The increase in operating and administrative expenses was impacted by the inflationary cost environment and reflects, among other</w:t>
      </w:r>
      <w:r>
        <w:rPr>
          <w:rFonts w:eastAsia="Times New Roman"/>
          <w:color w:val="000000"/>
          <w:sz w:val="20"/>
          <w:szCs w:val="20"/>
        </w:rPr>
        <w:t xml:space="preserve"> things, higher expenses associated with general insurance ($8 million), vehicle fuel ($7 million), bad debt reserves ($7 million) and telecommunications ($5 million) compared to the prior-year period. </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UGI International</w:t>
      </w:r>
    </w:p>
    <w:tbl>
      <w:tblPr>
        <w:tblW w:w="5000" w:type="pct"/>
        <w:tblCellMar>
          <w:top w:w="15" w:type="dxa"/>
          <w:left w:w="15" w:type="dxa"/>
          <w:bottom w:w="15" w:type="dxa"/>
          <w:right w:w="15" w:type="dxa"/>
        </w:tblCellMar>
        <w:tblLook w:val="04A0" w:firstRow="1" w:lastRow="0" w:firstColumn="1" w:lastColumn="0" w:noHBand="0" w:noVBand="1"/>
      </w:tblPr>
      <w:tblGrid>
        <w:gridCol w:w="39"/>
        <w:gridCol w:w="3953"/>
        <w:gridCol w:w="38"/>
        <w:gridCol w:w="36"/>
        <w:gridCol w:w="36"/>
        <w:gridCol w:w="36"/>
        <w:gridCol w:w="120"/>
        <w:gridCol w:w="804"/>
        <w:gridCol w:w="187"/>
        <w:gridCol w:w="36"/>
        <w:gridCol w:w="36"/>
        <w:gridCol w:w="36"/>
        <w:gridCol w:w="120"/>
        <w:gridCol w:w="804"/>
        <w:gridCol w:w="187"/>
        <w:gridCol w:w="36"/>
        <w:gridCol w:w="36"/>
        <w:gridCol w:w="36"/>
        <w:gridCol w:w="120"/>
        <w:gridCol w:w="658"/>
        <w:gridCol w:w="36"/>
        <w:gridCol w:w="36"/>
        <w:gridCol w:w="36"/>
        <w:gridCol w:w="36"/>
        <w:gridCol w:w="38"/>
        <w:gridCol w:w="583"/>
        <w:gridCol w:w="187"/>
      </w:tblGrid>
      <w:tr w:rsidR="00000000">
        <w:trPr>
          <w:divId w:val="1289891535"/>
        </w:trPr>
        <w:tc>
          <w:tcPr>
            <w:tcW w:w="50" w:type="pct"/>
            <w:vAlign w:val="center"/>
            <w:hideMark/>
          </w:tcPr>
          <w:p w:rsidR="00000000" w:rsidRDefault="00844BCF">
            <w:pPr>
              <w:jc w:val="both"/>
              <w:rPr>
                <w:rFonts w:eastAsia="Times New Roman"/>
              </w:rPr>
            </w:pPr>
          </w:p>
        </w:tc>
        <w:tc>
          <w:tcPr>
            <w:tcW w:w="245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9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7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289891535"/>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 the six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Increase (Decrease)</w:t>
            </w:r>
          </w:p>
        </w:tc>
      </w:tr>
      <w:tr w:rsidR="00000000">
        <w:trPr>
          <w:divId w:val="128989153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1289891535"/>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2,273 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1,534 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739 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1289891535"/>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550 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660 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1289891535"/>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323 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1289891535"/>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 xml:space="preserve">Operating income </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1289891535"/>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1289891535"/>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LPG retail gallons sold (millions)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496 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478 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1289891535"/>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Heating degree days—% warmer than normal (b)</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ind w:hanging="360"/>
        <w:jc w:val="both"/>
        <w:rPr>
          <w:rFonts w:eastAsia="Times New Roman"/>
        </w:rPr>
      </w:pPr>
      <w:r>
        <w:rPr>
          <w:rFonts w:eastAsia="Times New Roman"/>
          <w:color w:val="000000"/>
          <w:sz w:val="20"/>
          <w:szCs w:val="20"/>
        </w:rPr>
        <w:t>(a)Total ma</w:t>
      </w:r>
      <w:r>
        <w:rPr>
          <w:rFonts w:eastAsia="Times New Roman"/>
          <w:color w:val="000000"/>
          <w:sz w:val="20"/>
          <w:szCs w:val="20"/>
        </w:rPr>
        <w:t>rgin represents revenues less cost of sales.</w:t>
      </w:r>
    </w:p>
    <w:p w:rsidR="00000000" w:rsidRDefault="00844BCF">
      <w:pPr>
        <w:ind w:hanging="360"/>
        <w:jc w:val="both"/>
        <w:rPr>
          <w:rFonts w:eastAsia="Times New Roman"/>
        </w:rPr>
      </w:pPr>
      <w:r>
        <w:rPr>
          <w:rFonts w:eastAsia="Times New Roman"/>
          <w:color w:val="000000"/>
          <w:sz w:val="20"/>
          <w:szCs w:val="20"/>
        </w:rPr>
        <w:t>(b)Deviation from average heating degree days is determined on a rolling 10-year period utilizing volume-weighted weather data at locations in our UGI International service territories.</w:t>
      </w:r>
    </w:p>
    <w:p w:rsidR="00000000" w:rsidRDefault="00844BCF">
      <w:pPr>
        <w:jc w:val="center"/>
        <w:divId w:val="1234075271"/>
        <w:rPr>
          <w:rFonts w:eastAsia="Times New Roman"/>
        </w:rPr>
      </w:pPr>
      <w:r>
        <w:rPr>
          <w:rFonts w:eastAsia="Times New Roman"/>
          <w:color w:val="000000"/>
          <w:sz w:val="20"/>
          <w:szCs w:val="20"/>
        </w:rPr>
        <w:t>43</w:t>
      </w:r>
    </w:p>
    <w:p w:rsidR="00000000" w:rsidRDefault="00844BCF">
      <w:pPr>
        <w:rPr>
          <w:rFonts w:eastAsia="Times New Roman"/>
        </w:rPr>
      </w:pPr>
      <w:r>
        <w:rPr>
          <w:rFonts w:eastAsia="Times New Roman"/>
        </w:rPr>
        <w:pict>
          <v:rect id="_x0000_i1069" style="width:0;height:1.5pt" o:hralign="center" o:hrstd="t" o:hr="t" fillcolor="#a0a0a0" stroked="f"/>
        </w:pict>
      </w:r>
    </w:p>
    <w:p w:rsidR="00000000" w:rsidRDefault="00844BCF">
      <w:pPr>
        <w:divId w:val="1550455124"/>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081370558"/>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Average temperatures during the 2022 six-month period were 1.1% warmer than normal and relatively consistent with the prior-year period. Total LPG retail gallons sold during the 2022 six-month period increased 4% compared to the prior-year period largely a</w:t>
      </w:r>
      <w:r>
        <w:rPr>
          <w:rFonts w:eastAsia="Times New Roman"/>
          <w:color w:val="000000"/>
          <w:sz w:val="20"/>
          <w:szCs w:val="20"/>
        </w:rPr>
        <w:t>ttributable to favorable crop drying campaigns and the recovery of certain bulk and autogas volumes that were negatively impacted by COVID-19.</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UGI International base-currency results are translated into U.S. dollars based upon exchange rates experienced </w:t>
      </w:r>
      <w:r>
        <w:rPr>
          <w:rFonts w:eastAsia="Times New Roman"/>
          <w:color w:val="000000"/>
          <w:sz w:val="20"/>
          <w:szCs w:val="20"/>
        </w:rPr>
        <w:t>during the reporting periods. The functional currency of a significant portion of our UGI International results is the euro and, to a much lesser extent, the British pound sterling. During the 2022 and 2021 six-month periods, the average unweighted euro-to</w:t>
      </w:r>
      <w:r>
        <w:rPr>
          <w:rFonts w:eastAsia="Times New Roman"/>
          <w:color w:val="000000"/>
          <w:sz w:val="20"/>
          <w:szCs w:val="20"/>
        </w:rPr>
        <w:t>-dollar translation rates were approximately $1.13 and $1.20, respectively, and the average unweighted British pound sterling-to-dollar translation rate was approximately $1.35 in both periods. Fluctuations in these foreign currency exchange rates can have</w:t>
      </w:r>
      <w:r>
        <w:rPr>
          <w:rFonts w:eastAsia="Times New Roman"/>
          <w:color w:val="000000"/>
          <w:sz w:val="20"/>
          <w:szCs w:val="20"/>
        </w:rPr>
        <w:t xml:space="preserve"> a significant impact on the individual financial statement components discussed below. The net effect of changes in foreign currency exchange rates on UGI International’s earnings before interest expense and income taxes resulted in a net loss of $11 mill</w:t>
      </w:r>
      <w:r>
        <w:rPr>
          <w:rFonts w:eastAsia="Times New Roman"/>
          <w:color w:val="000000"/>
          <w:sz w:val="20"/>
          <w:szCs w:val="20"/>
        </w:rPr>
        <w:t xml:space="preserve">ion in the 2022 six-month period. However, the impact of these changes is mitigated by the effects of forward foreign currency exchange contracts entered into over a multi-year period intended to substantially offset this volatility. These forward foreign </w:t>
      </w:r>
      <w:r>
        <w:rPr>
          <w:rFonts w:eastAsia="Times New Roman"/>
          <w:color w:val="000000"/>
          <w:sz w:val="20"/>
          <w:szCs w:val="20"/>
        </w:rPr>
        <w:t xml:space="preserve">currency exchange contracts resulted in realized net gains of $10 million and $2 million in the 2022 and 2021 six-month periods, respectively.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UGI International revenues and cost of sales increased $739 million and $849 million, respectively, during the</w:t>
      </w:r>
      <w:r>
        <w:rPr>
          <w:rFonts w:eastAsia="Times New Roman"/>
          <w:color w:val="000000"/>
          <w:sz w:val="20"/>
          <w:szCs w:val="20"/>
        </w:rPr>
        <w:t xml:space="preserve"> 2022 six-month period compared to the prior-year period. Average wholesale prices for propane and butane during the 2022 six-month period in northwest Europe were approximately 76% and 96% higher, respectively, compared with the prior-year period. The inc</w:t>
      </w:r>
      <w:r>
        <w:rPr>
          <w:rFonts w:eastAsia="Times New Roman"/>
          <w:color w:val="000000"/>
          <w:sz w:val="20"/>
          <w:szCs w:val="20"/>
        </w:rPr>
        <w:t>rease in revenues and cost of sales principally reflects the impact of significant increases and volatility in natural gas and power prices on our energy marketing business and the effects of these higher average propane and butane selling prices and produ</w:t>
      </w:r>
      <w:r>
        <w:rPr>
          <w:rFonts w:eastAsia="Times New Roman"/>
          <w:color w:val="000000"/>
          <w:sz w:val="20"/>
          <w:szCs w:val="20"/>
        </w:rPr>
        <w:t>ct costs compared to the prior-year period. These increases were partially offset by the translation effects of weaker foreign currencies (approximately $125 million and $94 million, respectively).</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UGI International total margin decreased $110 million du</w:t>
      </w:r>
      <w:r>
        <w:rPr>
          <w:rFonts w:eastAsia="Times New Roman"/>
          <w:color w:val="000000"/>
          <w:sz w:val="20"/>
          <w:szCs w:val="20"/>
        </w:rPr>
        <w:t>ring the 2022 six-month period primarily reflecting lower total margin from our energy marketing business and the translation effects of weaker foreign currencies (approximately $31 million). This decrease was partially offset by higher total margin from o</w:t>
      </w:r>
      <w:r>
        <w:rPr>
          <w:rFonts w:eastAsia="Times New Roman"/>
          <w:color w:val="000000"/>
          <w:sz w:val="20"/>
          <w:szCs w:val="20"/>
        </w:rPr>
        <w:t>ur LPG business attributable to strong margin management efforts despite the effects of the previously mentioned higher product costs. The lower total margin from our energy marketing business is largely due to the impact of significant volatility in commo</w:t>
      </w:r>
      <w:r>
        <w:rPr>
          <w:rFonts w:eastAsia="Times New Roman"/>
          <w:color w:val="000000"/>
          <w:sz w:val="20"/>
          <w:szCs w:val="20"/>
        </w:rPr>
        <w:t>dity costs and its effects on the unit margins of certain customer contracts during the 2022 six-month period. The effects of this volatility on such customer contracts are expected to be largely confined to the primary heating season.</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UGI International </w:t>
      </w:r>
      <w:r>
        <w:rPr>
          <w:rFonts w:eastAsia="Times New Roman"/>
          <w:color w:val="000000"/>
          <w:sz w:val="20"/>
          <w:szCs w:val="20"/>
        </w:rPr>
        <w:t>operating income and earnings before interest expense and income taxes decreased $93 million and $83 million, respectively, during the 2022 six-month period compared to the prior-year period. The decrease in operating income principally reflects the previo</w:t>
      </w:r>
      <w:r>
        <w:rPr>
          <w:rFonts w:eastAsia="Times New Roman"/>
          <w:color w:val="000000"/>
          <w:sz w:val="20"/>
          <w:szCs w:val="20"/>
        </w:rPr>
        <w:t>usly mentioned decrease in total margin and slightly higher operating and administrative expenses ($2 million) partially offset by higher other operating income related to gains on the sale of assets. The slight increase in operating and administrative exp</w:t>
      </w:r>
      <w:r>
        <w:rPr>
          <w:rFonts w:eastAsia="Times New Roman"/>
          <w:color w:val="000000"/>
          <w:sz w:val="20"/>
          <w:szCs w:val="20"/>
        </w:rPr>
        <w:t>enses reflects higher distribution, packaging and personnel costs associated with higher retail LPG volumes sold and the inflationary cost environment, largely offset by the impact of weaker foreign currencies in the 2022 six-month period ($18 million). Th</w:t>
      </w:r>
      <w:r>
        <w:rPr>
          <w:rFonts w:eastAsia="Times New Roman"/>
          <w:color w:val="000000"/>
          <w:sz w:val="20"/>
          <w:szCs w:val="20"/>
        </w:rPr>
        <w:t xml:space="preserve">e decrease in earnings before interest expense and income taxes in the 2022 six-month period largely reflects the decrease in operating income partially offset by higher realized gains on foreign currency exchange contracts entered into in order to reduce </w:t>
      </w:r>
      <w:r>
        <w:rPr>
          <w:rFonts w:eastAsia="Times New Roman"/>
          <w:color w:val="000000"/>
          <w:sz w:val="20"/>
          <w:szCs w:val="20"/>
        </w:rPr>
        <w:t>volatility in UGI International earnings resulting from the effects of changes in foreign currency exchange rates ($8 million).</w:t>
      </w:r>
    </w:p>
    <w:p w:rsidR="00000000" w:rsidRDefault="00844BCF">
      <w:pPr>
        <w:jc w:val="both"/>
        <w:rPr>
          <w:rFonts w:eastAsia="Times New Roman"/>
        </w:rPr>
      </w:pPr>
    </w:p>
    <w:p w:rsidR="00000000" w:rsidRDefault="00844BCF">
      <w:pPr>
        <w:jc w:val="center"/>
        <w:divId w:val="319967052"/>
        <w:rPr>
          <w:rFonts w:eastAsia="Times New Roman"/>
        </w:rPr>
      </w:pPr>
      <w:r>
        <w:rPr>
          <w:rFonts w:eastAsia="Times New Roman"/>
          <w:color w:val="000000"/>
          <w:sz w:val="20"/>
          <w:szCs w:val="20"/>
        </w:rPr>
        <w:t>44</w:t>
      </w:r>
    </w:p>
    <w:p w:rsidR="00000000" w:rsidRDefault="00844BCF">
      <w:pPr>
        <w:rPr>
          <w:rFonts w:eastAsia="Times New Roman"/>
        </w:rPr>
      </w:pPr>
      <w:r>
        <w:rPr>
          <w:rFonts w:eastAsia="Times New Roman"/>
        </w:rPr>
        <w:pict>
          <v:rect id="_x0000_i1070" style="width:0;height:1.5pt" o:hralign="center" o:hrstd="t" o:hr="t" fillcolor="#a0a0a0" stroked="f"/>
        </w:pict>
      </w:r>
    </w:p>
    <w:p w:rsidR="00000000" w:rsidRDefault="00844BCF">
      <w:pPr>
        <w:divId w:val="743719219"/>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356729830"/>
        <w:rPr>
          <w:rFonts w:eastAsia="Times New Roman"/>
        </w:rPr>
      </w:pPr>
      <w:r>
        <w:rPr>
          <w:rFonts w:eastAsia="Times New Roman"/>
          <w:b/>
          <w:bCs/>
          <w:color w:val="000000"/>
          <w:sz w:val="20"/>
          <w:szCs w:val="20"/>
        </w:rPr>
        <w:t>UGI CORPOR</w:t>
      </w:r>
      <w:r>
        <w:rPr>
          <w:rFonts w:eastAsia="Times New Roman"/>
          <w:b/>
          <w:bCs/>
          <w:color w:val="000000"/>
          <w:sz w:val="20"/>
          <w:szCs w:val="20"/>
        </w:rPr>
        <w:t>ATION AND SUBSIDIARIES</w:t>
      </w:r>
    </w:p>
    <w:p w:rsidR="00000000" w:rsidRDefault="00844BCF">
      <w:pPr>
        <w:jc w:val="both"/>
        <w:rPr>
          <w:rFonts w:eastAsia="Times New Roman"/>
        </w:rPr>
      </w:pPr>
      <w:r>
        <w:rPr>
          <w:rFonts w:eastAsia="Times New Roman"/>
          <w:b/>
          <w:bCs/>
          <w:i/>
          <w:iCs/>
          <w:color w:val="000000"/>
          <w:sz w:val="20"/>
          <w:szCs w:val="20"/>
        </w:rPr>
        <w:t>Midstream &amp; Marketing</w:t>
      </w:r>
    </w:p>
    <w:tbl>
      <w:tblPr>
        <w:tblW w:w="4992" w:type="pct"/>
        <w:tblCellMar>
          <w:top w:w="15" w:type="dxa"/>
          <w:left w:w="15" w:type="dxa"/>
          <w:bottom w:w="15" w:type="dxa"/>
          <w:right w:w="15" w:type="dxa"/>
        </w:tblCellMar>
        <w:tblLook w:val="04A0" w:firstRow="1" w:lastRow="0" w:firstColumn="1" w:lastColumn="0" w:noHBand="0" w:noVBand="1"/>
      </w:tblPr>
      <w:tblGrid>
        <w:gridCol w:w="39"/>
        <w:gridCol w:w="3666"/>
        <w:gridCol w:w="38"/>
        <w:gridCol w:w="36"/>
        <w:gridCol w:w="36"/>
        <w:gridCol w:w="36"/>
        <w:gridCol w:w="120"/>
        <w:gridCol w:w="858"/>
        <w:gridCol w:w="36"/>
        <w:gridCol w:w="36"/>
        <w:gridCol w:w="36"/>
        <w:gridCol w:w="36"/>
        <w:gridCol w:w="120"/>
        <w:gridCol w:w="858"/>
        <w:gridCol w:w="36"/>
        <w:gridCol w:w="36"/>
        <w:gridCol w:w="36"/>
        <w:gridCol w:w="36"/>
        <w:gridCol w:w="121"/>
        <w:gridCol w:w="858"/>
        <w:gridCol w:w="37"/>
        <w:gridCol w:w="37"/>
        <w:gridCol w:w="37"/>
        <w:gridCol w:w="36"/>
        <w:gridCol w:w="36"/>
        <w:gridCol w:w="849"/>
        <w:gridCol w:w="187"/>
      </w:tblGrid>
      <w:tr w:rsidR="00000000">
        <w:trPr>
          <w:divId w:val="1547058611"/>
        </w:trPr>
        <w:tc>
          <w:tcPr>
            <w:tcW w:w="50" w:type="pct"/>
            <w:vAlign w:val="center"/>
            <w:hideMark/>
          </w:tcPr>
          <w:p w:rsidR="00000000" w:rsidRDefault="00844BCF">
            <w:pPr>
              <w:jc w:val="both"/>
              <w:rPr>
                <w:rFonts w:eastAsia="Times New Roman"/>
              </w:rPr>
            </w:pPr>
          </w:p>
        </w:tc>
        <w:tc>
          <w:tcPr>
            <w:tcW w:w="225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547058611"/>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 the six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Increase (Decrease)</w:t>
            </w:r>
          </w:p>
        </w:tc>
      </w:tr>
      <w:tr w:rsidR="00000000">
        <w:trPr>
          <w:divId w:val="154705861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1547058611"/>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 xml:space="preserve">Revenues </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1,206 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825 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1547058611"/>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1547058611"/>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1547058611"/>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1547058611"/>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bl>
    <w:p w:rsidR="00000000" w:rsidRDefault="00844BCF">
      <w:pPr>
        <w:ind w:hanging="360"/>
        <w:jc w:val="both"/>
        <w:rPr>
          <w:rFonts w:eastAsia="Times New Roman"/>
        </w:rPr>
      </w:pPr>
      <w:r>
        <w:rPr>
          <w:rFonts w:eastAsia="Times New Roman"/>
          <w:color w:val="000000"/>
          <w:sz w:val="20"/>
          <w:szCs w:val="20"/>
        </w:rPr>
        <w:t>(a)Total margin represents revenues less cost of sales.</w:t>
      </w:r>
    </w:p>
    <w:p w:rsidR="00000000" w:rsidRDefault="00844BCF">
      <w:pPr>
        <w:divId w:val="148404080"/>
        <w:rPr>
          <w:rFonts w:eastAsia="Times New Roman"/>
        </w:rPr>
      </w:pPr>
    </w:p>
    <w:p w:rsidR="00000000" w:rsidRDefault="00844BCF">
      <w:pPr>
        <w:jc w:val="both"/>
        <w:rPr>
          <w:rFonts w:eastAsia="Times New Roman"/>
        </w:rPr>
      </w:pPr>
      <w:r>
        <w:rPr>
          <w:rFonts w:eastAsia="Times New Roman"/>
          <w:color w:val="000000"/>
          <w:sz w:val="20"/>
          <w:szCs w:val="20"/>
        </w:rPr>
        <w:t>Average temperatures across Midstream &amp; Marketing’s energy marketing territory duri</w:t>
      </w:r>
      <w:r>
        <w:rPr>
          <w:rFonts w:eastAsia="Times New Roman"/>
          <w:color w:val="000000"/>
          <w:sz w:val="20"/>
          <w:szCs w:val="20"/>
        </w:rPr>
        <w:t>ng the 2022 six-month period were 8.4% warmer than normal and 4.5% warmer than the prior-year period.</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Midstream &amp; Marketing revenues and cost of sales for the 2022 six-month period increased $381 million and $373 million, respectively, compared to the pr</w:t>
      </w:r>
      <w:r>
        <w:rPr>
          <w:rFonts w:eastAsia="Times New Roman"/>
          <w:color w:val="000000"/>
          <w:sz w:val="20"/>
          <w:szCs w:val="20"/>
        </w:rPr>
        <w:t>ior-year period. These increases were largely driven by natural gas marketing, including the effects of peaking and capacity management activities, which were impacted by significantly higher average natural gas prices compared to the prior-year period, pa</w:t>
      </w:r>
      <w:r>
        <w:rPr>
          <w:rFonts w:eastAsia="Times New Roman"/>
          <w:color w:val="000000"/>
          <w:sz w:val="20"/>
          <w:szCs w:val="20"/>
        </w:rPr>
        <w:t xml:space="preserve">rtially offset by lower volumes attributable to the warmer weather. As a result, natural gas marketing revenues and cost of sales increased $353 million and $360 million, respectively, during the 2022 six-month period.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Midstream &amp; Marketing total margin</w:t>
      </w:r>
      <w:r>
        <w:rPr>
          <w:rFonts w:eastAsia="Times New Roman"/>
          <w:color w:val="000000"/>
          <w:sz w:val="20"/>
          <w:szCs w:val="20"/>
        </w:rPr>
        <w:t xml:space="preserve"> increased $8 million in the 2022 six-month period reflecting higher margin from renewable energy marketing activities ($11 million) including the impact of increased volumes and average pricing related to environmental credits compared to the prior-year p</w:t>
      </w:r>
      <w:r>
        <w:rPr>
          <w:rFonts w:eastAsia="Times New Roman"/>
          <w:color w:val="000000"/>
          <w:sz w:val="20"/>
          <w:szCs w:val="20"/>
        </w:rPr>
        <w:t>eriod, improved margin from peaking activities ($9 million) and incremental margin attributable to the Stonehenge Acquisition ($4 million). These positive impacts were partially offset by lower margin from capacity management contracts ($10 million) and na</w:t>
      </w:r>
      <w:r>
        <w:rPr>
          <w:rFonts w:eastAsia="Times New Roman"/>
          <w:color w:val="000000"/>
          <w:sz w:val="20"/>
          <w:szCs w:val="20"/>
        </w:rPr>
        <w:t xml:space="preserve">tural gas marketing activities ($7 million) which includes the effects of lower volumes due to warmer weather compared to the prior-year period.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Midstream &amp; Marketing operating income and earnings before interest expense and income taxes during the 2022</w:t>
      </w:r>
      <w:r>
        <w:rPr>
          <w:rFonts w:eastAsia="Times New Roman"/>
          <w:color w:val="000000"/>
          <w:sz w:val="20"/>
          <w:szCs w:val="20"/>
        </w:rPr>
        <w:t xml:space="preserve"> six-month period increased $17 million and $13 million, respectively, compared to the prior-year period. The increase in operating income is largely attributable to the increase in total margin and the absence of a contingent consideration adjustment rela</w:t>
      </w:r>
      <w:r>
        <w:rPr>
          <w:rFonts w:eastAsia="Times New Roman"/>
          <w:color w:val="000000"/>
          <w:sz w:val="20"/>
          <w:szCs w:val="20"/>
        </w:rPr>
        <w:t xml:space="preserve">ted to the GHI acquisition in the prior-year period. The increase in earnings before interest expense and income taxes principally reflects the increase in operating income partially offset by lower income from equity-method investments ($3 million). </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Ut</w:t>
      </w:r>
      <w:r>
        <w:rPr>
          <w:rFonts w:eastAsia="Times New Roman"/>
          <w:b/>
          <w:bCs/>
          <w:i/>
          <w:iCs/>
          <w:color w:val="000000"/>
          <w:sz w:val="20"/>
          <w:szCs w:val="20"/>
        </w:rPr>
        <w:t>ilities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4061"/>
        <w:gridCol w:w="38"/>
        <w:gridCol w:w="36"/>
        <w:gridCol w:w="36"/>
        <w:gridCol w:w="36"/>
        <w:gridCol w:w="120"/>
        <w:gridCol w:w="718"/>
        <w:gridCol w:w="187"/>
        <w:gridCol w:w="36"/>
        <w:gridCol w:w="36"/>
        <w:gridCol w:w="36"/>
        <w:gridCol w:w="120"/>
        <w:gridCol w:w="731"/>
        <w:gridCol w:w="187"/>
        <w:gridCol w:w="36"/>
        <w:gridCol w:w="36"/>
        <w:gridCol w:w="36"/>
        <w:gridCol w:w="120"/>
        <w:gridCol w:w="672"/>
        <w:gridCol w:w="36"/>
        <w:gridCol w:w="36"/>
        <w:gridCol w:w="36"/>
        <w:gridCol w:w="36"/>
        <w:gridCol w:w="37"/>
        <w:gridCol w:w="596"/>
        <w:gridCol w:w="187"/>
      </w:tblGrid>
      <w:tr w:rsidR="00000000">
        <w:trPr>
          <w:divId w:val="585849371"/>
        </w:trPr>
        <w:tc>
          <w:tcPr>
            <w:tcW w:w="50" w:type="pct"/>
            <w:vAlign w:val="center"/>
            <w:hideMark/>
          </w:tcPr>
          <w:p w:rsidR="00000000" w:rsidRDefault="00844BCF">
            <w:pPr>
              <w:jc w:val="both"/>
              <w:rPr>
                <w:rFonts w:eastAsia="Times New Roman"/>
              </w:rPr>
            </w:pPr>
          </w:p>
        </w:tc>
        <w:tc>
          <w:tcPr>
            <w:tcW w:w="252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0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8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585849371"/>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 the six months ended March 31,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Increase</w:t>
            </w:r>
          </w:p>
        </w:tc>
      </w:tr>
      <w:tr w:rsidR="00000000">
        <w:trPr>
          <w:divId w:val="58584937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(Dollars in millions)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rPr>
          <w:divId w:val="585849371"/>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1,126 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742 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585849371"/>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 margin (a)</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530 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405 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585849371"/>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and administrative expenses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585849371"/>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Operating income</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585849371"/>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Earnings before interest expense and income taxes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585849371"/>
        </w:trPr>
        <w:tc>
          <w:tcPr>
            <w:tcW w:w="0" w:type="auto"/>
            <w:gridSpan w:val="3"/>
            <w:shd w:val="clear" w:color="auto" w:fill="FFFF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Gas Utility system throughput—bcf</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585849371"/>
        </w:trPr>
        <w:tc>
          <w:tcPr>
            <w:tcW w:w="0" w:type="auto"/>
            <w:gridSpan w:val="3"/>
            <w:shd w:val="clear" w:color="auto" w:fill="CCEE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Core market</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585849371"/>
        </w:trPr>
        <w:tc>
          <w:tcPr>
            <w:tcW w:w="0" w:type="auto"/>
            <w:gridSpan w:val="3"/>
            <w:shd w:val="clear" w:color="auto" w:fill="FFFFFF"/>
            <w:tcMar>
              <w:top w:w="30" w:type="dxa"/>
              <w:left w:w="38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585849371"/>
        </w:trPr>
        <w:tc>
          <w:tcPr>
            <w:tcW w:w="0" w:type="auto"/>
            <w:gridSpan w:val="3"/>
            <w:shd w:val="clear" w:color="auto" w:fill="CCEEFF"/>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Electric Utility distribution sales - gwh</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r>
      <w:tr w:rsidR="00000000">
        <w:trPr>
          <w:divId w:val="58584937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Gas Utility heating degree days—% warmer than normal (b)</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ind w:hanging="360"/>
        <w:jc w:val="both"/>
        <w:rPr>
          <w:rFonts w:eastAsia="Times New Roman"/>
        </w:rPr>
      </w:pPr>
      <w:r>
        <w:rPr>
          <w:rFonts w:eastAsia="Times New Roman"/>
          <w:color w:val="000000"/>
          <w:sz w:val="20"/>
          <w:szCs w:val="20"/>
        </w:rPr>
        <w:t>(a)Total margin represents revenues less cost of sales and revenue-related taxes (i.e., gross receipts and business and occup</w:t>
      </w:r>
      <w:r>
        <w:rPr>
          <w:rFonts w:eastAsia="Times New Roman"/>
          <w:color w:val="000000"/>
          <w:sz w:val="20"/>
          <w:szCs w:val="20"/>
        </w:rPr>
        <w:t>ation taxes) of $16 million and $3 million, respectively, during the 2022 and 2021 six-month periods. For financial statement purposes, revenue-related taxes are included in “Operating and administrative expenses” on the Condensed Consolidated Statements o</w:t>
      </w:r>
      <w:r>
        <w:rPr>
          <w:rFonts w:eastAsia="Times New Roman"/>
          <w:color w:val="000000"/>
          <w:sz w:val="20"/>
          <w:szCs w:val="20"/>
        </w:rPr>
        <w:t>f Income (but are excluded from operating and administrative expenses presented above).</w:t>
      </w:r>
    </w:p>
    <w:p w:rsidR="00000000" w:rsidRDefault="00844BCF">
      <w:pPr>
        <w:ind w:hanging="360"/>
        <w:jc w:val="both"/>
        <w:rPr>
          <w:rFonts w:eastAsia="Times New Roman"/>
        </w:rPr>
      </w:pPr>
      <w:r>
        <w:rPr>
          <w:rFonts w:eastAsia="Times New Roman"/>
          <w:color w:val="000000"/>
          <w:sz w:val="20"/>
          <w:szCs w:val="20"/>
        </w:rPr>
        <w:t xml:space="preserve">(b)Deviation from average heating degree days is determined on a 10-year period utilizing volume-weighted weather data based on weather statistics provided by NOAA for </w:t>
      </w:r>
      <w:r>
        <w:rPr>
          <w:rFonts w:eastAsia="Times New Roman"/>
          <w:color w:val="000000"/>
          <w:sz w:val="20"/>
          <w:szCs w:val="20"/>
        </w:rPr>
        <w:t>airports located within Gas Utility’s service territories.</w:t>
      </w:r>
    </w:p>
    <w:p w:rsidR="00000000" w:rsidRDefault="00844BCF">
      <w:pPr>
        <w:jc w:val="both"/>
        <w:rPr>
          <w:rFonts w:eastAsia="Times New Roman"/>
        </w:rPr>
      </w:pPr>
    </w:p>
    <w:p w:rsidR="00000000" w:rsidRDefault="00844BCF">
      <w:pPr>
        <w:jc w:val="center"/>
        <w:divId w:val="1887835121"/>
        <w:rPr>
          <w:rFonts w:eastAsia="Times New Roman"/>
        </w:rPr>
      </w:pPr>
      <w:r>
        <w:rPr>
          <w:rFonts w:eastAsia="Times New Roman"/>
          <w:color w:val="000000"/>
          <w:sz w:val="20"/>
          <w:szCs w:val="20"/>
        </w:rPr>
        <w:t>45</w:t>
      </w:r>
    </w:p>
    <w:p w:rsidR="00000000" w:rsidRDefault="00844BCF">
      <w:pPr>
        <w:rPr>
          <w:rFonts w:eastAsia="Times New Roman"/>
        </w:rPr>
      </w:pPr>
      <w:r>
        <w:rPr>
          <w:rFonts w:eastAsia="Times New Roman"/>
        </w:rPr>
        <w:pict>
          <v:rect id="_x0000_i1071" style="width:0;height:1.5pt" o:hralign="center" o:hrstd="t" o:hr="t" fillcolor="#a0a0a0" stroked="f"/>
        </w:pict>
      </w:r>
    </w:p>
    <w:p w:rsidR="00000000" w:rsidRDefault="00844BCF">
      <w:pPr>
        <w:divId w:val="373893051"/>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840045600"/>
        <w:rPr>
          <w:rFonts w:eastAsia="Times New Roman"/>
        </w:rPr>
      </w:pPr>
      <w:r>
        <w:rPr>
          <w:rFonts w:eastAsia="Times New Roman"/>
          <w:b/>
          <w:bCs/>
          <w:color w:val="000000"/>
          <w:sz w:val="20"/>
          <w:szCs w:val="20"/>
        </w:rPr>
        <w:t>UGI CORPORATION AND SUBSIDIARIES</w:t>
      </w:r>
    </w:p>
    <w:p w:rsidR="00000000" w:rsidRDefault="00844BCF">
      <w:pPr>
        <w:jc w:val="both"/>
        <w:divId w:val="768701449"/>
        <w:rPr>
          <w:rFonts w:eastAsia="Times New Roman"/>
        </w:rPr>
      </w:pPr>
      <w:r>
        <w:rPr>
          <w:rFonts w:eastAsia="Times New Roman"/>
          <w:color w:val="000000"/>
          <w:sz w:val="20"/>
          <w:szCs w:val="20"/>
        </w:rPr>
        <w:t>Temperatures in Gas Utility’</w:t>
      </w:r>
      <w:r>
        <w:rPr>
          <w:rFonts w:eastAsia="Times New Roman"/>
          <w:color w:val="000000"/>
          <w:sz w:val="20"/>
          <w:szCs w:val="20"/>
        </w:rPr>
        <w:t>s service territories during the 2022 six-month period were 8.1% warmer than normal and slightly warmer compared to the prior-year period. The increase in Gas Utility core market and total volumes during the 2022 six-month period are largely related to inc</w:t>
      </w:r>
      <w:r>
        <w:rPr>
          <w:rFonts w:eastAsia="Times New Roman"/>
          <w:color w:val="000000"/>
          <w:sz w:val="20"/>
          <w:szCs w:val="20"/>
        </w:rPr>
        <w:t xml:space="preserve">remental volumes attributable to the acquisition of Mountaineer. </w:t>
      </w:r>
    </w:p>
    <w:p w:rsidR="00000000" w:rsidRDefault="00844BCF">
      <w:pPr>
        <w:jc w:val="both"/>
        <w:rPr>
          <w:rFonts w:eastAsia="Times New Roman"/>
        </w:rPr>
      </w:pPr>
      <w:r>
        <w:rPr>
          <w:rFonts w:eastAsia="Times New Roman"/>
          <w:color w:val="000000"/>
          <w:sz w:val="20"/>
          <w:szCs w:val="20"/>
        </w:rPr>
        <w:t>Utilities revenues increased $384 million in the 2022 six-month period reflecting a $370 million increase in Gas Utility revenues and a $14 million increase in Electric Utility revenues. The</w:t>
      </w:r>
      <w:r>
        <w:rPr>
          <w:rFonts w:eastAsia="Times New Roman"/>
          <w:color w:val="000000"/>
          <w:sz w:val="20"/>
          <w:szCs w:val="20"/>
        </w:rPr>
        <w:t xml:space="preserve"> increase in Gas Utility revenues principally reflects incremental revenues attributable to Mountaineer ($191 million), higher PGC rates compared to the prior-year period, the effects of the increase in base rates that went into effect during the second qu</w:t>
      </w:r>
      <w:r>
        <w:rPr>
          <w:rFonts w:eastAsia="Times New Roman"/>
          <w:color w:val="000000"/>
          <w:sz w:val="20"/>
          <w:szCs w:val="20"/>
        </w:rPr>
        <w:t>arter of Fiscal 2021, and higher pricing on off-system sales. The increase in Electric Utility revenues during the 2022 six-month period reflects the increase in base rates that went into effect in November 2021 and higher DS rates compared to the prior-ye</w:t>
      </w:r>
      <w:r>
        <w:rPr>
          <w:rFonts w:eastAsia="Times New Roman"/>
          <w:color w:val="000000"/>
          <w:sz w:val="20"/>
          <w:szCs w:val="20"/>
        </w:rPr>
        <w:t xml:space="preserve">ar period.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Utilities cost of sales increased $259 million in the 2022 six-month period largely attributable to Gas Utility ($250 million) which reflects incremental cost attributable to Mountaineer ($106 million), higher PGC rates compared to the prior-</w:t>
      </w:r>
      <w:r>
        <w:rPr>
          <w:rFonts w:eastAsia="Times New Roman"/>
          <w:color w:val="000000"/>
          <w:sz w:val="20"/>
          <w:szCs w:val="20"/>
        </w:rPr>
        <w:t xml:space="preserve">year period, and increased cost of sales associated with off-system sales. Electric Utility cost of sales increased during the 2022 six-month period largely reflecting the higher DS rates compared to the prior-year period.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Utilities total margin increas</w:t>
      </w:r>
      <w:r>
        <w:rPr>
          <w:rFonts w:eastAsia="Times New Roman"/>
          <w:color w:val="000000"/>
          <w:sz w:val="20"/>
          <w:szCs w:val="20"/>
        </w:rPr>
        <w:t>ed $125 million during the 2022 six-month period largely reflecting incremental margin attributable to Mountaineer ($85 million). Gas Utility’s total margin increase also includes higher natural gas margin attributable to the positive impacts of the increa</w:t>
      </w:r>
      <w:r>
        <w:rPr>
          <w:rFonts w:eastAsia="Times New Roman"/>
          <w:color w:val="000000"/>
          <w:sz w:val="20"/>
          <w:szCs w:val="20"/>
        </w:rPr>
        <w:t>se in base rates, implementation of a DSIC and higher margin from large delivery service customers including the effects of customer growth compared to the prior-year period. Electric Utility margin increased $5 million largely attributable to the increase</w:t>
      </w:r>
      <w:r>
        <w:rPr>
          <w:rFonts w:eastAsia="Times New Roman"/>
          <w:color w:val="000000"/>
          <w:sz w:val="20"/>
          <w:szCs w:val="20"/>
        </w:rPr>
        <w:t xml:space="preserve"> in base rates compared to the prior-year period.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Utilities operating income and earnings before interest expense and income taxes increased $68 million and $72 million, respectively, during the 2022 six-month period. These increases largely reflect the</w:t>
      </w:r>
      <w:r>
        <w:rPr>
          <w:rFonts w:eastAsia="Times New Roman"/>
          <w:color w:val="000000"/>
          <w:sz w:val="20"/>
          <w:szCs w:val="20"/>
        </w:rPr>
        <w:t xml:space="preserve"> previously mentioned increase in total margin partially offset by higher operating and administrative expenses ($44 million) and higher depreciation expense ($13 million) compared to the prior-year period, both principally related to incremental expenses </w:t>
      </w:r>
      <w:r>
        <w:rPr>
          <w:rFonts w:eastAsia="Times New Roman"/>
          <w:color w:val="000000"/>
          <w:sz w:val="20"/>
          <w:szCs w:val="20"/>
        </w:rPr>
        <w:t>attributable to Mountaineer. The higher depreciation expense compared to the prior-year period also includes the effects of continued distribution system capital expenditure activity. The increase in earnings before interest expense and income taxes also i</w:t>
      </w:r>
      <w:r>
        <w:rPr>
          <w:rFonts w:eastAsia="Times New Roman"/>
          <w:color w:val="000000"/>
          <w:sz w:val="20"/>
          <w:szCs w:val="20"/>
        </w:rPr>
        <w:t xml:space="preserve">ncludes a higher non-service pension benefit compared to the prior-year period. </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Interest Expense and Income Taxes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Our consolidated interest expense during the 2022 six-month period was $163 million compared to $156 million during the 2021 six-month pe</w:t>
      </w:r>
      <w:r>
        <w:rPr>
          <w:rFonts w:eastAsia="Times New Roman"/>
          <w:color w:val="000000"/>
          <w:sz w:val="20"/>
          <w:szCs w:val="20"/>
        </w:rPr>
        <w:t>riod. This increase reflects the effects of incremental long-term debt outstanding during the current period, net of repayments, primarily related to the Mountaineer Acquisition and UGI Utilities’ issuance of senior notes during the second half of Fiscal 2</w:t>
      </w:r>
      <w:r>
        <w:rPr>
          <w:rFonts w:eastAsia="Times New Roman"/>
          <w:color w:val="000000"/>
          <w:sz w:val="20"/>
          <w:szCs w:val="20"/>
        </w:rPr>
        <w:t>021, and higher average short-term borrowings outstanding compared to the prior-year period.</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increase in the Company’s effective income tax rate for the 2022 six-month period reflects the absence of benefits from the prior-year period related to an e</w:t>
      </w:r>
      <w:r>
        <w:rPr>
          <w:rFonts w:eastAsia="Times New Roman"/>
          <w:color w:val="000000"/>
          <w:sz w:val="20"/>
          <w:szCs w:val="20"/>
        </w:rPr>
        <w:t>lection made in connection with a tax law change in Italy and under the CARES Act. These items were partially offset by the net effects of a decrease in the concentration of foreign earnings, including the effects of higher gains on commodity derivative in</w:t>
      </w:r>
      <w:r>
        <w:rPr>
          <w:rFonts w:eastAsia="Times New Roman"/>
          <w:color w:val="000000"/>
          <w:sz w:val="20"/>
          <w:szCs w:val="20"/>
        </w:rPr>
        <w:t xml:space="preserve">struments compared to the prior-year period, reflecting foreign statutory tax rates that exceed the U.S. statutory rate. </w:t>
      </w:r>
    </w:p>
    <w:p w:rsidR="00000000" w:rsidRDefault="00844BCF">
      <w:pPr>
        <w:jc w:val="both"/>
        <w:rPr>
          <w:rFonts w:eastAsia="Times New Roman"/>
        </w:rPr>
      </w:pPr>
    </w:p>
    <w:p w:rsidR="00000000" w:rsidRDefault="00844BCF">
      <w:pPr>
        <w:jc w:val="both"/>
        <w:divId w:val="466170900"/>
        <w:rPr>
          <w:rFonts w:eastAsia="Times New Roman"/>
        </w:rPr>
      </w:pPr>
      <w:r>
        <w:rPr>
          <w:rFonts w:eastAsia="Times New Roman"/>
          <w:color w:val="000000"/>
          <w:sz w:val="20"/>
          <w:szCs w:val="20"/>
        </w:rPr>
        <w:t>The Company continues to evaluate the elections available under current regulations and pending legislation. Accordingly, the impact</w:t>
      </w:r>
      <w:r>
        <w:rPr>
          <w:rFonts w:eastAsia="Times New Roman"/>
          <w:color w:val="000000"/>
          <w:sz w:val="20"/>
          <w:szCs w:val="20"/>
        </w:rPr>
        <w:t>s on the Company’s income tax provisions and taxes payable or refundable related to these items are subject to change.</w:t>
      </w:r>
    </w:p>
    <w:p w:rsidR="00000000" w:rsidRDefault="00844BCF">
      <w:pPr>
        <w:jc w:val="center"/>
        <w:rPr>
          <w:rFonts w:eastAsia="Times New Roman"/>
        </w:rPr>
      </w:pPr>
    </w:p>
    <w:p w:rsidR="00000000" w:rsidRDefault="00844BCF">
      <w:pPr>
        <w:jc w:val="center"/>
        <w:rPr>
          <w:rFonts w:eastAsia="Times New Roman"/>
        </w:rPr>
      </w:pPr>
      <w:r>
        <w:rPr>
          <w:rFonts w:eastAsia="Times New Roman"/>
          <w:b/>
          <w:bCs/>
          <w:color w:val="000000"/>
          <w:sz w:val="20"/>
          <w:szCs w:val="20"/>
          <w:u w:val="single"/>
        </w:rPr>
        <w:t>FINANCIAL CONDITION AND LIQUIDITY</w:t>
      </w:r>
    </w:p>
    <w:p w:rsidR="00000000" w:rsidRDefault="00844BCF">
      <w:pPr>
        <w:jc w:val="center"/>
        <w:rPr>
          <w:rFonts w:eastAsia="Times New Roman"/>
        </w:rPr>
      </w:pPr>
    </w:p>
    <w:p w:rsidR="00000000" w:rsidRDefault="00844BCF">
      <w:pPr>
        <w:jc w:val="both"/>
        <w:rPr>
          <w:rFonts w:eastAsia="Times New Roman"/>
        </w:rPr>
      </w:pPr>
      <w:r>
        <w:rPr>
          <w:rFonts w:eastAsia="Times New Roman"/>
          <w:color w:val="000000"/>
          <w:sz w:val="20"/>
          <w:szCs w:val="20"/>
        </w:rPr>
        <w:t>The Company expects to have sufficient liquidity including cash on hand and available borrowing cap</w:t>
      </w:r>
      <w:r>
        <w:rPr>
          <w:rFonts w:eastAsia="Times New Roman"/>
          <w:color w:val="000000"/>
          <w:sz w:val="20"/>
          <w:szCs w:val="20"/>
        </w:rPr>
        <w:t>acity to continue to support long-term commitments and ongoing operations despite uncertainties associated with the COVID-19 pandemic and ongoing commodity price volatility. Our total available liquidity balance, comprising cash and cash equivalents and av</w:t>
      </w:r>
      <w:r>
        <w:rPr>
          <w:rFonts w:eastAsia="Times New Roman"/>
          <w:color w:val="000000"/>
          <w:sz w:val="20"/>
          <w:szCs w:val="20"/>
        </w:rPr>
        <w:t>ailable borrowing capacity on our revolving credit facilities, totaled approximately $1.9 billion and $2.2 billion at March 31, 2022 and September 30, 2021, respectively. Our total available liquidity at March 31, 2022 was affected, in part, by $603 millio</w:t>
      </w:r>
      <w:r>
        <w:rPr>
          <w:rFonts w:eastAsia="Times New Roman"/>
          <w:color w:val="000000"/>
          <w:sz w:val="20"/>
          <w:szCs w:val="20"/>
        </w:rPr>
        <w:t xml:space="preserve">n of cash collateral received from derivative counterparties resulting from the impact of rising commodity prices and an accumulation of derivative assets associated with our commodity derivative instruments. The Company does not have any near-term senior </w:t>
      </w:r>
      <w:r>
        <w:rPr>
          <w:rFonts w:eastAsia="Times New Roman"/>
          <w:color w:val="000000"/>
          <w:sz w:val="20"/>
          <w:szCs w:val="20"/>
        </w:rPr>
        <w:t xml:space="preserve">note or term loan maturities, other than the UGI Utilities variable-rate term loan, which is set to mature in October 2022. The Company cannot predict the duration or magnitude that the COVID-19 pandemic and ongoing commodity price volatility will have on </w:t>
      </w:r>
      <w:r>
        <w:rPr>
          <w:rFonts w:eastAsia="Times New Roman"/>
          <w:color w:val="000000"/>
          <w:sz w:val="20"/>
          <w:szCs w:val="20"/>
        </w:rPr>
        <w:t>its liquidity, debt covenants, financial condition or the timing of capital expenditures. UGI and its subsidiaries were in compliance with all debt covenants as of March 31, 2022.</w:t>
      </w:r>
    </w:p>
    <w:p w:rsidR="00000000" w:rsidRDefault="00844BCF">
      <w:pPr>
        <w:jc w:val="center"/>
        <w:divId w:val="1939214785"/>
        <w:rPr>
          <w:rFonts w:eastAsia="Times New Roman"/>
        </w:rPr>
      </w:pPr>
      <w:r>
        <w:rPr>
          <w:rFonts w:eastAsia="Times New Roman"/>
          <w:color w:val="000000"/>
          <w:sz w:val="20"/>
          <w:szCs w:val="20"/>
        </w:rPr>
        <w:t>46</w:t>
      </w:r>
    </w:p>
    <w:p w:rsidR="00000000" w:rsidRDefault="00844BCF">
      <w:pPr>
        <w:rPr>
          <w:rFonts w:eastAsia="Times New Roman"/>
        </w:rPr>
      </w:pPr>
      <w:r>
        <w:rPr>
          <w:rFonts w:eastAsia="Times New Roman"/>
        </w:rPr>
        <w:pict>
          <v:rect id="_x0000_i1072" style="width:0;height:1.5pt" o:hralign="center" o:hrstd="t" o:hr="t" fillcolor="#a0a0a0" stroked="f"/>
        </w:pict>
      </w:r>
    </w:p>
    <w:p w:rsidR="00000000" w:rsidRDefault="00844BCF">
      <w:pPr>
        <w:divId w:val="21638042"/>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334802664"/>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We depend on both internal and external sources of liquidity to provide funds for working capital and to fund capital requirements. Our short-term cash requirements not met by cash from operations are generally satisfied with borrowings under credit facili</w:t>
      </w:r>
      <w:r>
        <w:rPr>
          <w:rFonts w:eastAsia="Times New Roman"/>
          <w:color w:val="000000"/>
          <w:sz w:val="20"/>
          <w:szCs w:val="20"/>
        </w:rPr>
        <w:t>ties and, in the case of Midstream &amp; Marketing, also from a Receivables Facility. Long-term cash requirements are generally met through the issuance of long-term debt or equity securities. We believe that each of our business units has sufficient liquidity</w:t>
      </w:r>
      <w:r>
        <w:rPr>
          <w:rFonts w:eastAsia="Times New Roman"/>
          <w:color w:val="000000"/>
          <w:sz w:val="20"/>
          <w:szCs w:val="20"/>
        </w:rPr>
        <w:t xml:space="preserve"> in the forms of cash and cash equivalents on hand; cash expected to be generated from operations; credit facility and Receivables Facility borrowing capacity; and the ability to obtain long-term financing to meet anticipated contractual and projected cash</w:t>
      </w:r>
      <w:r>
        <w:rPr>
          <w:rFonts w:eastAsia="Times New Roman"/>
          <w:color w:val="000000"/>
          <w:sz w:val="20"/>
          <w:szCs w:val="20"/>
        </w:rPr>
        <w:t xml:space="preserve"> commitments. Issuances of debt and equity securities in the capital markets and additional credit facilities may not, however, be available to us on acceptable terms.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primary sources of UGI’s cash and cash equivalents are the dividends and other cas</w:t>
      </w:r>
      <w:r>
        <w:rPr>
          <w:rFonts w:eastAsia="Times New Roman"/>
          <w:color w:val="000000"/>
          <w:sz w:val="20"/>
          <w:szCs w:val="20"/>
        </w:rPr>
        <w:t>h payments made to UGI or its corporate subsidiaries by its principal business units. Our cash and cash equivalents totaled $718 million at March 31, 2022, compared with $855 million at September 30, 2021. The decrease in cash and cash equivalents since Se</w:t>
      </w:r>
      <w:r>
        <w:rPr>
          <w:rFonts w:eastAsia="Times New Roman"/>
          <w:color w:val="000000"/>
          <w:sz w:val="20"/>
          <w:szCs w:val="20"/>
        </w:rPr>
        <w:t>ptember 30, 2021 is primarily attributable to commodity price volatility experienced in the 2022 six-month period and the seasonality of our business as further described in “Cash Flows” below. Excluding cash and cash equivalents that reside at UGI’s opera</w:t>
      </w:r>
      <w:r>
        <w:rPr>
          <w:rFonts w:eastAsia="Times New Roman"/>
          <w:color w:val="000000"/>
          <w:sz w:val="20"/>
          <w:szCs w:val="20"/>
        </w:rPr>
        <w:t>ting subsidiaries, at March 31, 2022 and September 30, 2021, UGI had $222 million and $172 million of cash and cash equivalents, respectively. Such cash is available to pay dividends on UGI Common Stock, to make quarterly payments on outstanding Purchase C</w:t>
      </w:r>
      <w:r>
        <w:rPr>
          <w:rFonts w:eastAsia="Times New Roman"/>
          <w:color w:val="000000"/>
          <w:sz w:val="20"/>
          <w:szCs w:val="20"/>
        </w:rPr>
        <w:t>ontracts and for investment purposes.</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Long-term Debt and Credit Facilities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Long-term Debt</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The Company’s debt outstanding at March 31, 2022 and September 30, 2021, comprises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506"/>
        <w:gridCol w:w="38"/>
        <w:gridCol w:w="121"/>
        <w:gridCol w:w="762"/>
        <w:gridCol w:w="36"/>
        <w:gridCol w:w="36"/>
        <w:gridCol w:w="36"/>
        <w:gridCol w:w="36"/>
        <w:gridCol w:w="121"/>
        <w:gridCol w:w="960"/>
        <w:gridCol w:w="36"/>
        <w:gridCol w:w="36"/>
        <w:gridCol w:w="36"/>
        <w:gridCol w:w="36"/>
        <w:gridCol w:w="121"/>
        <w:gridCol w:w="821"/>
        <w:gridCol w:w="36"/>
        <w:gridCol w:w="36"/>
        <w:gridCol w:w="36"/>
        <w:gridCol w:w="36"/>
        <w:gridCol w:w="121"/>
        <w:gridCol w:w="603"/>
        <w:gridCol w:w="36"/>
        <w:gridCol w:w="36"/>
        <w:gridCol w:w="36"/>
        <w:gridCol w:w="36"/>
        <w:gridCol w:w="120"/>
        <w:gridCol w:w="500"/>
        <w:gridCol w:w="36"/>
        <w:gridCol w:w="36"/>
        <w:gridCol w:w="36"/>
        <w:gridCol w:w="36"/>
        <w:gridCol w:w="120"/>
        <w:gridCol w:w="500"/>
        <w:gridCol w:w="36"/>
        <w:gridCol w:w="36"/>
        <w:gridCol w:w="36"/>
        <w:gridCol w:w="36"/>
        <w:gridCol w:w="121"/>
        <w:gridCol w:w="818"/>
        <w:gridCol w:w="36"/>
      </w:tblGrid>
      <w:tr w:rsidR="00000000">
        <w:trPr>
          <w:divId w:val="1248270936"/>
          <w:jc w:val="center"/>
        </w:trPr>
        <w:tc>
          <w:tcPr>
            <w:tcW w:w="50" w:type="pct"/>
            <w:vAlign w:val="center"/>
            <w:hideMark/>
          </w:tcPr>
          <w:p w:rsidR="00000000" w:rsidRDefault="00844BCF">
            <w:pPr>
              <w:jc w:val="both"/>
              <w:rPr>
                <w:rFonts w:eastAsia="Times New Roman"/>
              </w:rPr>
            </w:pPr>
          </w:p>
        </w:tc>
        <w:tc>
          <w:tcPr>
            <w:tcW w:w="120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2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2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2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0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0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383"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8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248270936"/>
          <w:jc w:val="center"/>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September 30, 2021</w:t>
            </w:r>
          </w:p>
        </w:tc>
      </w:tr>
      <w:tr w:rsidR="00000000">
        <w:trPr>
          <w:divId w:val="1248270936"/>
          <w:jc w:val="center"/>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(Millions of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AmeriGas Propane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UGI International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Midstream &amp; Marketing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Utilities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Corp &amp; 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Total</w:t>
            </w:r>
          </w:p>
        </w:tc>
      </w:tr>
      <w:tr w:rsidR="00844BCF">
        <w:trPr>
          <w:divId w:val="1248270936"/>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Short-term borrowings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48270936"/>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248270936"/>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Long-term debt (including current maturities):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844BCF">
        <w:trPr>
          <w:divId w:val="1248270936"/>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Senior notes</w:t>
            </w: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2,575 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443 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1,290 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4,308 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4,270 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48270936"/>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Term loans</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681 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765 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1,916 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1,938 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48270936"/>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Other long-term debt</w:t>
            </w: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48270936"/>
          <w:jc w:val="center"/>
        </w:trPr>
        <w:tc>
          <w:tcPr>
            <w:tcW w:w="0" w:type="auto"/>
            <w:gridSpan w:val="3"/>
            <w:shd w:val="clear" w:color="auto" w:fill="CCEE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Unamortized debt issuance costs</w:t>
            </w: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(42)</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divId w:val="1248270936"/>
          <w:jc w:val="center"/>
        </w:trPr>
        <w:tc>
          <w:tcPr>
            <w:tcW w:w="0" w:type="auto"/>
            <w:gridSpan w:val="3"/>
            <w:shd w:val="clear" w:color="auto" w:fill="FFFFFF"/>
            <w:tcMar>
              <w:top w:w="30" w:type="dxa"/>
              <w:left w:w="24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Total long-term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6,520 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844BCF">
        <w:trPr>
          <w:divId w:val="1248270936"/>
          <w:jc w:val="center"/>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Total debt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959 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6,967 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Credit Facilities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Additional information related to the Company’s credit agreements can be found in Item 7, “Management’s Discussion and Analysis of Financial Condition and Results of Operations,” and Note 6 to Consolidated Financial Statements in the Company’s 2021 Annual </w:t>
      </w:r>
      <w:r>
        <w:rPr>
          <w:rFonts w:eastAsia="Times New Roman"/>
          <w:color w:val="000000"/>
          <w:sz w:val="20"/>
          <w:szCs w:val="20"/>
        </w:rPr>
        <w:t>Report.</w:t>
      </w:r>
    </w:p>
    <w:p w:rsidR="00000000" w:rsidRDefault="00844BCF">
      <w:pPr>
        <w:jc w:val="both"/>
        <w:rPr>
          <w:rFonts w:eastAsia="Times New Roman"/>
        </w:rPr>
      </w:pPr>
    </w:p>
    <w:p w:rsidR="00000000" w:rsidRDefault="00844BCF">
      <w:pPr>
        <w:jc w:val="center"/>
        <w:divId w:val="708921945"/>
        <w:rPr>
          <w:rFonts w:eastAsia="Times New Roman"/>
        </w:rPr>
      </w:pPr>
      <w:r>
        <w:rPr>
          <w:rFonts w:eastAsia="Times New Roman"/>
          <w:color w:val="000000"/>
          <w:sz w:val="20"/>
          <w:szCs w:val="20"/>
        </w:rPr>
        <w:t>47</w:t>
      </w:r>
    </w:p>
    <w:p w:rsidR="00000000" w:rsidRDefault="00844BCF">
      <w:pPr>
        <w:rPr>
          <w:rFonts w:eastAsia="Times New Roman"/>
        </w:rPr>
      </w:pPr>
      <w:r>
        <w:rPr>
          <w:rFonts w:eastAsia="Times New Roman"/>
        </w:rPr>
        <w:pict>
          <v:rect id="_x0000_i1073" style="width:0;height:1.5pt" o:hralign="center" o:hrstd="t" o:hr="t" fillcolor="#a0a0a0" stroked="f"/>
        </w:pict>
      </w:r>
    </w:p>
    <w:p w:rsidR="00000000" w:rsidRDefault="00844BCF">
      <w:pPr>
        <w:divId w:val="641620958"/>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929725045"/>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color w:val="000000"/>
          <w:sz w:val="20"/>
          <w:szCs w:val="20"/>
        </w:rPr>
        <w:t>Information about the Company’</w:t>
      </w:r>
      <w:r>
        <w:rPr>
          <w:rFonts w:eastAsia="Times New Roman"/>
          <w:color w:val="000000"/>
          <w:sz w:val="20"/>
          <w:szCs w:val="20"/>
        </w:rPr>
        <w:t>s principal credit agreements (excluding the Receivables Facility discussed below) as of March 31, 2022 and 2021, is presented in the table below.</w:t>
      </w:r>
    </w:p>
    <w:tbl>
      <w:tblPr>
        <w:tblW w:w="4992" w:type="pct"/>
        <w:tblCellMar>
          <w:top w:w="15" w:type="dxa"/>
          <w:left w:w="15" w:type="dxa"/>
          <w:bottom w:w="15" w:type="dxa"/>
          <w:right w:w="15" w:type="dxa"/>
        </w:tblCellMar>
        <w:tblLook w:val="04A0" w:firstRow="1" w:lastRow="0" w:firstColumn="1" w:lastColumn="0" w:noHBand="0" w:noVBand="1"/>
      </w:tblPr>
      <w:tblGrid>
        <w:gridCol w:w="39"/>
        <w:gridCol w:w="3871"/>
        <w:gridCol w:w="38"/>
        <w:gridCol w:w="36"/>
        <w:gridCol w:w="36"/>
        <w:gridCol w:w="36"/>
        <w:gridCol w:w="121"/>
        <w:gridCol w:w="820"/>
        <w:gridCol w:w="36"/>
        <w:gridCol w:w="36"/>
        <w:gridCol w:w="36"/>
        <w:gridCol w:w="36"/>
        <w:gridCol w:w="121"/>
        <w:gridCol w:w="837"/>
        <w:gridCol w:w="36"/>
        <w:gridCol w:w="36"/>
        <w:gridCol w:w="36"/>
        <w:gridCol w:w="36"/>
        <w:gridCol w:w="121"/>
        <w:gridCol w:w="837"/>
        <w:gridCol w:w="36"/>
        <w:gridCol w:w="36"/>
        <w:gridCol w:w="36"/>
        <w:gridCol w:w="36"/>
        <w:gridCol w:w="121"/>
        <w:gridCol w:w="791"/>
        <w:gridCol w:w="36"/>
      </w:tblGrid>
      <w:tr w:rsidR="00000000">
        <w:trPr>
          <w:divId w:val="1233663407"/>
        </w:trPr>
        <w:tc>
          <w:tcPr>
            <w:tcW w:w="50" w:type="pct"/>
            <w:vAlign w:val="center"/>
            <w:hideMark/>
          </w:tcPr>
          <w:p w:rsidR="00000000" w:rsidRDefault="00844BCF">
            <w:pPr>
              <w:jc w:val="both"/>
              <w:rPr>
                <w:rFonts w:eastAsia="Times New Roman"/>
              </w:rPr>
            </w:pPr>
          </w:p>
        </w:tc>
        <w:tc>
          <w:tcPr>
            <w:tcW w:w="236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1233663407"/>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(Currency in millions)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Total Capacity</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Borrowings Outstanding</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Letters of Credit and Guarantees Outstanding</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Available Borrowing Capacity</w:t>
            </w:r>
          </w:p>
        </w:tc>
      </w:tr>
      <w:tr w:rsidR="00000000">
        <w:trPr>
          <w:divId w:val="123366340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As of March 31, 2022</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233663407"/>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567 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33663407"/>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International, LLC (a)</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33663407"/>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Energy Services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33663407"/>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33663407"/>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Mountaineer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33663407"/>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Corporation (b)</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33663407"/>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As of March 31, 2021</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1233663407"/>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AmeriGas OLP</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410 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33663407"/>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International, LLC (a)</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33663407"/>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Energy Services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33663407"/>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Utilities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1233663407"/>
        </w:trPr>
        <w:tc>
          <w:tcPr>
            <w:tcW w:w="0" w:type="auto"/>
            <w:gridSpan w:val="3"/>
            <w:vAlign w:val="center"/>
            <w:hideMark/>
          </w:tcPr>
          <w:p w:rsidR="00000000" w:rsidRDefault="00844BCF">
            <w:pPr>
              <w:spacing w:after="100"/>
              <w:jc w:val="right"/>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c>
          <w:tcPr>
            <w:tcW w:w="0" w:type="auto"/>
            <w:gridSpan w:val="3"/>
            <w:vAlign w:val="center"/>
            <w:hideMark/>
          </w:tcPr>
          <w:p w:rsidR="00000000" w:rsidRDefault="00844BCF">
            <w:pPr>
              <w:spacing w:after="100"/>
              <w:rPr>
                <w:rFonts w:eastAsia="Times New Roman"/>
                <w:sz w:val="20"/>
                <w:szCs w:val="20"/>
              </w:rPr>
            </w:pPr>
          </w:p>
        </w:tc>
      </w:tr>
      <w:tr w:rsidR="00000000">
        <w:trPr>
          <w:divId w:val="1233663407"/>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Corporation (b)</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ind w:hanging="360"/>
        <w:jc w:val="both"/>
        <w:rPr>
          <w:rFonts w:eastAsia="Times New Roman"/>
        </w:rPr>
      </w:pPr>
      <w:r>
        <w:rPr>
          <w:rFonts w:eastAsia="Times New Roman"/>
          <w:color w:val="000000"/>
          <w:sz w:val="20"/>
          <w:szCs w:val="20"/>
        </w:rPr>
        <w:t>(a)Permits UGI International, LLC to borrow in euros or dollars. At March 31, 2022, the amount borrowed comprised USD-den</w:t>
      </w:r>
      <w:r>
        <w:rPr>
          <w:rFonts w:eastAsia="Times New Roman"/>
          <w:color w:val="000000"/>
          <w:sz w:val="20"/>
          <w:szCs w:val="20"/>
        </w:rPr>
        <w:t xml:space="preserve">ominated borrowings of $188 million, equal to €170 million. </w:t>
      </w:r>
    </w:p>
    <w:p w:rsidR="00000000" w:rsidRDefault="00844BCF">
      <w:pPr>
        <w:ind w:hanging="360"/>
        <w:jc w:val="both"/>
        <w:rPr>
          <w:rFonts w:eastAsia="Times New Roman"/>
        </w:rPr>
      </w:pPr>
      <w:r>
        <w:rPr>
          <w:rFonts w:eastAsia="Times New Roman"/>
          <w:color w:val="000000"/>
          <w:sz w:val="20"/>
          <w:szCs w:val="20"/>
        </w:rPr>
        <w:t>(b)Borrowings outstanding have been classified as “Long-term debt” on the Condensed Consolidated Balance Sheets.</w:t>
      </w:r>
    </w:p>
    <w:p w:rsidR="00000000" w:rsidRDefault="00844BCF">
      <w:pPr>
        <w:divId w:val="156310233"/>
        <w:rPr>
          <w:rFonts w:eastAsia="Times New Roman"/>
        </w:rPr>
      </w:pPr>
    </w:p>
    <w:p w:rsidR="00000000" w:rsidRDefault="00844BCF">
      <w:pPr>
        <w:jc w:val="both"/>
        <w:rPr>
          <w:rFonts w:eastAsia="Times New Roman"/>
        </w:rPr>
      </w:pPr>
      <w:r>
        <w:rPr>
          <w:rFonts w:eastAsia="Times New Roman"/>
          <w:color w:val="000000"/>
          <w:sz w:val="20"/>
          <w:szCs w:val="20"/>
        </w:rPr>
        <w:t>The average daily and peak short-term borrowings under the Company’s principal c</w:t>
      </w:r>
      <w:r>
        <w:rPr>
          <w:rFonts w:eastAsia="Times New Roman"/>
          <w:color w:val="000000"/>
          <w:sz w:val="20"/>
          <w:szCs w:val="20"/>
        </w:rPr>
        <w:t>redit agreements are as follows:</w:t>
      </w:r>
    </w:p>
    <w:tbl>
      <w:tblPr>
        <w:tblW w:w="4992" w:type="pct"/>
        <w:tblCellMar>
          <w:top w:w="15" w:type="dxa"/>
          <w:left w:w="15" w:type="dxa"/>
          <w:bottom w:w="15" w:type="dxa"/>
          <w:right w:w="15" w:type="dxa"/>
        </w:tblCellMar>
        <w:tblLook w:val="04A0" w:firstRow="1" w:lastRow="0" w:firstColumn="1" w:lastColumn="0" w:noHBand="0" w:noVBand="1"/>
      </w:tblPr>
      <w:tblGrid>
        <w:gridCol w:w="39"/>
        <w:gridCol w:w="3871"/>
        <w:gridCol w:w="38"/>
        <w:gridCol w:w="36"/>
        <w:gridCol w:w="36"/>
        <w:gridCol w:w="36"/>
        <w:gridCol w:w="121"/>
        <w:gridCol w:w="820"/>
        <w:gridCol w:w="37"/>
        <w:gridCol w:w="36"/>
        <w:gridCol w:w="36"/>
        <w:gridCol w:w="36"/>
        <w:gridCol w:w="120"/>
        <w:gridCol w:w="821"/>
        <w:gridCol w:w="36"/>
        <w:gridCol w:w="36"/>
        <w:gridCol w:w="36"/>
        <w:gridCol w:w="36"/>
        <w:gridCol w:w="121"/>
        <w:gridCol w:w="822"/>
        <w:gridCol w:w="37"/>
        <w:gridCol w:w="36"/>
        <w:gridCol w:w="36"/>
        <w:gridCol w:w="36"/>
        <w:gridCol w:w="120"/>
        <w:gridCol w:w="822"/>
        <w:gridCol w:w="36"/>
      </w:tblGrid>
      <w:tr w:rsidR="00000000">
        <w:trPr>
          <w:divId w:val="910164961"/>
        </w:trPr>
        <w:tc>
          <w:tcPr>
            <w:tcW w:w="50" w:type="pct"/>
            <w:vAlign w:val="center"/>
            <w:hideMark/>
          </w:tcPr>
          <w:p w:rsidR="00000000" w:rsidRDefault="00844BCF">
            <w:pPr>
              <w:jc w:val="both"/>
              <w:rPr>
                <w:rFonts w:eastAsia="Times New Roman"/>
              </w:rPr>
            </w:pPr>
          </w:p>
        </w:tc>
        <w:tc>
          <w:tcPr>
            <w:tcW w:w="236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5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910164961"/>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844BCF">
            <w:pPr>
              <w:spacing w:after="100"/>
              <w:jc w:val="center"/>
              <w:rPr>
                <w:rFonts w:eastAsia="Times New Roman"/>
              </w:rPr>
            </w:pPr>
            <w:r>
              <w:rPr>
                <w:rFonts w:eastAsia="Times New Roman"/>
                <w:color w:val="000000"/>
                <w:sz w:val="18"/>
                <w:szCs w:val="18"/>
              </w:rPr>
              <w:t xml:space="preserve">For the six months ended </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844BCF">
            <w:pPr>
              <w:spacing w:after="100"/>
              <w:jc w:val="center"/>
              <w:rPr>
                <w:rFonts w:eastAsia="Times New Roman"/>
              </w:rPr>
            </w:pPr>
            <w:r>
              <w:rPr>
                <w:rFonts w:eastAsia="Times New Roman"/>
                <w:color w:val="000000"/>
                <w:sz w:val="18"/>
                <w:szCs w:val="18"/>
              </w:rPr>
              <w:t xml:space="preserve">For the six months ended </w:t>
            </w:r>
          </w:p>
        </w:tc>
      </w:tr>
      <w:tr w:rsidR="00000000">
        <w:trPr>
          <w:divId w:val="910164961"/>
        </w:trPr>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844BCF">
            <w:pPr>
              <w:spacing w:after="100"/>
              <w:jc w:val="center"/>
              <w:rPr>
                <w:rFonts w:eastAsia="Times New Roman"/>
              </w:rPr>
            </w:pPr>
            <w:r>
              <w:rPr>
                <w:rFonts w:eastAsia="Times New Roman"/>
                <w:color w:val="000000"/>
                <w:sz w:val="18"/>
                <w:szCs w:val="18"/>
              </w:rPr>
              <w:t>March 31, 2022</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844BCF">
            <w:pPr>
              <w:spacing w:after="100"/>
              <w:jc w:val="center"/>
              <w:rPr>
                <w:rFonts w:eastAsia="Times New Roman"/>
              </w:rPr>
            </w:pPr>
            <w:r>
              <w:rPr>
                <w:rFonts w:eastAsia="Times New Roman"/>
                <w:color w:val="000000"/>
                <w:sz w:val="18"/>
                <w:szCs w:val="18"/>
              </w:rPr>
              <w:t>March 31, 2021</w:t>
            </w:r>
          </w:p>
        </w:tc>
      </w:tr>
      <w:tr w:rsidR="00000000">
        <w:trPr>
          <w:divId w:val="910164961"/>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18"/>
                <w:szCs w:val="18"/>
              </w:rPr>
              <w:t>(Millions of dollars or euros)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Peak</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Average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18"/>
                <w:szCs w:val="18"/>
              </w:rPr>
              <w:t>Peak</w:t>
            </w:r>
          </w:p>
        </w:tc>
      </w:tr>
      <w:tr w:rsidR="00000000">
        <w:trPr>
          <w:divId w:val="91016496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AmeriGas OLP</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91016496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International, LLC</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91016496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Energy Services</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91016496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Utilities</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228 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910164961"/>
        </w:trPr>
        <w:tc>
          <w:tcPr>
            <w:tcW w:w="0" w:type="auto"/>
            <w:gridSpan w:val="3"/>
            <w:shd w:val="clear" w:color="auto" w:fill="FFFF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Mountaineer</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rPr>
          <w:divId w:val="910164961"/>
        </w:trPr>
        <w:tc>
          <w:tcPr>
            <w:tcW w:w="0" w:type="auto"/>
            <w:gridSpan w:val="3"/>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UGI Corporation</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 xml:space="preserve">Receivables Facility. </w:t>
      </w:r>
      <w:r>
        <w:rPr>
          <w:rFonts w:eastAsia="Times New Roman"/>
          <w:color w:val="000000"/>
          <w:sz w:val="20"/>
          <w:szCs w:val="20"/>
        </w:rPr>
        <w:t xml:space="preserve">Energy Services has a Receivables Facility with an issuer of receivables-backed commercial paper </w:t>
      </w:r>
      <w:r>
        <w:rPr>
          <w:rFonts w:eastAsia="Times New Roman"/>
          <w:color w:val="000000"/>
          <w:sz w:val="20"/>
          <w:szCs w:val="20"/>
        </w:rPr>
        <w:t>currently scheduled to expire in October 21, 2022. At March 31, 2022, the outstanding balance of ESFC trade receivables was $120 million, none of which were sold to the bank. At March 31, 2021, the outstanding balance of ESFC trade receivables was $81 mill</w:t>
      </w:r>
      <w:r>
        <w:rPr>
          <w:rFonts w:eastAsia="Times New Roman"/>
          <w:color w:val="000000"/>
          <w:sz w:val="20"/>
          <w:szCs w:val="20"/>
        </w:rPr>
        <w:t xml:space="preserve">ion, of which $17 million was sold to the bank. Amounts sold to the bank are reflected as “Short-term borrowings” on the Condensed Consolidated Balance Sheets. During the six months ended March 31, 2022 and 2021, peak sales of receivables were $98 million </w:t>
      </w:r>
      <w:r>
        <w:rPr>
          <w:rFonts w:eastAsia="Times New Roman"/>
          <w:color w:val="000000"/>
          <w:sz w:val="20"/>
          <w:szCs w:val="20"/>
        </w:rPr>
        <w:t>and $87 million, respectively, and average daily amounts sold were $4 million and $38 million, respectively.</w:t>
      </w:r>
    </w:p>
    <w:p w:rsidR="00000000" w:rsidRDefault="00844BCF">
      <w:pPr>
        <w:divId w:val="1539590790"/>
        <w:rPr>
          <w:rFonts w:eastAsia="Times New Roman"/>
        </w:rPr>
      </w:pPr>
    </w:p>
    <w:p w:rsidR="00000000" w:rsidRDefault="00844BCF">
      <w:pPr>
        <w:jc w:val="both"/>
        <w:rPr>
          <w:rFonts w:eastAsia="Times New Roman"/>
        </w:rPr>
      </w:pPr>
      <w:r>
        <w:rPr>
          <w:rFonts w:eastAsia="Times New Roman"/>
          <w:b/>
          <w:bCs/>
          <w:color w:val="000000"/>
          <w:sz w:val="20"/>
          <w:szCs w:val="20"/>
        </w:rPr>
        <w:t xml:space="preserve">Significant Financing Activities </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 xml:space="preserve">UGI International. </w:t>
      </w:r>
      <w:r>
        <w:rPr>
          <w:rFonts w:eastAsia="Times New Roman"/>
          <w:color w:val="000000"/>
          <w:sz w:val="20"/>
          <w:szCs w:val="20"/>
        </w:rPr>
        <w:t xml:space="preserve">On December 7, 2021, UGI International, LLC issued, in an underwritten private placement, </w:t>
      </w:r>
      <w:r>
        <w:rPr>
          <w:rFonts w:eastAsia="Times New Roman"/>
          <w:color w:val="000000"/>
          <w:sz w:val="20"/>
          <w:szCs w:val="20"/>
        </w:rPr>
        <w:t>€400 million principal amount of the UGI International 2.50% Senior Notes due December 1, 2029. The UGI International 2.50% Senior Notes rank equal in right of payment with indebtedness issued under the UGI International Credit Facilities Agreement. The ne</w:t>
      </w:r>
      <w:r>
        <w:rPr>
          <w:rFonts w:eastAsia="Times New Roman"/>
          <w:color w:val="000000"/>
          <w:sz w:val="20"/>
          <w:szCs w:val="20"/>
        </w:rPr>
        <w:t>t proceeds from the UGI International 2.50% Senior Notes were used (1) to repay all of the UGI International 3.25% Senior Notes due November 1, 2025 and associated fees and expenses and (2) for general corporate purposes.</w:t>
      </w:r>
    </w:p>
    <w:p w:rsidR="00000000" w:rsidRDefault="00844BCF">
      <w:pPr>
        <w:jc w:val="both"/>
        <w:rPr>
          <w:rFonts w:eastAsia="Times New Roman"/>
        </w:rPr>
      </w:pPr>
    </w:p>
    <w:p w:rsidR="00000000" w:rsidRDefault="00844BCF">
      <w:pPr>
        <w:jc w:val="center"/>
        <w:divId w:val="377558011"/>
        <w:rPr>
          <w:rFonts w:eastAsia="Times New Roman"/>
        </w:rPr>
      </w:pPr>
      <w:r>
        <w:rPr>
          <w:rFonts w:eastAsia="Times New Roman"/>
          <w:color w:val="000000"/>
          <w:sz w:val="20"/>
          <w:szCs w:val="20"/>
        </w:rPr>
        <w:t>48</w:t>
      </w:r>
    </w:p>
    <w:p w:rsidR="00000000" w:rsidRDefault="00844BCF">
      <w:pPr>
        <w:rPr>
          <w:rFonts w:eastAsia="Times New Roman"/>
        </w:rPr>
      </w:pPr>
      <w:r>
        <w:rPr>
          <w:rFonts w:eastAsia="Times New Roman"/>
        </w:rPr>
        <w:pict>
          <v:rect id="_x0000_i1074" style="width:0;height:1.5pt" o:hralign="center" o:hrstd="t" o:hr="t" fillcolor="#a0a0a0" stroked="f"/>
        </w:pict>
      </w:r>
    </w:p>
    <w:p w:rsidR="00000000" w:rsidRDefault="00844BCF">
      <w:pPr>
        <w:divId w:val="1254818089"/>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468674061"/>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b/>
          <w:bCs/>
          <w:color w:val="000000"/>
          <w:sz w:val="20"/>
          <w:szCs w:val="20"/>
        </w:rPr>
        <w:t>Dividends and Repurchases of Common Stock</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On November 18, 2021, UGI’s Board of Directors declared a cash dividend equal to $0.345 per com</w:t>
      </w:r>
      <w:r>
        <w:rPr>
          <w:rFonts w:eastAsia="Times New Roman"/>
          <w:color w:val="000000"/>
          <w:sz w:val="20"/>
          <w:szCs w:val="20"/>
        </w:rPr>
        <w:t>mon share. The dividend was paid on January 1, 2022, to shareholders of record on December 15, 2021. On February 2, 2022, UGI’s Board of Directors declared a quarterly dividend of $0.345 per common share. The dividend was paid on April 1, 2022, to sharehol</w:t>
      </w:r>
      <w:r>
        <w:rPr>
          <w:rFonts w:eastAsia="Times New Roman"/>
          <w:color w:val="000000"/>
          <w:sz w:val="20"/>
          <w:szCs w:val="20"/>
        </w:rPr>
        <w:t>ders of record on March 15, 2022. On May 4, 2022, UGI’s Board of Directors approved an increase in the quarterly dividend rate on UGI Common Stock to $0.36 per common share, or $1.44 on an annual basis. The new dividend rate reflects an approximate 4% incr</w:t>
      </w:r>
      <w:r>
        <w:rPr>
          <w:rFonts w:eastAsia="Times New Roman"/>
          <w:color w:val="000000"/>
          <w:sz w:val="20"/>
          <w:szCs w:val="20"/>
        </w:rPr>
        <w:t>ease from the previous quarterly rate of $0.345. The new quarterly dividend rate is effective with the dividend payable on July 1, 2022, to shareholders of record on June 15, 2022.</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On February 2, 2022, UGI’s Board of Directors authorized an extension of </w:t>
      </w:r>
      <w:r>
        <w:rPr>
          <w:rFonts w:eastAsia="Times New Roman"/>
          <w:color w:val="000000"/>
          <w:sz w:val="20"/>
          <w:szCs w:val="20"/>
        </w:rPr>
        <w:t>an existing share repurchase program for up to 8 million shares of UGI Corporation Common Stock for an additional four-year period, expiring in February 2026.</w:t>
      </w:r>
    </w:p>
    <w:p w:rsidR="00000000" w:rsidRDefault="00844BCF">
      <w:pPr>
        <w:jc w:val="both"/>
        <w:rPr>
          <w:rFonts w:eastAsia="Times New Roman"/>
        </w:rPr>
      </w:pPr>
    </w:p>
    <w:p w:rsidR="00000000" w:rsidRDefault="00844BCF">
      <w:pPr>
        <w:jc w:val="both"/>
        <w:rPr>
          <w:rFonts w:eastAsia="Times New Roman"/>
        </w:rPr>
      </w:pPr>
      <w:r>
        <w:rPr>
          <w:rFonts w:eastAsia="Times New Roman"/>
          <w:b/>
          <w:bCs/>
          <w:color w:val="000000"/>
          <w:sz w:val="20"/>
          <w:szCs w:val="20"/>
        </w:rPr>
        <w:t xml:space="preserve">Cash Flows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Due to the seasonal nature of the Company’s businesses, cash flows from operating</w:t>
      </w:r>
      <w:r>
        <w:rPr>
          <w:rFonts w:eastAsia="Times New Roman"/>
          <w:color w:val="000000"/>
          <w:sz w:val="20"/>
          <w:szCs w:val="20"/>
        </w:rPr>
        <w:t xml:space="preserve"> activities are generally strongest during the second and third fiscal quarters when customers pay for natural gas, LPG, electricity and other energy products and services consumed during the peak heating season months. Conversely, operating cash flows are</w:t>
      </w:r>
      <w:r>
        <w:rPr>
          <w:rFonts w:eastAsia="Times New Roman"/>
          <w:color w:val="000000"/>
          <w:sz w:val="20"/>
          <w:szCs w:val="20"/>
        </w:rPr>
        <w:t xml:space="preserve"> generally at their lowest levels during the fourth and first fiscal quarters when the Company’s investment in working capital, principally inventories and accounts receivable, is generally greatest.</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Operating Activities.</w:t>
      </w:r>
      <w:r>
        <w:rPr>
          <w:rFonts w:eastAsia="Times New Roman"/>
          <w:i/>
          <w:iCs/>
          <w:color w:val="000000"/>
          <w:sz w:val="20"/>
          <w:szCs w:val="20"/>
        </w:rPr>
        <w:t xml:space="preserve"> </w:t>
      </w:r>
      <w:r>
        <w:rPr>
          <w:rFonts w:eastAsia="Times New Roman"/>
          <w:color w:val="000000"/>
          <w:sz w:val="20"/>
          <w:szCs w:val="20"/>
        </w:rPr>
        <w:t>Year-to-year variations in our cash flows from operating activities can be significantly affected by changes in operating working capital especially during periods with significant changes in energy commodity prices. Cash flow provided by operating activit</w:t>
      </w:r>
      <w:r>
        <w:rPr>
          <w:rFonts w:eastAsia="Times New Roman"/>
          <w:color w:val="000000"/>
          <w:sz w:val="20"/>
          <w:szCs w:val="20"/>
        </w:rPr>
        <w:t>ies was $400 million in the 2022 six-month period compared to $646 million in the 2021 six-month period. Cash flow from operating activities before changes in operating working capital was $960 million in the 2022 six-month period compared to $1,082 millio</w:t>
      </w:r>
      <w:r>
        <w:rPr>
          <w:rFonts w:eastAsia="Times New Roman"/>
          <w:color w:val="000000"/>
          <w:sz w:val="20"/>
          <w:szCs w:val="20"/>
        </w:rPr>
        <w:t>n in the 2021 six-month period. The lower cash flow from operating activities before changes in working capital reflects, in large part, lower operating results at AmeriGas Propane and UGI International. Cash used to fund changes in operating working capit</w:t>
      </w:r>
      <w:r>
        <w:rPr>
          <w:rFonts w:eastAsia="Times New Roman"/>
          <w:color w:val="000000"/>
          <w:sz w:val="20"/>
          <w:szCs w:val="20"/>
        </w:rPr>
        <w:t>al totaled $560 million in the 2022 six-month period compared to $436 million in the 2021 six-month period. Changes in operating working capital during the 2022 six-month period reflect, among other things, increases in cash used to fund accounts receivabl</w:t>
      </w:r>
      <w:r>
        <w:rPr>
          <w:rFonts w:eastAsia="Times New Roman"/>
          <w:color w:val="000000"/>
          <w:sz w:val="20"/>
          <w:szCs w:val="20"/>
        </w:rPr>
        <w:t>e and accounts payable, principally due to increases in commodity prices during the 2022 six-month period. These increases in cash used to fund changes in working capital were partially offset by cash inflows associated with income taxes receivable, invent</w:t>
      </w:r>
      <w:r>
        <w:rPr>
          <w:rFonts w:eastAsia="Times New Roman"/>
          <w:color w:val="000000"/>
          <w:sz w:val="20"/>
          <w:szCs w:val="20"/>
        </w:rPr>
        <w:t>ories, other current assets and other current liabilities. Additionally, the 2022 six-month period includes $138 million of cash collateral received from derivative counterparties as compared to $44 million of cash collateral received in the prior-year per</w:t>
      </w:r>
      <w:r>
        <w:rPr>
          <w:rFonts w:eastAsia="Times New Roman"/>
          <w:color w:val="000000"/>
          <w:sz w:val="20"/>
          <w:szCs w:val="20"/>
        </w:rPr>
        <w:t>iod. The impact of commodity price volatility and increasing supply chain costs are pervasive throughout these changes in working capital.</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Investing Activities.</w:t>
      </w:r>
      <w:r>
        <w:rPr>
          <w:rFonts w:eastAsia="Times New Roman"/>
          <w:i/>
          <w:iCs/>
          <w:color w:val="000000"/>
          <w:sz w:val="20"/>
          <w:szCs w:val="20"/>
        </w:rPr>
        <w:t xml:space="preserve"> </w:t>
      </w:r>
      <w:r>
        <w:rPr>
          <w:rFonts w:eastAsia="Times New Roman"/>
          <w:color w:val="000000"/>
          <w:sz w:val="20"/>
          <w:szCs w:val="20"/>
        </w:rPr>
        <w:t>Investing activity cash flow is principally affected by cash expenditures for property, plant</w:t>
      </w:r>
      <w:r>
        <w:rPr>
          <w:rFonts w:eastAsia="Times New Roman"/>
          <w:color w:val="000000"/>
          <w:sz w:val="20"/>
          <w:szCs w:val="20"/>
        </w:rPr>
        <w:t xml:space="preserve"> and equipment; cash paid for acquisitions of businesses and assets; investments in investees; and proceeds from sales of assets and businesses. Cash flow used by investing activities was $515 million in the 2022 six-month period compared to $357 million i</w:t>
      </w:r>
      <w:r>
        <w:rPr>
          <w:rFonts w:eastAsia="Times New Roman"/>
          <w:color w:val="000000"/>
          <w:sz w:val="20"/>
          <w:szCs w:val="20"/>
        </w:rPr>
        <w:t>n the 2021 six-month period. Cash expenditures for property, plant and equipment were $355 million in the 2022 six-month period compared with $304 million in the 2021 six-month period. Cash used for acquisitions of businesses and assets reflects the Stoneh</w:t>
      </w:r>
      <w:r>
        <w:rPr>
          <w:rFonts w:eastAsia="Times New Roman"/>
          <w:color w:val="000000"/>
          <w:sz w:val="20"/>
          <w:szCs w:val="20"/>
        </w:rPr>
        <w:t>enge Acquisition in the 2022 six-month period and UGI International’s acquisition of an LPG retail business in Europe in the 2021 six-month period. Investments in equity method investments in the 2021 six-month period includes our investment in Pine Run. C</w:t>
      </w:r>
      <w:r>
        <w:rPr>
          <w:rFonts w:eastAsia="Times New Roman"/>
          <w:color w:val="000000"/>
          <w:sz w:val="20"/>
          <w:szCs w:val="20"/>
        </w:rPr>
        <w:t>ash inflows associated with investing activities during the 2022 six-month period includes cash received from the termination of a forward foreign currency contract previously designated at a net investment hedge associated with the UGI International 3.25%</w:t>
      </w:r>
      <w:r>
        <w:rPr>
          <w:rFonts w:eastAsia="Times New Roman"/>
          <w:color w:val="000000"/>
          <w:sz w:val="20"/>
          <w:szCs w:val="20"/>
        </w:rPr>
        <w:t xml:space="preserve"> Senior Notes.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Financing Activities.</w:t>
      </w:r>
      <w:r>
        <w:rPr>
          <w:rFonts w:eastAsia="Times New Roman"/>
          <w:color w:val="000000"/>
          <w:sz w:val="20"/>
          <w:szCs w:val="20"/>
        </w:rPr>
        <w:t xml:space="preserve"> Changes in cash flow from financing activities are primarily due to issuances and repayments of long-term debt; net short-term borrowings/repayments; dividends on UGI Common Stock; quarterly payments on outstanding Pu</w:t>
      </w:r>
      <w:r>
        <w:rPr>
          <w:rFonts w:eastAsia="Times New Roman"/>
          <w:color w:val="000000"/>
          <w:sz w:val="20"/>
          <w:szCs w:val="20"/>
        </w:rPr>
        <w:t>rchase Contracts; and issuances and repurchases of equity instruments.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Cash flow provided by financing activities was $25 million in the 2022 six-month period compared with $174 million of cash used in the 2021 six-month period. The change in cash flows provided by financing activities is primarily attributable to the issuanc</w:t>
      </w:r>
      <w:r>
        <w:rPr>
          <w:rFonts w:eastAsia="Times New Roman"/>
          <w:color w:val="000000"/>
          <w:sz w:val="20"/>
          <w:szCs w:val="20"/>
        </w:rPr>
        <w:t>e of UGI International’s 2.50% Senior Notes and concurrent repayment of the UGI International 3.25% Senior Notes during the 2022 six-month period. Additionally, the 2022 six-month period includes net borrowings on revolving credit facilities as compared to</w:t>
      </w:r>
      <w:r>
        <w:rPr>
          <w:rFonts w:eastAsia="Times New Roman"/>
          <w:color w:val="000000"/>
          <w:sz w:val="20"/>
          <w:szCs w:val="20"/>
        </w:rPr>
        <w:t xml:space="preserve"> net repayments in the prior-year period.</w:t>
      </w:r>
    </w:p>
    <w:p w:rsidR="00000000" w:rsidRDefault="00844BCF">
      <w:pPr>
        <w:jc w:val="both"/>
        <w:rPr>
          <w:rFonts w:eastAsia="Times New Roman"/>
        </w:rPr>
      </w:pPr>
    </w:p>
    <w:p w:rsidR="00000000" w:rsidRDefault="00844BCF">
      <w:pPr>
        <w:jc w:val="center"/>
        <w:divId w:val="355352221"/>
        <w:rPr>
          <w:rFonts w:eastAsia="Times New Roman"/>
        </w:rPr>
      </w:pPr>
      <w:r>
        <w:rPr>
          <w:rFonts w:eastAsia="Times New Roman"/>
          <w:color w:val="000000"/>
          <w:sz w:val="20"/>
          <w:szCs w:val="20"/>
        </w:rPr>
        <w:t>49</w:t>
      </w:r>
    </w:p>
    <w:p w:rsidR="00000000" w:rsidRDefault="00844BCF">
      <w:pPr>
        <w:rPr>
          <w:rFonts w:eastAsia="Times New Roman"/>
        </w:rPr>
      </w:pPr>
      <w:r>
        <w:rPr>
          <w:rFonts w:eastAsia="Times New Roman"/>
        </w:rPr>
        <w:pict>
          <v:rect id="_x0000_i1075" style="width:0;height:1.5pt" o:hralign="center" o:hrstd="t" o:hr="t" fillcolor="#a0a0a0" stroked="f"/>
        </w:pict>
      </w:r>
    </w:p>
    <w:p w:rsidR="00000000" w:rsidRDefault="00844BCF">
      <w:pPr>
        <w:divId w:val="260920235"/>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509903700"/>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b/>
          <w:bCs/>
          <w:color w:val="000000"/>
          <w:sz w:val="20"/>
          <w:szCs w:val="20"/>
        </w:rPr>
        <w:t>UTILITY REGULATORY MATTERS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Base Rate Filings.</w:t>
      </w:r>
      <w:r>
        <w:rPr>
          <w:rFonts w:eastAsia="Times New Roman"/>
          <w:color w:val="000000"/>
          <w:sz w:val="20"/>
          <w:szCs w:val="20"/>
        </w:rPr>
        <w:t xml:space="preserve"> On January 28, </w:t>
      </w:r>
      <w:r>
        <w:rPr>
          <w:rFonts w:eastAsia="Times New Roman"/>
          <w:color w:val="000000"/>
          <w:sz w:val="20"/>
          <w:szCs w:val="20"/>
        </w:rPr>
        <w:t>2022, PA Gas Utility filed a request with the PAPUC to increase its base operating revenues for residential, commercial and industrial customers by $83 million annually. The increased revenues would fund ongoing system improvements and operations necessary</w:t>
      </w:r>
      <w:r>
        <w:rPr>
          <w:rFonts w:eastAsia="Times New Roman"/>
          <w:color w:val="000000"/>
          <w:sz w:val="20"/>
          <w:szCs w:val="20"/>
        </w:rPr>
        <w:t xml:space="preserve"> to maintain safe and reliable natural gas service and continue to fund programs designed to promote and reward customers’ efforts to increase efficient use of natural gas. PA Gas Utility requested that the new gas rates become effective March 29, 2022. Th</w:t>
      </w:r>
      <w:r>
        <w:rPr>
          <w:rFonts w:eastAsia="Times New Roman"/>
          <w:color w:val="000000"/>
          <w:sz w:val="20"/>
          <w:szCs w:val="20"/>
        </w:rPr>
        <w:t>e PAPUC entered an Order on February 24, 2022, suspending the effective date for the rate increase to allow for investigation and public hearings. Unless a settlement is reached sooner, the review process is expected to last up to nine months from the date</w:t>
      </w:r>
      <w:r>
        <w:rPr>
          <w:rFonts w:eastAsia="Times New Roman"/>
          <w:color w:val="000000"/>
          <w:sz w:val="20"/>
          <w:szCs w:val="20"/>
        </w:rPr>
        <w:t xml:space="preserve"> of filing. The Company cannot predict the timing or the ultimate outcome of the rate case review process.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On February 8, 2021, Electric Utility filed a rate request with the PAPUC to increase its annual base distribution revenues by $9 million. On Octob</w:t>
      </w:r>
      <w:r>
        <w:rPr>
          <w:rFonts w:eastAsia="Times New Roman"/>
          <w:color w:val="000000"/>
          <w:sz w:val="20"/>
          <w:szCs w:val="20"/>
        </w:rPr>
        <w:t>er 28, 2021, the PAPUC issued a final order approving a settlement that permitted Electric Utility, effective November 9, 2021, to increase its base distribution revenues by $6 million.</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On January 28, 2020, PA Gas Utility filed a request with the PAPUC t</w:t>
      </w:r>
      <w:r>
        <w:rPr>
          <w:rFonts w:eastAsia="Times New Roman"/>
          <w:color w:val="000000"/>
          <w:sz w:val="20"/>
          <w:szCs w:val="20"/>
        </w:rPr>
        <w:t>o increase its annual base distribution operating revenues by $75 million annually. On October 8, 2020, the PAPUC issued a final Order approving a settlement that permitted PA Gas Utility to increase its annual base distribution rates by $20 million, throu</w:t>
      </w:r>
      <w:r>
        <w:rPr>
          <w:rFonts w:eastAsia="Times New Roman"/>
          <w:color w:val="000000"/>
          <w:sz w:val="20"/>
          <w:szCs w:val="20"/>
        </w:rPr>
        <w:t>gh a phased approach, with $10 million beginning January 1, 2021 and an additional $10 million beginning July 1, 2021. Additionally, PA Gas Utility was authorized to implement a DSIC once Gas Utility total property, plant and equipment less accumulated dep</w:t>
      </w:r>
      <w:r>
        <w:rPr>
          <w:rFonts w:eastAsia="Times New Roman"/>
          <w:color w:val="000000"/>
          <w:sz w:val="20"/>
          <w:szCs w:val="20"/>
        </w:rPr>
        <w:t>reciation reached $2,875 million. This threshold was achieved in December 2020, and PA Gas Utility implemented a DSIC effective April 1, 2021. The PAPUC’s final Order also included enhanced COVID-19 customer assistance measures, including the establishment</w:t>
      </w:r>
      <w:r>
        <w:rPr>
          <w:rFonts w:eastAsia="Times New Roman"/>
          <w:color w:val="000000"/>
          <w:sz w:val="20"/>
          <w:szCs w:val="20"/>
        </w:rPr>
        <w:t xml:space="preserve"> of an Emergency Relief Program for a defined set of payment troubled customers (“ERP”). Additionally, the PAPUC’s final order permitted PA Gas Utility to establish a regulatory asset for certain incremental expenses attributable to the ongoing COVID-19 pa</w:t>
      </w:r>
      <w:r>
        <w:rPr>
          <w:rFonts w:eastAsia="Times New Roman"/>
          <w:color w:val="000000"/>
          <w:sz w:val="20"/>
          <w:szCs w:val="20"/>
        </w:rPr>
        <w:t>ndemic, most notably expenses related to the ERP and uncollectible accounts expense, through the effective date of rates in the next PA Gas Utility base rate case, to be recovered and amortized over a 10-year period. In accordance with the terms of the Joi</w:t>
      </w:r>
      <w:r>
        <w:rPr>
          <w:rFonts w:eastAsia="Times New Roman"/>
          <w:color w:val="000000"/>
          <w:sz w:val="20"/>
          <w:szCs w:val="20"/>
        </w:rPr>
        <w:t>nt Petition, PA Gas Utility was not permitted to file a rate case prior to January 1, 2022.</w:t>
      </w:r>
    </w:p>
    <w:p w:rsidR="00000000" w:rsidRDefault="00844BCF">
      <w:pPr>
        <w:jc w:val="both"/>
        <w:rPr>
          <w:rFonts w:eastAsia="Times New Roman"/>
        </w:rPr>
      </w:pPr>
    </w:p>
    <w:p w:rsidR="00000000" w:rsidRDefault="00844BCF">
      <w:pPr>
        <w:jc w:val="both"/>
        <w:rPr>
          <w:rFonts w:eastAsia="Times New Roman"/>
        </w:rPr>
      </w:pPr>
    </w:p>
    <w:p w:rsidR="00000000" w:rsidRDefault="00844BCF">
      <w:pPr>
        <w:jc w:val="both"/>
        <w:rPr>
          <w:rFonts w:eastAsia="Times New Roman"/>
        </w:rPr>
      </w:pPr>
    </w:p>
    <w:p w:rsidR="00000000" w:rsidRDefault="00844BCF">
      <w:pPr>
        <w:jc w:val="center"/>
        <w:divId w:val="477724445"/>
        <w:rPr>
          <w:rFonts w:eastAsia="Times New Roman"/>
        </w:rPr>
      </w:pPr>
      <w:r>
        <w:rPr>
          <w:rFonts w:eastAsia="Times New Roman"/>
          <w:color w:val="000000"/>
          <w:sz w:val="20"/>
          <w:szCs w:val="20"/>
        </w:rPr>
        <w:t>50</w:t>
      </w:r>
    </w:p>
    <w:p w:rsidR="00000000" w:rsidRDefault="00844BCF">
      <w:pPr>
        <w:rPr>
          <w:rFonts w:eastAsia="Times New Roman"/>
        </w:rPr>
      </w:pPr>
      <w:r>
        <w:rPr>
          <w:rFonts w:eastAsia="Times New Roman"/>
        </w:rPr>
        <w:pict>
          <v:rect id="_x0000_i1076" style="width:0;height:1.5pt" o:hralign="center" o:hrstd="t" o:hr="t" fillcolor="#a0a0a0" stroked="f"/>
        </w:pict>
      </w:r>
    </w:p>
    <w:p w:rsidR="00000000" w:rsidRDefault="00844BCF">
      <w:pPr>
        <w:divId w:val="731469649"/>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1543711490"/>
        <w:rPr>
          <w:rFonts w:eastAsia="Times New Roman"/>
        </w:rPr>
      </w:pPr>
      <w:r>
        <w:rPr>
          <w:rFonts w:eastAsia="Times New Roman"/>
          <w:b/>
          <w:bCs/>
          <w:color w:val="000000"/>
          <w:sz w:val="20"/>
          <w:szCs w:val="20"/>
        </w:rPr>
        <w:t>UGI CORPORATION AND SUBSIDIARIES</w:t>
      </w:r>
    </w:p>
    <w:p w:rsidR="00000000" w:rsidRDefault="00844BCF">
      <w:pPr>
        <w:divId w:val="28993160"/>
        <w:rPr>
          <w:rFonts w:eastAsia="Times New Roman"/>
        </w:rPr>
      </w:pPr>
      <w:r>
        <w:rPr>
          <w:rFonts w:eastAsia="Times New Roman"/>
          <w:b/>
          <w:bCs/>
          <w:color w:val="000000"/>
          <w:sz w:val="20"/>
          <w:szCs w:val="20"/>
        </w:rPr>
        <w:t>ITEM 3. Q</w:t>
      </w:r>
      <w:r>
        <w:rPr>
          <w:rFonts w:eastAsia="Times New Roman"/>
          <w:b/>
          <w:bCs/>
          <w:color w:val="000000"/>
          <w:sz w:val="20"/>
          <w:szCs w:val="20"/>
        </w:rPr>
        <w:t>UANTITATIVE AND QUALITATIVE DISCLOSURES ABOUT MARKET RISK</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Our primary market risk exposures are (1) commodity price risk; (2) interest rate risk; and (3) foreign currency exchange rate risk. Although we use derivative financial and commodity instruments </w:t>
      </w:r>
      <w:r>
        <w:rPr>
          <w:rFonts w:eastAsia="Times New Roman"/>
          <w:color w:val="000000"/>
          <w:sz w:val="20"/>
          <w:szCs w:val="20"/>
        </w:rPr>
        <w:t>to reduce market price risk associated with forecasted transactions, we do not use derivative financial and commodity instruments for speculative or trading purposes.</w:t>
      </w:r>
    </w:p>
    <w:p w:rsidR="00000000" w:rsidRDefault="00844BCF">
      <w:pPr>
        <w:divId w:val="194083005"/>
        <w:rPr>
          <w:rFonts w:eastAsia="Times New Roman"/>
        </w:rPr>
      </w:pPr>
    </w:p>
    <w:p w:rsidR="00000000" w:rsidRDefault="00844BCF">
      <w:pPr>
        <w:jc w:val="both"/>
        <w:divId w:val="111826371"/>
        <w:rPr>
          <w:rFonts w:eastAsia="Times New Roman"/>
        </w:rPr>
      </w:pPr>
      <w:r>
        <w:rPr>
          <w:rFonts w:eastAsia="Times New Roman"/>
          <w:b/>
          <w:bCs/>
          <w:color w:val="000000"/>
          <w:sz w:val="20"/>
          <w:szCs w:val="20"/>
        </w:rPr>
        <w:t>Commodity Price Risk</w:t>
      </w:r>
    </w:p>
    <w:p w:rsidR="00000000" w:rsidRDefault="00844BCF">
      <w:pPr>
        <w:jc w:val="both"/>
        <w:rPr>
          <w:rFonts w:eastAsia="Times New Roman"/>
        </w:rPr>
      </w:pPr>
      <w:r>
        <w:rPr>
          <w:rFonts w:eastAsia="Times New Roman"/>
          <w:color w:val="000000"/>
          <w:sz w:val="20"/>
          <w:szCs w:val="20"/>
        </w:rPr>
        <w:t>The risk associated with fluctuations in the prices the Partnershi</w:t>
      </w:r>
      <w:r>
        <w:rPr>
          <w:rFonts w:eastAsia="Times New Roman"/>
          <w:color w:val="000000"/>
          <w:sz w:val="20"/>
          <w:szCs w:val="20"/>
        </w:rPr>
        <w:t>p and our UGI International operations pay for LPG is principally a result of market forces reflecting changes in supply and demand for LPG and other energy commodities. Their profitability is sensitive to changes in LPG supply costs. Increases in supply c</w:t>
      </w:r>
      <w:r>
        <w:rPr>
          <w:rFonts w:eastAsia="Times New Roman"/>
          <w:color w:val="000000"/>
          <w:sz w:val="20"/>
          <w:szCs w:val="20"/>
        </w:rPr>
        <w:t>osts are generally passed on to customers. The Partnership and UGI International may not, however, always be able to pass through product cost increases fully or on a timely basis, particularly when product costs rise rapidly. In order to reduce the volati</w:t>
      </w:r>
      <w:r>
        <w:rPr>
          <w:rFonts w:eastAsia="Times New Roman"/>
          <w:color w:val="000000"/>
          <w:sz w:val="20"/>
          <w:szCs w:val="20"/>
        </w:rPr>
        <w:t>lity of LPG market price risk, the Partnership uses contracts for the forward purchase or sale of propane, propane fixed-price supply agreements and over-the-counter derivative commodity instruments including price swap contracts. Our UGI International ope</w:t>
      </w:r>
      <w:r>
        <w:rPr>
          <w:rFonts w:eastAsia="Times New Roman"/>
          <w:color w:val="000000"/>
          <w:sz w:val="20"/>
          <w:szCs w:val="20"/>
        </w:rPr>
        <w:t>rations use over-the-counter derivative commodity instruments and may from time to time enter into other derivative contracts, similar to those used by the Partnership, to reduce market risk associated with a portion of their LPG purchases. Over-the-counte</w:t>
      </w:r>
      <w:r>
        <w:rPr>
          <w:rFonts w:eastAsia="Times New Roman"/>
          <w:color w:val="000000"/>
          <w:sz w:val="20"/>
          <w:szCs w:val="20"/>
        </w:rPr>
        <w:t xml:space="preserve">r derivative commodity instruments used to economically hedge forecasted purchases of LPG are generally settled at expiration of the contract.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UGI Utilities’ </w:t>
      </w:r>
      <w:r>
        <w:rPr>
          <w:rFonts w:eastAsia="Times New Roman"/>
          <w:color w:val="000000"/>
          <w:sz w:val="20"/>
          <w:szCs w:val="20"/>
        </w:rPr>
        <w:t>tariffs contain clauses that permit recovery of all prudently incurred costs of natural gas it sells to its retail core-market customers, including the cost of financial instruments used to hedge purchased gas costs. The recovery clauses provide for period</w:t>
      </w:r>
      <w:r>
        <w:rPr>
          <w:rFonts w:eastAsia="Times New Roman"/>
          <w:color w:val="000000"/>
          <w:sz w:val="20"/>
          <w:szCs w:val="20"/>
        </w:rPr>
        <w:t>ic adjustments for the difference between the total amounts actually billed to customers through PGC rates and the recoverable costs incurred. Because of this ratemaking mechanism, there is limited commodity price risk associated with our Utilities operati</w:t>
      </w:r>
      <w:r>
        <w:rPr>
          <w:rFonts w:eastAsia="Times New Roman"/>
          <w:color w:val="000000"/>
          <w:sz w:val="20"/>
          <w:szCs w:val="20"/>
        </w:rPr>
        <w:t>ons. PA Gas Utility uses derivative financial instruments, including natural gas futures and option contracts traded on the NYMEX, to reduce volatility in the cost of gas it purchases for its retail core-market customers. The cost of these derivative finan</w:t>
      </w:r>
      <w:r>
        <w:rPr>
          <w:rFonts w:eastAsia="Times New Roman"/>
          <w:color w:val="000000"/>
          <w:sz w:val="20"/>
          <w:szCs w:val="20"/>
        </w:rPr>
        <w:t xml:space="preserve">cial instruments, net of any associated gains or losses, is included in PA Gas Utility's PGC recovery mechanism.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In order to manage market price risk relating to substantially all of Midstream &amp; Marketing’s fixed-price sale contracts for physical natura</w:t>
      </w:r>
      <w:r>
        <w:rPr>
          <w:rFonts w:eastAsia="Times New Roman"/>
          <w:color w:val="000000"/>
          <w:sz w:val="20"/>
          <w:szCs w:val="20"/>
        </w:rPr>
        <w:t>l gas and electricity, Midstream &amp; Marketing enters into NYMEX, ICE and over-the-counter natural gas and electricity futures and option contracts, and natural gas basis swap contracts or enters into fixed-price supply arrangements. Midstream &amp; Marketing al</w:t>
      </w:r>
      <w:r>
        <w:rPr>
          <w:rFonts w:eastAsia="Times New Roman"/>
          <w:color w:val="000000"/>
          <w:sz w:val="20"/>
          <w:szCs w:val="20"/>
        </w:rPr>
        <w:t>so uses NYMEX and over-the-counter electricity futures contracts to economically hedge a portion of its anticipated sales of electricity from its electricity generation facilities. Although Midstream &amp; Marketing’s fixed-price supply arrangements mitigate m</w:t>
      </w:r>
      <w:r>
        <w:rPr>
          <w:rFonts w:eastAsia="Times New Roman"/>
          <w:color w:val="000000"/>
          <w:sz w:val="20"/>
          <w:szCs w:val="20"/>
        </w:rPr>
        <w:t>ost risks associated with its fixed-price sales contracts, should any of the suppliers under these arrangements fail to perform, increases, if any, in the cost of replacement natural gas or electricity would adversely impact Midstream &amp; Marketing’s results</w:t>
      </w:r>
      <w:r>
        <w:rPr>
          <w:rFonts w:eastAsia="Times New Roman"/>
          <w:color w:val="000000"/>
          <w:sz w:val="20"/>
          <w:szCs w:val="20"/>
        </w:rPr>
        <w:t>. In order to reduce this risk of supplier nonperformance, Midstream &amp; Marketing has diversified its purchases across a number of suppliers. UGI International’s natural gas and electricity marketing businesses also use natural gas and electricity futures a</w:t>
      </w:r>
      <w:r>
        <w:rPr>
          <w:rFonts w:eastAsia="Times New Roman"/>
          <w:color w:val="000000"/>
          <w:sz w:val="20"/>
          <w:szCs w:val="20"/>
        </w:rPr>
        <w:t>nd forward contracts to economically hedge market risk associated with a substantial portion of anticipated volumes under fixed-price sales and purchase contracts.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Midstream &amp; </w:t>
      </w:r>
      <w:r>
        <w:rPr>
          <w:rFonts w:eastAsia="Times New Roman"/>
          <w:color w:val="000000"/>
          <w:sz w:val="20"/>
          <w:szCs w:val="20"/>
        </w:rPr>
        <w:t>Marketing has entered into fixed-price sales agreements for a portion of the electricity expected to be generated by its electric generation assets. In the event that these generation assets would not be able to produce all of the electricity needed to sup</w:t>
      </w:r>
      <w:r>
        <w:rPr>
          <w:rFonts w:eastAsia="Times New Roman"/>
          <w:color w:val="000000"/>
          <w:sz w:val="20"/>
          <w:szCs w:val="20"/>
        </w:rPr>
        <w:t>ply electricity under these agreements, Midstream &amp; Marketing would be required to purchase electricity on the spot market or under contract with other electricity suppliers. Accordingly, increases in the cost of replacement power could negatively impact M</w:t>
      </w:r>
      <w:r>
        <w:rPr>
          <w:rFonts w:eastAsia="Times New Roman"/>
          <w:color w:val="000000"/>
          <w:sz w:val="20"/>
          <w:szCs w:val="20"/>
        </w:rPr>
        <w:t>idstream &amp; Marketing’s results.</w:t>
      </w:r>
    </w:p>
    <w:p w:rsidR="00000000" w:rsidRDefault="00844BCF">
      <w:pPr>
        <w:jc w:val="both"/>
        <w:rPr>
          <w:rFonts w:eastAsia="Times New Roman"/>
        </w:rPr>
      </w:pPr>
    </w:p>
    <w:p w:rsidR="00000000" w:rsidRDefault="00844BCF">
      <w:pPr>
        <w:jc w:val="both"/>
        <w:divId w:val="1284733102"/>
        <w:rPr>
          <w:rFonts w:eastAsia="Times New Roman"/>
        </w:rPr>
      </w:pPr>
      <w:r>
        <w:rPr>
          <w:rFonts w:eastAsia="Times New Roman"/>
          <w:b/>
          <w:bCs/>
          <w:color w:val="000000"/>
          <w:sz w:val="20"/>
          <w:szCs w:val="20"/>
        </w:rPr>
        <w:t>Interest Rate Risk</w:t>
      </w:r>
    </w:p>
    <w:p w:rsidR="00000000" w:rsidRDefault="00844BCF">
      <w:pPr>
        <w:jc w:val="both"/>
        <w:rPr>
          <w:rFonts w:eastAsia="Times New Roman"/>
        </w:rPr>
      </w:pPr>
      <w:r>
        <w:rPr>
          <w:rFonts w:eastAsia="Times New Roman"/>
          <w:color w:val="000000"/>
          <w:sz w:val="20"/>
          <w:szCs w:val="20"/>
        </w:rPr>
        <w:t>We have both fixed-rate and variable-rate debt. Changes in interest rates impact the cash flows of variable-rate debt but generally do not impact their fair value. Conversely, changes in interest rates i</w:t>
      </w:r>
      <w:r>
        <w:rPr>
          <w:rFonts w:eastAsia="Times New Roman"/>
          <w:color w:val="000000"/>
          <w:sz w:val="20"/>
          <w:szCs w:val="20"/>
        </w:rPr>
        <w:t>mpact the fair value of fixed-rate debt but do not impact their cash flows.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Our variable-rate debt at March 31, 2022, includes revolving credit facility borrowings and variable-rate term loans at UGI International, UGI Utilities, Energy Services and UGI </w:t>
      </w:r>
      <w:r>
        <w:rPr>
          <w:rFonts w:eastAsia="Times New Roman"/>
          <w:color w:val="000000"/>
          <w:sz w:val="20"/>
          <w:szCs w:val="20"/>
        </w:rPr>
        <w:t>Corporation. These debt agreements have interest rates that are generally indexed to short-term market interest rates. We have entered into pay-fixed, receive-variable interest rate swap agreements on all or a significant portion of the term loans’ princip</w:t>
      </w:r>
      <w:r>
        <w:rPr>
          <w:rFonts w:eastAsia="Times New Roman"/>
          <w:color w:val="000000"/>
          <w:sz w:val="20"/>
          <w:szCs w:val="20"/>
        </w:rPr>
        <w:t>al balances and all or a significant portion of the term loans’ tenor. We have designated these interest rate swaps as cash flow hedges. At March 31, 2022, combined borrowings outstanding under variable-rate debt agreements, excluding the previously mentio</w:t>
      </w:r>
      <w:r>
        <w:rPr>
          <w:rFonts w:eastAsia="Times New Roman"/>
          <w:color w:val="000000"/>
          <w:sz w:val="20"/>
          <w:szCs w:val="20"/>
        </w:rPr>
        <w:t xml:space="preserve">ned effectively fixed-rate debt, totaled $837 million. </w:t>
      </w:r>
    </w:p>
    <w:p w:rsidR="00000000" w:rsidRDefault="00844BCF">
      <w:pPr>
        <w:jc w:val="both"/>
        <w:rPr>
          <w:rFonts w:eastAsia="Times New Roman"/>
        </w:rPr>
      </w:pPr>
    </w:p>
    <w:p w:rsidR="00000000" w:rsidRDefault="00844BCF">
      <w:pPr>
        <w:jc w:val="center"/>
        <w:divId w:val="1441685239"/>
        <w:rPr>
          <w:rFonts w:eastAsia="Times New Roman"/>
        </w:rPr>
      </w:pPr>
      <w:r>
        <w:rPr>
          <w:rFonts w:eastAsia="Times New Roman"/>
          <w:color w:val="000000"/>
          <w:sz w:val="20"/>
          <w:szCs w:val="20"/>
        </w:rPr>
        <w:t>51</w:t>
      </w:r>
    </w:p>
    <w:p w:rsidR="00000000" w:rsidRDefault="00844BCF">
      <w:pPr>
        <w:rPr>
          <w:rFonts w:eastAsia="Times New Roman"/>
        </w:rPr>
      </w:pPr>
      <w:r>
        <w:rPr>
          <w:rFonts w:eastAsia="Times New Roman"/>
        </w:rPr>
        <w:pict>
          <v:rect id="_x0000_i1077" style="width:0;height:1.5pt" o:hralign="center" o:hrstd="t" o:hr="t" fillcolor="#a0a0a0" stroked="f"/>
        </w:pict>
      </w:r>
    </w:p>
    <w:p w:rsidR="00000000" w:rsidRDefault="00844BCF">
      <w:pPr>
        <w:divId w:val="381489110"/>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441220683"/>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color w:val="000000"/>
          <w:sz w:val="20"/>
          <w:szCs w:val="20"/>
        </w:rPr>
        <w:t>Long-term debt associated with our domestic busin</w:t>
      </w:r>
      <w:r>
        <w:rPr>
          <w:rFonts w:eastAsia="Times New Roman"/>
          <w:color w:val="000000"/>
          <w:sz w:val="20"/>
          <w:szCs w:val="20"/>
        </w:rPr>
        <w:t>esses is typically issued at fixed rates of interest based upon market rates for debt with similar terms and credit ratings. As these long-term debt issues mature, we may refinance such debt with new debt having interest rates reflecting then-current marke</w:t>
      </w:r>
      <w:r>
        <w:rPr>
          <w:rFonts w:eastAsia="Times New Roman"/>
          <w:color w:val="000000"/>
          <w:sz w:val="20"/>
          <w:szCs w:val="20"/>
        </w:rPr>
        <w:t>t conditions. In order to reduce interest rate risk associated with near- to medium-term forecasted issuances of fixed rate debt, from time to time we enter into IRPAs.</w:t>
      </w:r>
    </w:p>
    <w:p w:rsidR="00000000" w:rsidRDefault="00844BCF">
      <w:pPr>
        <w:jc w:val="both"/>
        <w:divId w:val="894318269"/>
        <w:rPr>
          <w:rFonts w:eastAsia="Times New Roman"/>
        </w:rPr>
      </w:pPr>
      <w:r>
        <w:rPr>
          <w:rFonts w:eastAsia="Times New Roman"/>
          <w:b/>
          <w:bCs/>
          <w:color w:val="000000"/>
          <w:sz w:val="20"/>
          <w:szCs w:val="20"/>
        </w:rPr>
        <w:t>Foreign Currency Exchange Rate Risk</w:t>
      </w:r>
    </w:p>
    <w:p w:rsidR="00000000" w:rsidRDefault="00844BCF">
      <w:pPr>
        <w:jc w:val="both"/>
        <w:divId w:val="2002849954"/>
        <w:rPr>
          <w:rFonts w:eastAsia="Times New Roman"/>
        </w:rPr>
      </w:pPr>
      <w:r>
        <w:rPr>
          <w:rFonts w:eastAsia="Times New Roman"/>
          <w:color w:val="000000"/>
          <w:sz w:val="20"/>
          <w:szCs w:val="20"/>
        </w:rPr>
        <w:t>Our primary currency exchange rate risk is associat</w:t>
      </w:r>
      <w:r>
        <w:rPr>
          <w:rFonts w:eastAsia="Times New Roman"/>
          <w:color w:val="000000"/>
          <w:sz w:val="20"/>
          <w:szCs w:val="20"/>
        </w:rPr>
        <w:t>ed with the U.S. dollar versus the euro and, to a lesser extent, the U.S. dollar versus the British pound sterling. The U.S. dollar value of our foreign currency denominated assets and liabilities will fluctuate with changes in the associated foreign curre</w:t>
      </w:r>
      <w:r>
        <w:rPr>
          <w:rFonts w:eastAsia="Times New Roman"/>
          <w:color w:val="000000"/>
          <w:sz w:val="20"/>
          <w:szCs w:val="20"/>
        </w:rPr>
        <w:t>ncy exchange rates. From time to time, we use derivative instruments to hedge portions of our net investments in foreign subsidiaries, including anticipated foreign currency denominated dividends. Gains or losses on these net investment hedges remain in AO</w:t>
      </w:r>
      <w:r>
        <w:rPr>
          <w:rFonts w:eastAsia="Times New Roman"/>
          <w:color w:val="000000"/>
          <w:sz w:val="20"/>
          <w:szCs w:val="20"/>
        </w:rPr>
        <w:t>CI until such foreign operations are sold or liquidated. With respect to our net investments in our UGI International operations, a 10% decline in the value of the associated foreign currencies versus the U.S. dollar would reduce their aggregate net book v</w:t>
      </w:r>
      <w:r>
        <w:rPr>
          <w:rFonts w:eastAsia="Times New Roman"/>
          <w:color w:val="000000"/>
          <w:sz w:val="20"/>
          <w:szCs w:val="20"/>
        </w:rPr>
        <w:t>alue at March 31, 2022, by approximately $170 million, which amount would be reflected in other comprehensive income. We have designated certain euro-denominated borrowings as net investment hedges.</w:t>
      </w:r>
    </w:p>
    <w:p w:rsidR="00000000" w:rsidRDefault="00844BCF">
      <w:pPr>
        <w:jc w:val="both"/>
        <w:divId w:val="723603039"/>
        <w:rPr>
          <w:rFonts w:eastAsia="Times New Roman"/>
        </w:rPr>
      </w:pPr>
      <w:r>
        <w:rPr>
          <w:rFonts w:eastAsia="Times New Roman"/>
          <w:color w:val="000000"/>
          <w:sz w:val="20"/>
          <w:szCs w:val="20"/>
        </w:rPr>
        <w:t>In order to reduce the volatility in net income associate</w:t>
      </w:r>
      <w:r>
        <w:rPr>
          <w:rFonts w:eastAsia="Times New Roman"/>
          <w:color w:val="000000"/>
          <w:sz w:val="20"/>
          <w:szCs w:val="20"/>
        </w:rPr>
        <w:t>d with our foreign operations, principally as a result of changes in the U.S. dollar exchange rate between the euro and British pound sterling, we enter into forward foreign currency exchange contracts. We layer in these foreign currency exchange contracts</w:t>
      </w:r>
      <w:r>
        <w:rPr>
          <w:rFonts w:eastAsia="Times New Roman"/>
          <w:color w:val="000000"/>
          <w:sz w:val="20"/>
          <w:szCs w:val="20"/>
        </w:rPr>
        <w:t xml:space="preserve"> over a multi-year period to eventually equal approximately 90% of anticipated UGI International foreign currency earnings before income taxes.</w:t>
      </w:r>
    </w:p>
    <w:p w:rsidR="00000000" w:rsidRDefault="00844BCF">
      <w:pPr>
        <w:jc w:val="both"/>
        <w:divId w:val="889272155"/>
        <w:rPr>
          <w:rFonts w:eastAsia="Times New Roman"/>
        </w:rPr>
      </w:pPr>
      <w:r>
        <w:rPr>
          <w:rFonts w:eastAsia="Times New Roman"/>
          <w:b/>
          <w:bCs/>
          <w:color w:val="000000"/>
          <w:sz w:val="20"/>
          <w:szCs w:val="20"/>
        </w:rPr>
        <w:t>Derivative Instrument Credit Risk</w:t>
      </w:r>
    </w:p>
    <w:p w:rsidR="00000000" w:rsidRDefault="00844BCF">
      <w:pPr>
        <w:jc w:val="both"/>
        <w:divId w:val="1093168802"/>
        <w:rPr>
          <w:rFonts w:eastAsia="Times New Roman"/>
        </w:rPr>
      </w:pPr>
      <w:r>
        <w:rPr>
          <w:rFonts w:eastAsia="Times New Roman"/>
          <w:color w:val="000000"/>
          <w:sz w:val="20"/>
          <w:szCs w:val="20"/>
        </w:rPr>
        <w:t>We are exposed to risk of loss in the event of nonperformance by our derivativ</w:t>
      </w:r>
      <w:r>
        <w:rPr>
          <w:rFonts w:eastAsia="Times New Roman"/>
          <w:color w:val="000000"/>
          <w:sz w:val="20"/>
          <w:szCs w:val="20"/>
        </w:rPr>
        <w:t xml:space="preserve">e instrument counterparties. Our derivative instrument counterparties principally comprise large energy companies and major U.S. and international financial institutions. We maintain credit policies with regard to our counterparties that we believe reduce </w:t>
      </w:r>
      <w:r>
        <w:rPr>
          <w:rFonts w:eastAsia="Times New Roman"/>
          <w:color w:val="000000"/>
          <w:sz w:val="20"/>
          <w:szCs w:val="20"/>
        </w:rPr>
        <w:t>overall credit risk. These policies include evaluating and monitoring our counterparties’ financial condition, including their credit ratings, and entering into agreements with counterparties that govern credit limits or entering into netting agreements th</w:t>
      </w:r>
      <w:r>
        <w:rPr>
          <w:rFonts w:eastAsia="Times New Roman"/>
          <w:color w:val="000000"/>
          <w:sz w:val="20"/>
          <w:szCs w:val="20"/>
        </w:rPr>
        <w:t xml:space="preserve">at allow for offsetting counterparty receivable and payable balances for certain financial transactions, as deemed appropriate. </w:t>
      </w:r>
    </w:p>
    <w:p w:rsidR="00000000" w:rsidRDefault="00844BCF">
      <w:pPr>
        <w:jc w:val="both"/>
        <w:divId w:val="1661809156"/>
        <w:rPr>
          <w:rFonts w:eastAsia="Times New Roman"/>
        </w:rPr>
      </w:pPr>
      <w:r>
        <w:rPr>
          <w:rFonts w:eastAsia="Times New Roman"/>
          <w:color w:val="000000"/>
          <w:sz w:val="20"/>
          <w:szCs w:val="20"/>
        </w:rPr>
        <w:t>We have concentrations of credit risk associated with derivative instruments and we evaluate the creditworthiness of our deriva</w:t>
      </w:r>
      <w:r>
        <w:rPr>
          <w:rFonts w:eastAsia="Times New Roman"/>
          <w:color w:val="000000"/>
          <w:sz w:val="20"/>
          <w:szCs w:val="20"/>
        </w:rPr>
        <w:t>tive counterparties on an ongoing basis. As of March 31, 2022, the maximum amount of loss, based upon the gross fair values of the derivative instruments, we would incur if these counterparties failed to perform according to the terms of their contracts wa</w:t>
      </w:r>
      <w:r>
        <w:rPr>
          <w:rFonts w:eastAsia="Times New Roman"/>
          <w:color w:val="000000"/>
          <w:sz w:val="20"/>
          <w:szCs w:val="20"/>
        </w:rPr>
        <w:t>s $2,035 million. In general, many of our over-the-counter derivative instruments and all exchange contracts call for the posting of collateral by the counterparty or by the Company in the forms of letters of credit, parental guarantees or cash. At March 3</w:t>
      </w:r>
      <w:r>
        <w:rPr>
          <w:rFonts w:eastAsia="Times New Roman"/>
          <w:color w:val="000000"/>
          <w:sz w:val="20"/>
          <w:szCs w:val="20"/>
        </w:rPr>
        <w:t>1, 2022, we had received cash collateral from derivative instrument counterparties totaling $603 million. In addition, we may have offsetting derivative liabilities and certain accounts payable balances with certain of these counterparties, which further m</w:t>
      </w:r>
      <w:r>
        <w:rPr>
          <w:rFonts w:eastAsia="Times New Roman"/>
          <w:color w:val="000000"/>
          <w:sz w:val="20"/>
          <w:szCs w:val="20"/>
        </w:rPr>
        <w:t>itigates the previously mentioned maximum amount of losses. Certain of the Partnership’s derivative contracts have credit-risk-related contingent features that may require the posting of additional collateral in the event of a downgrade of the Partnership’</w:t>
      </w:r>
      <w:r>
        <w:rPr>
          <w:rFonts w:eastAsia="Times New Roman"/>
          <w:color w:val="000000"/>
          <w:sz w:val="20"/>
          <w:szCs w:val="20"/>
        </w:rPr>
        <w:t>s debt rating. At March 31, 2022, if the credit-risk-related contingent features were triggered, the amount of collateral required to be posted would not be material.</w:t>
      </w:r>
    </w:p>
    <w:p w:rsidR="00000000" w:rsidRDefault="00844BCF">
      <w:pPr>
        <w:jc w:val="both"/>
        <w:divId w:val="1641494001"/>
        <w:rPr>
          <w:rFonts w:eastAsia="Times New Roman"/>
        </w:rPr>
      </w:pPr>
      <w:r>
        <w:rPr>
          <w:rFonts w:eastAsia="Times New Roman"/>
          <w:color w:val="000000"/>
          <w:sz w:val="20"/>
          <w:szCs w:val="20"/>
        </w:rPr>
        <w:t>The following table summarizes the fair values of unsettled market risk sensitive derivat</w:t>
      </w:r>
      <w:r>
        <w:rPr>
          <w:rFonts w:eastAsia="Times New Roman"/>
          <w:color w:val="000000"/>
          <w:sz w:val="20"/>
          <w:szCs w:val="20"/>
        </w:rPr>
        <w:t>ive instrument assets (liabilities) held at March 31, 2022 and changes in their fair values due to market risks. Certain of UGI Utilities’ commodity derivative instruments are excluded from the table below because any associated net gains or losses are ref</w:t>
      </w:r>
      <w:r>
        <w:rPr>
          <w:rFonts w:eastAsia="Times New Roman"/>
          <w:color w:val="000000"/>
          <w:sz w:val="20"/>
          <w:szCs w:val="20"/>
        </w:rPr>
        <w:t>undable to or recoverable from customers in accordance with UGI Utilities ratemaking.</w:t>
      </w:r>
    </w:p>
    <w:tbl>
      <w:tblPr>
        <w:tblW w:w="4985" w:type="pct"/>
        <w:tblCellMar>
          <w:top w:w="15" w:type="dxa"/>
          <w:left w:w="15" w:type="dxa"/>
          <w:bottom w:w="15" w:type="dxa"/>
          <w:right w:w="15" w:type="dxa"/>
        </w:tblCellMar>
        <w:tblLook w:val="04A0" w:firstRow="1" w:lastRow="0" w:firstColumn="1" w:lastColumn="0" w:noHBand="0" w:noVBand="1"/>
      </w:tblPr>
      <w:tblGrid>
        <w:gridCol w:w="38"/>
        <w:gridCol w:w="6083"/>
        <w:gridCol w:w="37"/>
        <w:gridCol w:w="36"/>
        <w:gridCol w:w="36"/>
        <w:gridCol w:w="36"/>
        <w:gridCol w:w="120"/>
        <w:gridCol w:w="796"/>
        <w:gridCol w:w="36"/>
        <w:gridCol w:w="36"/>
        <w:gridCol w:w="36"/>
        <w:gridCol w:w="36"/>
        <w:gridCol w:w="121"/>
        <w:gridCol w:w="798"/>
        <w:gridCol w:w="36"/>
      </w:tblGrid>
      <w:tr w:rsidR="00000000">
        <w:tc>
          <w:tcPr>
            <w:tcW w:w="50" w:type="pct"/>
            <w:vAlign w:val="center"/>
            <w:hideMark/>
          </w:tcPr>
          <w:p w:rsidR="00000000" w:rsidRDefault="00844BCF">
            <w:pPr>
              <w:jc w:val="both"/>
              <w:rPr>
                <w:rFonts w:eastAsia="Times New Roman"/>
              </w:rPr>
            </w:pPr>
          </w:p>
        </w:tc>
        <w:tc>
          <w:tcPr>
            <w:tcW w:w="369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3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Asset (Liability)</w:t>
            </w:r>
          </w:p>
        </w:tc>
      </w:tr>
      <w:tr w:rsidR="00000000">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(Millions of dollars)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color w:val="000000"/>
                <w:sz w:val="20"/>
                <w:szCs w:val="20"/>
              </w:rPr>
              <w:t>Change in</w:t>
            </w:r>
            <w:r>
              <w:rPr>
                <w:rFonts w:eastAsia="Times New Roman"/>
                <w:color w:val="000000"/>
                <w:sz w:val="20"/>
                <w:szCs w:val="20"/>
              </w:rPr>
              <w:br/>
              <w:t>Fair 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b/>
                <w:bCs/>
                <w:color w:val="000000"/>
                <w:sz w:val="20"/>
                <w:szCs w:val="20"/>
              </w:rPr>
              <w:t>March 31, 2022</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Commodity price risk (1)</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1,627 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(309)</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Interest rate risk (2)</w:t>
            </w: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844BCF">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Foreign currency exchange rate risk (3)</w:t>
            </w: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44BC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44BC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44BCF">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844BCF">
            <w:pPr>
              <w:spacing w:after="100"/>
              <w:jc w:val="right"/>
              <w:rPr>
                <w:rFonts w:eastAsia="Times New Roman"/>
              </w:rPr>
            </w:pPr>
          </w:p>
        </w:tc>
      </w:tr>
    </w:tbl>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(1) Change in fair value represents a 10% adverse change in the market prices of certain commodities</w:t>
      </w:r>
    </w:p>
    <w:p w:rsidR="00000000" w:rsidRDefault="00844BCF">
      <w:pPr>
        <w:jc w:val="both"/>
        <w:rPr>
          <w:rFonts w:eastAsia="Times New Roman"/>
        </w:rPr>
      </w:pPr>
      <w:r>
        <w:rPr>
          <w:rFonts w:eastAsia="Times New Roman"/>
          <w:color w:val="000000"/>
          <w:sz w:val="20"/>
          <w:szCs w:val="20"/>
        </w:rPr>
        <w:t>(2) Change in fair value represents a 50 basis point adverse change in prevailing market interest rates</w:t>
      </w:r>
    </w:p>
    <w:p w:rsidR="00000000" w:rsidRDefault="00844BCF">
      <w:pPr>
        <w:jc w:val="center"/>
        <w:divId w:val="404642498"/>
        <w:rPr>
          <w:rFonts w:eastAsia="Times New Roman"/>
        </w:rPr>
      </w:pPr>
      <w:r>
        <w:rPr>
          <w:rFonts w:eastAsia="Times New Roman"/>
          <w:color w:val="000000"/>
          <w:sz w:val="20"/>
          <w:szCs w:val="20"/>
        </w:rPr>
        <w:t>52</w:t>
      </w:r>
    </w:p>
    <w:p w:rsidR="00000000" w:rsidRDefault="00844BCF">
      <w:pPr>
        <w:rPr>
          <w:rFonts w:eastAsia="Times New Roman"/>
        </w:rPr>
      </w:pPr>
      <w:r>
        <w:rPr>
          <w:rFonts w:eastAsia="Times New Roman"/>
        </w:rPr>
        <w:pict>
          <v:rect id="_x0000_i1078" style="width:0;height:1.5pt" o:hralign="center" o:hrstd="t" o:hr="t" fillcolor="#a0a0a0" stroked="f"/>
        </w:pict>
      </w:r>
    </w:p>
    <w:p w:rsidR="00000000" w:rsidRDefault="00844BCF">
      <w:pPr>
        <w:divId w:val="163709727"/>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911620694"/>
        <w:rPr>
          <w:rFonts w:eastAsia="Times New Roman"/>
        </w:rPr>
      </w:pPr>
      <w:r>
        <w:rPr>
          <w:rFonts w:eastAsia="Times New Roman"/>
          <w:b/>
          <w:bCs/>
          <w:color w:val="000000"/>
          <w:sz w:val="20"/>
          <w:szCs w:val="20"/>
        </w:rPr>
        <w:t>UGI CORPORATION AND SUBSIDIARIES</w:t>
      </w:r>
    </w:p>
    <w:p w:rsidR="00000000" w:rsidRDefault="00844BCF">
      <w:pPr>
        <w:jc w:val="both"/>
        <w:rPr>
          <w:rFonts w:eastAsia="Times New Roman"/>
        </w:rPr>
      </w:pPr>
      <w:r>
        <w:rPr>
          <w:rFonts w:eastAsia="Times New Roman"/>
          <w:color w:val="000000"/>
          <w:sz w:val="20"/>
          <w:szCs w:val="20"/>
        </w:rPr>
        <w:t>(3)</w:t>
      </w:r>
      <w:r>
        <w:rPr>
          <w:rFonts w:eastAsia="Times New Roman"/>
          <w:color w:val="000000"/>
          <w:sz w:val="20"/>
          <w:szCs w:val="20"/>
        </w:rPr>
        <w:t xml:space="preserve"> Change in fair value represents a 10% adverse change in the value of the Euro and the British pound sterling versus the U.S. dollar. </w:t>
      </w:r>
    </w:p>
    <w:p w:rsidR="00000000" w:rsidRDefault="00844BCF">
      <w:pPr>
        <w:jc w:val="both"/>
        <w:rPr>
          <w:rFonts w:eastAsia="Times New Roman"/>
        </w:rPr>
      </w:pPr>
    </w:p>
    <w:p w:rsidR="00000000" w:rsidRDefault="00844BCF">
      <w:pPr>
        <w:divId w:val="356546276"/>
        <w:rPr>
          <w:rFonts w:eastAsia="Times New Roman"/>
        </w:rPr>
      </w:pPr>
      <w:r>
        <w:rPr>
          <w:rFonts w:eastAsia="Times New Roman"/>
          <w:b/>
          <w:bCs/>
          <w:color w:val="000000"/>
          <w:sz w:val="20"/>
          <w:szCs w:val="20"/>
        </w:rPr>
        <w:t>ITEM 4. CONTROLS AND PROCEDURES</w:t>
      </w:r>
    </w:p>
    <w:p w:rsidR="00000000" w:rsidRDefault="00844BCF">
      <w:pPr>
        <w:divId w:val="987129486"/>
        <w:rPr>
          <w:rFonts w:eastAsia="Times New Roman"/>
        </w:rPr>
      </w:pPr>
    </w:p>
    <w:p w:rsidR="00000000" w:rsidRDefault="00844BCF">
      <w:pPr>
        <w:ind w:hanging="540"/>
        <w:divId w:val="240992812"/>
        <w:rPr>
          <w:rFonts w:eastAsia="Times New Roman"/>
        </w:rPr>
      </w:pPr>
      <w:r>
        <w:rPr>
          <w:rFonts w:eastAsia="Times New Roman"/>
          <w:color w:val="000000"/>
          <w:sz w:val="20"/>
          <w:szCs w:val="20"/>
        </w:rPr>
        <w:t>(a)Evaluation of Disclosure Controls and Procedures</w:t>
      </w:r>
    </w:p>
    <w:p w:rsidR="00000000" w:rsidRDefault="00844BCF">
      <w:pPr>
        <w:jc w:val="both"/>
        <w:divId w:val="1021778007"/>
        <w:rPr>
          <w:rFonts w:eastAsia="Times New Roman"/>
        </w:rPr>
      </w:pPr>
      <w:r>
        <w:rPr>
          <w:rFonts w:eastAsia="Times New Roman"/>
          <w:color w:val="000000"/>
          <w:sz w:val="20"/>
          <w:szCs w:val="20"/>
        </w:rPr>
        <w:t>The Company's disclosure controls</w:t>
      </w:r>
      <w:r>
        <w:rPr>
          <w:rFonts w:eastAsia="Times New Roman"/>
          <w:color w:val="000000"/>
          <w:sz w:val="20"/>
          <w:szCs w:val="20"/>
        </w:rPr>
        <w:t xml:space="preserve"> and procedures are designed to provide reasonable assurance that the information required to be disclosed by the Company in reports filed or submitted under the Securities Exchange Act of 1934, as amended, is (i) recorded, processed, summarized, and repor</w:t>
      </w:r>
      <w:r>
        <w:rPr>
          <w:rFonts w:eastAsia="Times New Roman"/>
          <w:color w:val="000000"/>
          <w:sz w:val="20"/>
          <w:szCs w:val="20"/>
        </w:rPr>
        <w:t>ted within the time periods specified in the SEC’s rules and forms, and (ii) accumulated and communicated to our management, including the Chief Executive Officer and Chief Financial Officer, as appropriate to allow timely decisions regarding required disc</w:t>
      </w:r>
      <w:r>
        <w:rPr>
          <w:rFonts w:eastAsia="Times New Roman"/>
          <w:color w:val="000000"/>
          <w:sz w:val="20"/>
          <w:szCs w:val="20"/>
        </w:rPr>
        <w:t>losure. The Company's management, with the participation of the Company’s Chief Executive Officer and Chief Financial Officer, evaluated the effectiveness of the Company's disclosure controls and procedures as of the end of the period covered by this repor</w:t>
      </w:r>
      <w:r>
        <w:rPr>
          <w:rFonts w:eastAsia="Times New Roman"/>
          <w:color w:val="000000"/>
          <w:sz w:val="20"/>
          <w:szCs w:val="20"/>
        </w:rPr>
        <w:t>t. Based on that evaluation, the Chief Executive Officer and Chief Financial Officer concluded that the Company's disclosure controls and procedures, as of the end of the period covered by this Report, were effective at the reasonable assurance level.</w:t>
      </w:r>
    </w:p>
    <w:p w:rsidR="00000000" w:rsidRDefault="00844BCF">
      <w:pPr>
        <w:jc w:val="both"/>
        <w:divId w:val="1312098986"/>
        <w:rPr>
          <w:rFonts w:eastAsia="Times New Roman"/>
        </w:rPr>
      </w:pPr>
    </w:p>
    <w:p w:rsidR="00000000" w:rsidRDefault="00844BCF">
      <w:pPr>
        <w:ind w:hanging="540"/>
        <w:divId w:val="841505320"/>
        <w:rPr>
          <w:rFonts w:eastAsia="Times New Roman"/>
        </w:rPr>
      </w:pPr>
      <w:r>
        <w:rPr>
          <w:rFonts w:eastAsia="Times New Roman"/>
          <w:color w:val="000000"/>
          <w:sz w:val="20"/>
          <w:szCs w:val="20"/>
        </w:rPr>
        <w:t>(b</w:t>
      </w:r>
      <w:r>
        <w:rPr>
          <w:rFonts w:eastAsia="Times New Roman"/>
          <w:color w:val="000000"/>
          <w:sz w:val="20"/>
          <w:szCs w:val="20"/>
        </w:rPr>
        <w:t>)Change in Internal Control over Financial Reporting</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shd w:val="clear" w:color="auto" w:fill="FFFFFF"/>
        </w:rPr>
        <w:t>On September 1, 2021, UGI acquired Mountaineer and on June 30, 2021, UGI International acquired Redeo Energies. The Company is currently in the process of integrating the processes and internal control</w:t>
      </w:r>
      <w:r>
        <w:rPr>
          <w:rFonts w:eastAsia="Times New Roman"/>
          <w:color w:val="000000"/>
          <w:sz w:val="20"/>
          <w:szCs w:val="20"/>
          <w:shd w:val="clear" w:color="auto" w:fill="FFFFFF"/>
        </w:rPr>
        <w:t>s of Mountaineer and Redeo Energies with the rest of the Company.</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Other than the foregoing, no change in the Company’s internal control over financial reporting occurred during the Company’s most recent fiscal quarter that has materially affected, or is </w:t>
      </w:r>
      <w:r>
        <w:rPr>
          <w:rFonts w:eastAsia="Times New Roman"/>
          <w:color w:val="000000"/>
          <w:sz w:val="20"/>
          <w:szCs w:val="20"/>
        </w:rPr>
        <w:t>reasonably likely to materially affect, the Company’s internal control over financial reporting.</w:t>
      </w:r>
    </w:p>
    <w:p w:rsidR="00000000" w:rsidRDefault="00844BCF">
      <w:pPr>
        <w:jc w:val="both"/>
        <w:divId w:val="1675110871"/>
        <w:rPr>
          <w:rFonts w:eastAsia="Times New Roman"/>
        </w:rPr>
      </w:pPr>
    </w:p>
    <w:p w:rsidR="00000000" w:rsidRDefault="00844BCF">
      <w:pPr>
        <w:divId w:val="943458309"/>
        <w:rPr>
          <w:rFonts w:eastAsia="Times New Roman"/>
        </w:rPr>
      </w:pPr>
      <w:r>
        <w:rPr>
          <w:rFonts w:eastAsia="Times New Roman"/>
          <w:color w:val="000000"/>
          <w:sz w:val="16"/>
          <w:szCs w:val="16"/>
        </w:rPr>
        <w:t> </w:t>
      </w:r>
    </w:p>
    <w:p w:rsidR="00000000" w:rsidRDefault="00844BCF">
      <w:pPr>
        <w:jc w:val="center"/>
        <w:divId w:val="1073818892"/>
        <w:rPr>
          <w:rFonts w:eastAsia="Times New Roman"/>
        </w:rPr>
      </w:pPr>
      <w:r>
        <w:rPr>
          <w:rFonts w:eastAsia="Times New Roman"/>
          <w:color w:val="000000"/>
          <w:sz w:val="20"/>
          <w:szCs w:val="20"/>
        </w:rPr>
        <w:t>53</w:t>
      </w:r>
    </w:p>
    <w:p w:rsidR="00000000" w:rsidRDefault="00844BCF">
      <w:pPr>
        <w:rPr>
          <w:rFonts w:eastAsia="Times New Roman"/>
        </w:rPr>
      </w:pPr>
      <w:r>
        <w:rPr>
          <w:rFonts w:eastAsia="Times New Roman"/>
        </w:rPr>
        <w:pict>
          <v:rect id="_x0000_i1079" style="width:0;height:1.5pt" o:hralign="center" o:hrstd="t" o:hr="t" fillcolor="#a0a0a0" stroked="f"/>
        </w:pict>
      </w:r>
    </w:p>
    <w:p w:rsidR="00000000" w:rsidRDefault="00844BCF">
      <w:pPr>
        <w:divId w:val="532808861"/>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2110199091"/>
        <w:rPr>
          <w:rFonts w:eastAsia="Times New Roman"/>
        </w:rPr>
      </w:pPr>
      <w:r>
        <w:rPr>
          <w:rFonts w:eastAsia="Times New Roman"/>
          <w:b/>
          <w:bCs/>
          <w:color w:val="000000"/>
          <w:sz w:val="20"/>
          <w:szCs w:val="20"/>
        </w:rPr>
        <w:t>UGI CORPORATION AND SUBSIDIARIES</w:t>
      </w:r>
    </w:p>
    <w:p w:rsidR="00000000" w:rsidRDefault="00844BCF">
      <w:pPr>
        <w:jc w:val="center"/>
        <w:rPr>
          <w:rFonts w:eastAsia="Times New Roman"/>
        </w:rPr>
      </w:pPr>
      <w:r>
        <w:rPr>
          <w:rFonts w:eastAsia="Times New Roman"/>
          <w:b/>
          <w:bCs/>
          <w:color w:val="000000"/>
          <w:sz w:val="20"/>
          <w:szCs w:val="20"/>
        </w:rPr>
        <w:t>PART II OTHER INFORMATION</w:t>
      </w:r>
    </w:p>
    <w:p w:rsidR="00000000" w:rsidRDefault="00844BCF">
      <w:pPr>
        <w:jc w:val="center"/>
        <w:rPr>
          <w:rFonts w:eastAsia="Times New Roman"/>
        </w:rPr>
      </w:pPr>
    </w:p>
    <w:p w:rsidR="00000000" w:rsidRDefault="00844BCF">
      <w:pPr>
        <w:divId w:val="1156216763"/>
        <w:rPr>
          <w:rFonts w:eastAsia="Times New Roman"/>
        </w:rPr>
      </w:pPr>
      <w:r>
        <w:rPr>
          <w:rFonts w:eastAsia="Times New Roman"/>
          <w:b/>
          <w:bCs/>
          <w:color w:val="000000"/>
          <w:sz w:val="20"/>
          <w:szCs w:val="20"/>
        </w:rPr>
        <w:t>ITEM 1A. RISK FACTORS</w:t>
      </w:r>
    </w:p>
    <w:p w:rsidR="00000000" w:rsidRDefault="00844BCF">
      <w:pPr>
        <w:jc w:val="both"/>
        <w:rPr>
          <w:rFonts w:eastAsia="Times New Roman"/>
        </w:rPr>
      </w:pPr>
      <w:r>
        <w:rPr>
          <w:rFonts w:eastAsia="Times New Roman"/>
          <w:color w:val="000000"/>
          <w:sz w:val="20"/>
          <w:szCs w:val="20"/>
        </w:rPr>
        <w:t xml:space="preserve">In addition to the information presented in this report, you </w:t>
      </w:r>
      <w:r>
        <w:rPr>
          <w:rFonts w:eastAsia="Times New Roman"/>
          <w:color w:val="000000"/>
          <w:sz w:val="20"/>
          <w:szCs w:val="20"/>
        </w:rPr>
        <w:t>should carefully consider the factors discussed in Part I, “Item 1A. Risk Factors” in our 2021 Annual Report, which could materially affect our business, financial condition or future results. The risks described below and in our 2021 Annual Report are not</w:t>
      </w:r>
      <w:r>
        <w:rPr>
          <w:rFonts w:eastAsia="Times New Roman"/>
          <w:color w:val="000000"/>
          <w:sz w:val="20"/>
          <w:szCs w:val="20"/>
        </w:rPr>
        <w:t xml:space="preserve"> the only risks facing the Company. Other unknown or unpredictable factors could also have material adverse effects on future results.</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The risk of natural disasters, pandemics and catastrophic events, including terrorism and military conflict, may adversely affect the economy and the price, volatility and availability of LPG, other refined fuels and natural gas.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Natural disasters, pande</w:t>
      </w:r>
      <w:r>
        <w:rPr>
          <w:rFonts w:eastAsia="Times New Roman"/>
          <w:color w:val="000000"/>
          <w:sz w:val="20"/>
          <w:szCs w:val="20"/>
        </w:rPr>
        <w:t>mics and catastrophic events, such as fires, earthquakes, explosions, floods, tornadoes, hurricanes, terrorist attacks, military conflict, political unrest and other similar occurrences, may adversely impact the demand for, price and availability of LPG (i</w:t>
      </w:r>
      <w:r>
        <w:rPr>
          <w:rFonts w:eastAsia="Times New Roman"/>
          <w:color w:val="000000"/>
          <w:sz w:val="20"/>
          <w:szCs w:val="20"/>
        </w:rPr>
        <w:t>ncluding propane), other refined fuels and natural gas, which could adversely impact our financial condition and results of operations, our ability to raise capital and our future growth. The impact that the foregoing may have on our industries in general,</w:t>
      </w:r>
      <w:r>
        <w:rPr>
          <w:rFonts w:eastAsia="Times New Roman"/>
          <w:color w:val="000000"/>
          <w:sz w:val="20"/>
          <w:szCs w:val="20"/>
        </w:rPr>
        <w:t xml:space="preserve"> and on us in particular, is not known at this time. A natural disaster, pandemic, act of terror, or military conflict could result in disruptions of crude oil or natural gas supplies and markets (the sources of LPG), cause price volatility in the cost of </w:t>
      </w:r>
      <w:r>
        <w:rPr>
          <w:rFonts w:eastAsia="Times New Roman"/>
          <w:color w:val="000000"/>
          <w:sz w:val="20"/>
          <w:szCs w:val="20"/>
        </w:rPr>
        <w:t>LPG, fuel oil and natural gas, and our infrastructure facilities could be directly or indirectly impacted. Additionally, if our means of supply transportation, such as rail, truck or pipeline, are delayed or temporarily unavailable due to a natural disaste</w:t>
      </w:r>
      <w:r>
        <w:rPr>
          <w:rFonts w:eastAsia="Times New Roman"/>
          <w:color w:val="000000"/>
          <w:sz w:val="20"/>
          <w:szCs w:val="20"/>
        </w:rPr>
        <w:t xml:space="preserve">r, pandemic, terrorist activity, or military conflict, we may be unable to transport LPG and other refined fuels in a timely manner or at all. A lower level of economic activity could result in a decline in energy consumption, which could adversely affect </w:t>
      </w:r>
      <w:r>
        <w:rPr>
          <w:rFonts w:eastAsia="Times New Roman"/>
          <w:color w:val="000000"/>
          <w:sz w:val="20"/>
          <w:szCs w:val="20"/>
        </w:rPr>
        <w:t>our revenues or restrict our future growth. Instability in the financial markets as a result of a natural disaster, pandemic, terrorism, or military conflict could also affect our ability to raise capital. We have opted to purchase insurance coverage for n</w:t>
      </w:r>
      <w:r>
        <w:rPr>
          <w:rFonts w:eastAsia="Times New Roman"/>
          <w:color w:val="000000"/>
          <w:sz w:val="20"/>
          <w:szCs w:val="20"/>
        </w:rPr>
        <w:t>atural disasters and terrorist acts within our property and casualty insurance programs, but we can give no assurance that our insurance coverage would be adequate to fully compensate us for any losses to our business or property resulting from natural dis</w:t>
      </w:r>
      <w:r>
        <w:rPr>
          <w:rFonts w:eastAsia="Times New Roman"/>
          <w:color w:val="000000"/>
          <w:sz w:val="20"/>
          <w:szCs w:val="20"/>
        </w:rPr>
        <w:t xml:space="preserve">asters or terrorist acts. </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In February 2022, military conflict escalated between Russia and Ukraine which could adversely impact price, volatility and availability of energy products in parts of our European market, customer and supplier relationships, a</w:t>
      </w:r>
      <w:r>
        <w:rPr>
          <w:rFonts w:eastAsia="Times New Roman"/>
          <w:color w:val="000000"/>
          <w:sz w:val="20"/>
          <w:szCs w:val="20"/>
        </w:rPr>
        <w:t>nd result in supply chain issues, heightened economic sanctions, embargoes and regional instability. It is not possible to estimate the impact on our business of a continued military conflict in Ukraine.</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Our international operations could be subject to i</w:t>
      </w:r>
      <w:r>
        <w:rPr>
          <w:rFonts w:eastAsia="Times New Roman"/>
          <w:b/>
          <w:bCs/>
          <w:i/>
          <w:iCs/>
          <w:color w:val="000000"/>
          <w:sz w:val="20"/>
          <w:szCs w:val="20"/>
        </w:rPr>
        <w:t>ncreased risks, which may</w:t>
      </w:r>
      <w:r>
        <w:rPr>
          <w:rFonts w:eastAsia="Times New Roman"/>
          <w:color w:val="000000"/>
          <w:sz w:val="20"/>
          <w:szCs w:val="20"/>
        </w:rPr>
        <w:t xml:space="preserve"> </w:t>
      </w:r>
      <w:r>
        <w:rPr>
          <w:rFonts w:eastAsia="Times New Roman"/>
          <w:b/>
          <w:bCs/>
          <w:i/>
          <w:iCs/>
          <w:color w:val="000000"/>
          <w:sz w:val="20"/>
          <w:szCs w:val="20"/>
        </w:rPr>
        <w:t>negatively affect our business results.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We operate LPG distribution and energy marketing businesses in Europe through our subsidiaries and we continue to explore the expansion of our international businesses. As a result, we fac</w:t>
      </w:r>
      <w:r>
        <w:rPr>
          <w:rFonts w:eastAsia="Times New Roman"/>
          <w:color w:val="000000"/>
          <w:sz w:val="20"/>
          <w:szCs w:val="20"/>
        </w:rPr>
        <w:t>e risks in conducting business abroad that we do not face domestically. Certain aspects inherent in transacting business internationally could negatively impact our operating results, including:</w:t>
      </w:r>
    </w:p>
    <w:p w:rsidR="00000000" w:rsidRDefault="00844BCF">
      <w:pPr>
        <w:jc w:val="both"/>
        <w:rPr>
          <w:rFonts w:eastAsia="Times New Roman"/>
        </w:rPr>
      </w:pP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costs and difficulties in staffing and managing internatio</w:t>
      </w:r>
      <w:r>
        <w:rPr>
          <w:rFonts w:eastAsia="Times New Roman"/>
          <w:color w:val="000000"/>
          <w:sz w:val="20"/>
          <w:szCs w:val="20"/>
        </w:rPr>
        <w:t>nal operations;</w:t>
      </w: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potentially adverse tax consequences, including restrictions on repatriating earnings, the threat of “double taxation,” and potential increases to corporate income taxes (including the proposed OECD framework that aims to reform internatio</w:t>
      </w:r>
      <w:r>
        <w:rPr>
          <w:rFonts w:eastAsia="Times New Roman"/>
          <w:color w:val="000000"/>
          <w:sz w:val="20"/>
          <w:szCs w:val="20"/>
        </w:rPr>
        <w:t xml:space="preserve">nal taxation rules with the goal of ensuring that multinational corporations pay adequate taxes in the jurisdictions in which they operate and other similar proposals); </w:t>
      </w: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fluctuations in currency exchange rates, particularly the euro, which can affect dema</w:t>
      </w:r>
      <w:r>
        <w:rPr>
          <w:rFonts w:eastAsia="Times New Roman"/>
          <w:color w:val="000000"/>
          <w:sz w:val="20"/>
          <w:szCs w:val="20"/>
        </w:rPr>
        <w:t xml:space="preserve">nd for our products, increase our costs and adversely affect our profitability and reported results; </w:t>
      </w: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new or revised regulatory requirements, including European competition laws that may adversely affect the terms of contracts with customers, including wi</w:t>
      </w:r>
      <w:r>
        <w:rPr>
          <w:rFonts w:eastAsia="Times New Roman"/>
          <w:color w:val="000000"/>
          <w:sz w:val="20"/>
          <w:szCs w:val="20"/>
        </w:rPr>
        <w:t>th respect to exclusive supply rights, and stricter regulations applicable to the storage and handling of LPG;</w:t>
      </w: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economic and political uncertainty relating to the United Kingdom’s withdrawal from the EU, commonly known as “Brexit,” which may result in, amo</w:t>
      </w:r>
      <w:r>
        <w:rPr>
          <w:rFonts w:eastAsia="Times New Roman"/>
          <w:color w:val="000000"/>
          <w:sz w:val="20"/>
          <w:szCs w:val="20"/>
        </w:rPr>
        <w:t>ng other things, increased regulatory costs and challenges, greater volatility in the British pound sterling and euro, business disruptions and increased tariffs;</w:t>
      </w: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new and inconsistently enforced industry regulatory requirements, which can have an adverse </w:t>
      </w:r>
      <w:r>
        <w:rPr>
          <w:rFonts w:eastAsia="Times New Roman"/>
          <w:color w:val="000000"/>
          <w:sz w:val="20"/>
          <w:szCs w:val="20"/>
        </w:rPr>
        <w:t>effect on our competitive position;</w:t>
      </w: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tariffs and other trade barriers;</w:t>
      </w: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difficulties in enforcing contractual rights;</w:t>
      </w: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longer payment cycles; </w:t>
      </w: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local political and economic conditions as well as geopolitical conditions that could cause instability and adversely impact the global economy or specific markets, such as the military conflict between Russia and Ukraine; and</w:t>
      </w:r>
    </w:p>
    <w:p w:rsidR="00000000" w:rsidRDefault="00844BCF">
      <w:pPr>
        <w:jc w:val="center"/>
        <w:divId w:val="1734084321"/>
        <w:rPr>
          <w:rFonts w:eastAsia="Times New Roman"/>
        </w:rPr>
      </w:pPr>
      <w:r>
        <w:rPr>
          <w:rFonts w:eastAsia="Times New Roman"/>
          <w:color w:val="000000"/>
          <w:sz w:val="20"/>
          <w:szCs w:val="20"/>
        </w:rPr>
        <w:t>54</w:t>
      </w:r>
    </w:p>
    <w:p w:rsidR="00000000" w:rsidRDefault="00844BCF">
      <w:pPr>
        <w:rPr>
          <w:rFonts w:eastAsia="Times New Roman"/>
        </w:rPr>
      </w:pPr>
      <w:r>
        <w:rPr>
          <w:rFonts w:eastAsia="Times New Roman"/>
        </w:rPr>
        <w:pict>
          <v:rect id="_x0000_i1080" style="width:0;height:1.5pt" o:hralign="center" o:hrstd="t" o:hr="t" fillcolor="#a0a0a0" stroked="f"/>
        </w:pict>
      </w:r>
    </w:p>
    <w:p w:rsidR="00000000" w:rsidRDefault="00844BCF">
      <w:pPr>
        <w:divId w:val="1739940240"/>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73624071"/>
        <w:rPr>
          <w:rFonts w:eastAsia="Times New Roman"/>
        </w:rPr>
      </w:pPr>
      <w:r>
        <w:rPr>
          <w:rFonts w:eastAsia="Times New Roman"/>
          <w:b/>
          <w:bCs/>
          <w:color w:val="000000"/>
          <w:sz w:val="20"/>
          <w:szCs w:val="20"/>
        </w:rPr>
        <w:t>UGI CORPORATION AND SUBSIDIARIES</w:t>
      </w:r>
    </w:p>
    <w:p w:rsidR="00000000" w:rsidRDefault="00844BCF">
      <w:pPr>
        <w:ind w:hanging="360"/>
        <w:jc w:val="both"/>
        <w:rPr>
          <w:rFonts w:eastAsia="Times New Roman"/>
        </w:rPr>
      </w:pPr>
      <w:r>
        <w:rPr>
          <w:rFonts w:ascii="Arial" w:eastAsia="Times New Roman" w:hAnsi="Arial" w:cs="Arial"/>
          <w:color w:val="000000"/>
          <w:sz w:val="20"/>
          <w:szCs w:val="20"/>
        </w:rPr>
        <w:t>•</w:t>
      </w:r>
      <w:r>
        <w:rPr>
          <w:rFonts w:eastAsia="Times New Roman"/>
          <w:color w:val="000000"/>
          <w:sz w:val="20"/>
          <w:szCs w:val="20"/>
        </w:rPr>
        <w:t>potential violations of federal regulatory requirements, including anti-bribery, anti-corruption, and anti-money laundering law, economi</w:t>
      </w:r>
      <w:r>
        <w:rPr>
          <w:rFonts w:eastAsia="Times New Roman"/>
          <w:color w:val="000000"/>
          <w:sz w:val="20"/>
          <w:szCs w:val="20"/>
        </w:rPr>
        <w:t>c sanctions, the Foreign Corrupt Practices Act of 1977, as amended, and EU regulatory requirements, including the GDPR and Sapin II.</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In particular, certain legal and regulatory risks are associated with international business operations. We are subject to various anti-corruption, economic sanctions and trade compliance laws, rules and regulations. For example, the U.S. government impose</w:t>
      </w:r>
      <w:r>
        <w:rPr>
          <w:rFonts w:eastAsia="Times New Roman"/>
          <w:color w:val="000000"/>
          <w:sz w:val="20"/>
          <w:szCs w:val="20"/>
        </w:rPr>
        <w:t>s restrictions and prohibitions on transactions in certain foreign countries, including restrictions directed at oil and gas activities in Russia. U.S. laws also prohibit the improper offer, payment, promise to pay, or authorization of the payment of money</w:t>
      </w:r>
      <w:r>
        <w:rPr>
          <w:rFonts w:eastAsia="Times New Roman"/>
          <w:color w:val="000000"/>
          <w:sz w:val="20"/>
          <w:szCs w:val="20"/>
        </w:rPr>
        <w:t xml:space="preserve"> or anything of value to any foreign official or political party, or to any person, knowing that all or a portion of it will be used to influence a foreign official in his or her official duties or to secure an improper advantage. Ensuring compliance with </w:t>
      </w:r>
      <w:r>
        <w:rPr>
          <w:rFonts w:eastAsia="Times New Roman"/>
          <w:color w:val="000000"/>
          <w:sz w:val="20"/>
          <w:szCs w:val="20"/>
        </w:rPr>
        <w:t>all relevant laws, rules and regulations is a complex task. Violation of one or more of these laws, rules or regulations could lead to loss of import or export privileges, civil or criminal penalties for us or our employees, or potential reputational harm,</w:t>
      </w:r>
      <w:r>
        <w:rPr>
          <w:rFonts w:eastAsia="Times New Roman"/>
          <w:color w:val="000000"/>
          <w:sz w:val="20"/>
          <w:szCs w:val="20"/>
        </w:rPr>
        <w:t xml:space="preserve"> which could have a material adverse impact on earnings, cash flows and financial condition.</w:t>
      </w:r>
    </w:p>
    <w:p w:rsidR="00000000" w:rsidRDefault="00844BCF">
      <w:pPr>
        <w:jc w:val="both"/>
        <w:rPr>
          <w:rFonts w:eastAsia="Times New Roman"/>
        </w:rPr>
      </w:pPr>
    </w:p>
    <w:p w:rsidR="00000000" w:rsidRDefault="00844BCF">
      <w:pPr>
        <w:jc w:val="both"/>
        <w:rPr>
          <w:rFonts w:eastAsia="Times New Roman"/>
        </w:rPr>
      </w:pPr>
      <w:r>
        <w:rPr>
          <w:rFonts w:eastAsia="Times New Roman"/>
          <w:b/>
          <w:bCs/>
          <w:i/>
          <w:iCs/>
          <w:color w:val="000000"/>
          <w:sz w:val="20"/>
          <w:szCs w:val="20"/>
        </w:rPr>
        <w:t>Changes in and volatility of commodity market prices may have a significant negative effect on our</w:t>
      </w:r>
      <w:r>
        <w:rPr>
          <w:rFonts w:eastAsia="Times New Roman"/>
          <w:color w:val="000000"/>
          <w:sz w:val="20"/>
          <w:szCs w:val="20"/>
        </w:rPr>
        <w:t xml:space="preserve"> </w:t>
      </w:r>
      <w:r>
        <w:rPr>
          <w:rFonts w:eastAsia="Times New Roman"/>
          <w:b/>
          <w:bCs/>
          <w:i/>
          <w:iCs/>
          <w:color w:val="000000"/>
          <w:sz w:val="20"/>
          <w:szCs w:val="20"/>
        </w:rPr>
        <w:t>liquidity and our operating results.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 xml:space="preserve">Depending on the terms </w:t>
      </w:r>
      <w:r>
        <w:rPr>
          <w:rFonts w:eastAsia="Times New Roman"/>
          <w:color w:val="000000"/>
          <w:sz w:val="20"/>
          <w:szCs w:val="20"/>
        </w:rPr>
        <w:t xml:space="preserve">of our contracts with suppliers as well as our use of financial instruments to reduce volatility in the cost of LPG and natural gas, changes in the market price of LPG and natural gas can create margin payment obligations for us and expose us to increased </w:t>
      </w:r>
      <w:r>
        <w:rPr>
          <w:rFonts w:eastAsia="Times New Roman"/>
          <w:color w:val="000000"/>
          <w:sz w:val="20"/>
          <w:szCs w:val="20"/>
        </w:rPr>
        <w:t>liquidity risk. In addition, increased demand for domestically produced LPG and natural gas overseas may, depending on production volumes in the U.S., result in higher domestic prices and expose us to additional liquidity risks.</w:t>
      </w:r>
    </w:p>
    <w:p w:rsidR="00000000" w:rsidRDefault="00844BCF">
      <w:pPr>
        <w:jc w:val="both"/>
        <w:rPr>
          <w:rFonts w:eastAsia="Times New Roman"/>
        </w:rPr>
      </w:pPr>
    </w:p>
    <w:p w:rsidR="00000000" w:rsidRDefault="00844BCF">
      <w:pPr>
        <w:jc w:val="both"/>
        <w:rPr>
          <w:rFonts w:eastAsia="Times New Roman"/>
        </w:rPr>
      </w:pPr>
      <w:r>
        <w:rPr>
          <w:rFonts w:eastAsia="Times New Roman"/>
          <w:color w:val="000000"/>
          <w:sz w:val="20"/>
          <w:szCs w:val="20"/>
        </w:rPr>
        <w:t>It is difficult to predic</w:t>
      </w:r>
      <w:r>
        <w:rPr>
          <w:rFonts w:eastAsia="Times New Roman"/>
          <w:color w:val="000000"/>
          <w:sz w:val="20"/>
          <w:szCs w:val="20"/>
        </w:rPr>
        <w:t>t future commodity costs and our hedging program includes inherent assumptions about consumption and pricing. As a result, there is risk that actual consumption and pricing may be different than contemplated by the program and, further, that sharp increase</w:t>
      </w:r>
      <w:r>
        <w:rPr>
          <w:rFonts w:eastAsia="Times New Roman"/>
          <w:color w:val="000000"/>
          <w:sz w:val="20"/>
          <w:szCs w:val="20"/>
        </w:rPr>
        <w:t>s in commodity prices, particularly when coupled with rapid or unexpected increases in customer consumption, may result in a risk of significant unforeseen costs in performing fixed price and full requirement contracts. While we employ an active and robust</w:t>
      </w:r>
      <w:r>
        <w:rPr>
          <w:rFonts w:eastAsia="Times New Roman"/>
          <w:color w:val="000000"/>
          <w:sz w:val="20"/>
          <w:szCs w:val="20"/>
        </w:rPr>
        <w:t xml:space="preserve"> hedging program, any shortfalls resulting from the risks associated with fixed price and full requirement programs will reduce our overall profitability. During Fiscal 2022, our UGI International energy marketing margins were negatively impacted by signif</w:t>
      </w:r>
      <w:r>
        <w:rPr>
          <w:rFonts w:eastAsia="Times New Roman"/>
          <w:color w:val="000000"/>
          <w:sz w:val="20"/>
          <w:szCs w:val="20"/>
        </w:rPr>
        <w:t>icant increases and unprecedented volatility in natural gas commodity prices exacerbated by higher-than-anticipated volumes purchased by certain customers under fixed price and full requirement contracts.</w:t>
      </w:r>
    </w:p>
    <w:p w:rsidR="00000000" w:rsidRDefault="00844BCF">
      <w:pPr>
        <w:jc w:val="center"/>
        <w:divId w:val="1029989047"/>
        <w:rPr>
          <w:rFonts w:eastAsia="Times New Roman"/>
        </w:rPr>
      </w:pPr>
      <w:r>
        <w:rPr>
          <w:rFonts w:eastAsia="Times New Roman"/>
          <w:color w:val="000000"/>
          <w:sz w:val="20"/>
          <w:szCs w:val="20"/>
        </w:rPr>
        <w:t>55</w:t>
      </w:r>
    </w:p>
    <w:p w:rsidR="00000000" w:rsidRDefault="00844BCF">
      <w:pPr>
        <w:rPr>
          <w:rFonts w:eastAsia="Times New Roman"/>
        </w:rPr>
      </w:pPr>
      <w:r>
        <w:rPr>
          <w:rFonts w:eastAsia="Times New Roman"/>
        </w:rPr>
        <w:pict>
          <v:rect id="_x0000_i1081" style="width:0;height:1.5pt" o:hralign="center" o:hrstd="t" o:hr="t" fillcolor="#a0a0a0" stroked="f"/>
        </w:pict>
      </w:r>
    </w:p>
    <w:p w:rsidR="00000000" w:rsidRDefault="00844BCF">
      <w:pPr>
        <w:divId w:val="1915043207"/>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235363556"/>
        <w:rPr>
          <w:rFonts w:eastAsia="Times New Roman"/>
        </w:rPr>
      </w:pPr>
      <w:r>
        <w:rPr>
          <w:rFonts w:eastAsia="Times New Roman"/>
          <w:b/>
          <w:bCs/>
          <w:color w:val="000000"/>
          <w:sz w:val="20"/>
          <w:szCs w:val="20"/>
        </w:rPr>
        <w:t>UGI CORPORATION AND SUBSIDIARIES</w:t>
      </w:r>
    </w:p>
    <w:p w:rsidR="00000000" w:rsidRDefault="00844BCF">
      <w:pPr>
        <w:divId w:val="1303121126"/>
        <w:rPr>
          <w:rFonts w:eastAsia="Times New Roman"/>
        </w:rPr>
      </w:pPr>
      <w:r>
        <w:rPr>
          <w:rFonts w:eastAsia="Times New Roman"/>
          <w:b/>
          <w:bCs/>
          <w:color w:val="000000"/>
          <w:sz w:val="20"/>
          <w:szCs w:val="20"/>
        </w:rPr>
        <w:t>ITEM 6. EXHIBITS</w:t>
      </w:r>
    </w:p>
    <w:p w:rsidR="00000000" w:rsidRDefault="00844BCF">
      <w:pPr>
        <w:jc w:val="both"/>
        <w:divId w:val="1624116663"/>
        <w:rPr>
          <w:rFonts w:eastAsia="Times New Roman"/>
        </w:rPr>
      </w:pPr>
      <w:r>
        <w:rPr>
          <w:rFonts w:eastAsia="Times New Roman"/>
          <w:color w:val="000000"/>
          <w:sz w:val="20"/>
          <w:szCs w:val="20"/>
        </w:rPr>
        <w:t>The exhibits filed as part of this report are as follows (exhibits incorporated by reference are set forth with the name of the registrant, th</w:t>
      </w:r>
      <w:r>
        <w:rPr>
          <w:rFonts w:eastAsia="Times New Roman"/>
          <w:color w:val="000000"/>
          <w:sz w:val="20"/>
          <w:szCs w:val="20"/>
        </w:rPr>
        <w:t>e type of report and last date of the period for which it was filed, and the exhibit number in such filing):</w:t>
      </w:r>
    </w:p>
    <w:p w:rsidR="00000000" w:rsidRDefault="00844BCF">
      <w:pPr>
        <w:jc w:val="center"/>
        <w:divId w:val="904100809"/>
        <w:rPr>
          <w:rFonts w:eastAsia="Times New Roman"/>
        </w:rPr>
      </w:pPr>
      <w:r>
        <w:rPr>
          <w:rFonts w:eastAsia="Times New Roman"/>
          <w:b/>
          <w:bCs/>
          <w:color w:val="000000"/>
          <w:sz w:val="20"/>
          <w:szCs w:val="20"/>
        </w:rPr>
        <w:t>Incorporation by Reference</w:t>
      </w:r>
    </w:p>
    <w:tbl>
      <w:tblPr>
        <w:tblW w:w="4978" w:type="pct"/>
        <w:tblCellMar>
          <w:top w:w="15" w:type="dxa"/>
          <w:left w:w="15" w:type="dxa"/>
          <w:bottom w:w="15" w:type="dxa"/>
          <w:right w:w="15" w:type="dxa"/>
        </w:tblCellMar>
        <w:tblLook w:val="04A0" w:firstRow="1" w:lastRow="0" w:firstColumn="1" w:lastColumn="0" w:noHBand="0" w:noVBand="1"/>
      </w:tblPr>
      <w:tblGrid>
        <w:gridCol w:w="89"/>
        <w:gridCol w:w="683"/>
        <w:gridCol w:w="36"/>
        <w:gridCol w:w="36"/>
        <w:gridCol w:w="36"/>
        <w:gridCol w:w="36"/>
        <w:gridCol w:w="38"/>
        <w:gridCol w:w="4742"/>
        <w:gridCol w:w="36"/>
        <w:gridCol w:w="36"/>
        <w:gridCol w:w="36"/>
        <w:gridCol w:w="36"/>
        <w:gridCol w:w="80"/>
        <w:gridCol w:w="673"/>
        <w:gridCol w:w="36"/>
        <w:gridCol w:w="36"/>
        <w:gridCol w:w="36"/>
        <w:gridCol w:w="36"/>
        <w:gridCol w:w="37"/>
        <w:gridCol w:w="775"/>
        <w:gridCol w:w="36"/>
        <w:gridCol w:w="36"/>
        <w:gridCol w:w="36"/>
        <w:gridCol w:w="36"/>
        <w:gridCol w:w="80"/>
        <w:gridCol w:w="460"/>
        <w:gridCol w:w="36"/>
      </w:tblGrid>
      <w:tr w:rsidR="00000000">
        <w:trPr>
          <w:divId w:val="719981912"/>
        </w:trPr>
        <w:tc>
          <w:tcPr>
            <w:tcW w:w="50" w:type="pct"/>
            <w:vAlign w:val="center"/>
            <w:hideMark/>
          </w:tcPr>
          <w:p w:rsidR="00000000" w:rsidRDefault="00844BCF">
            <w:pPr>
              <w:jc w:val="center"/>
              <w:rPr>
                <w:rFonts w:eastAsia="Times New Roman"/>
              </w:rPr>
            </w:pPr>
          </w:p>
        </w:tc>
        <w:tc>
          <w:tcPr>
            <w:tcW w:w="38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2918"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2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561"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29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vAlign w:val="bottom"/>
            <w:hideMark/>
          </w:tcPr>
          <w:p w:rsidR="00000000" w:rsidRDefault="00844BCF">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4BCF">
            <w:pPr>
              <w:spacing w:after="100"/>
              <w:jc w:val="center"/>
              <w:rPr>
                <w:rFonts w:eastAsia="Times New Roman"/>
              </w:rPr>
            </w:pPr>
            <w:r>
              <w:rPr>
                <w:rFonts w:eastAsia="Times New Roman"/>
                <w:b/>
                <w:bCs/>
                <w:color w:val="000000"/>
                <w:sz w:val="16"/>
                <w:szCs w:val="16"/>
              </w:rPr>
              <w:t>Exhibit</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4BCF">
            <w:pPr>
              <w:spacing w:after="100"/>
              <w:jc w:val="center"/>
              <w:rPr>
                <w:rFonts w:eastAsia="Times New Roman"/>
              </w:rPr>
            </w:pPr>
            <w:r>
              <w:rPr>
                <w:rFonts w:eastAsia="Times New Roman"/>
                <w:b/>
                <w:bCs/>
                <w:color w:val="000000"/>
                <w:sz w:val="16"/>
                <w:szCs w:val="16"/>
              </w:rPr>
              <w:t>Registrant</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4BCF">
            <w:pPr>
              <w:spacing w:after="100"/>
              <w:jc w:val="center"/>
              <w:rPr>
                <w:rFonts w:eastAsia="Times New Roman"/>
              </w:rPr>
            </w:pPr>
            <w:r>
              <w:rPr>
                <w:rFonts w:eastAsia="Times New Roman"/>
                <w:b/>
                <w:bCs/>
                <w:color w:val="000000"/>
                <w:sz w:val="16"/>
                <w:szCs w:val="16"/>
              </w:rPr>
              <w:t>Filing</w:t>
            </w:r>
          </w:p>
        </w:tc>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44BCF">
            <w:pPr>
              <w:spacing w:after="100"/>
              <w:jc w:val="center"/>
              <w:rPr>
                <w:rFonts w:eastAsia="Times New Roman"/>
              </w:rPr>
            </w:pPr>
            <w:r>
              <w:rPr>
                <w:rFonts w:eastAsia="Times New Roman"/>
                <w:b/>
                <w:bCs/>
                <w:color w:val="000000"/>
                <w:sz w:val="16"/>
                <w:szCs w:val="16"/>
              </w:rPr>
              <w:t>Exhibit</w:t>
            </w:r>
          </w:p>
        </w:tc>
      </w:tr>
      <w:tr w:rsidR="00000000">
        <w:trPr>
          <w:divId w:val="719981912"/>
          <w:trHeight w:val="100"/>
        </w:trPr>
        <w:tc>
          <w:tcPr>
            <w:tcW w:w="0" w:type="auto"/>
            <w:gridSpan w:val="3"/>
            <w:tcMar>
              <w:top w:w="0" w:type="dxa"/>
              <w:left w:w="20" w:type="dxa"/>
              <w:bottom w:w="0" w:type="dxa"/>
              <w:right w:w="20" w:type="dxa"/>
            </w:tcMar>
            <w:vAlign w:val="center"/>
            <w:hideMark/>
          </w:tcPr>
          <w:p w:rsidR="00000000" w:rsidRDefault="00844BCF">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divId w:val="1745491683"/>
              <w:rPr>
                <w:rFonts w:eastAsia="Times New Roman"/>
              </w:rPr>
            </w:pPr>
            <w:hyperlink r:id="rId4" w:history="1">
              <w:r>
                <w:rPr>
                  <w:rStyle w:val="a3"/>
                  <w:rFonts w:eastAsia="Times New Roman"/>
                  <w:sz w:val="20"/>
                  <w:szCs w:val="20"/>
                </w:rPr>
                <w:t>Certification by the Chief Executive Officer relating to the Registrant’</w:t>
              </w:r>
              <w:r>
                <w:rPr>
                  <w:rStyle w:val="a3"/>
                  <w:rFonts w:eastAsia="Times New Roman"/>
                  <w:sz w:val="20"/>
                  <w:szCs w:val="20"/>
                </w:rPr>
                <w:t>s Report on Form 10-Q for the quarter ended March 31, 2022,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divId w:val="448359946"/>
              <w:rPr>
                <w:rFonts w:eastAsia="Times New Roman"/>
              </w:rPr>
            </w:pPr>
            <w:hyperlink r:id="rId5" w:history="1">
              <w:r>
                <w:rPr>
                  <w:rStyle w:val="a3"/>
                  <w:rFonts w:eastAsia="Times New Roman"/>
                  <w:sz w:val="20"/>
                  <w:szCs w:val="20"/>
                </w:rPr>
                <w:t>Certification by the Chief Financial Officer relating to the Registrant’s Report on Form 10-Q for the quarter ended March 31, 2022,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divId w:val="302270651"/>
              <w:rPr>
                <w:rFonts w:eastAsia="Times New Roman"/>
              </w:rPr>
            </w:pPr>
            <w:hyperlink r:id="rId6" w:history="1">
              <w:r>
                <w:rPr>
                  <w:rStyle w:val="a3"/>
                  <w:rFonts w:eastAsia="Times New Roman"/>
                  <w:sz w:val="20"/>
                  <w:szCs w:val="20"/>
                </w:rPr>
                <w:t>Certification by the Chief Executive Officer and the Chief Financial Officer relating to the Registrant’s Report on Form 10-Q for the quarter ended March 31, 2022, pursuant to Section 906 of the Sarbanes-Oxley Act of</w:t>
              </w:r>
              <w:r>
                <w:rPr>
                  <w:rStyle w:val="a3"/>
                  <w:rFonts w:eastAsia="Times New Roman"/>
                  <w:sz w:val="20"/>
                  <w:szCs w:val="20"/>
                </w:rPr>
                <w:t xml:space="preserve"> 2002.</w:t>
              </w:r>
            </w:hyperlink>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Taxonomy Extension Schema</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Taxonomy Extension Calculation Linkbase</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Taxonomy Extension Definition Linkbase</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Taxonomy Extension Labels Linkbase</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Taxonomy Extension Presentation Linkbase</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19981912"/>
          <w:trHeight w:val="30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bl>
    <w:p w:rsidR="00000000" w:rsidRDefault="00844BCF">
      <w:pPr>
        <w:ind w:hanging="270"/>
        <w:jc w:val="both"/>
        <w:rPr>
          <w:rFonts w:eastAsia="Times New Roman"/>
        </w:rPr>
      </w:pPr>
    </w:p>
    <w:p w:rsidR="00000000" w:rsidRDefault="00844BCF">
      <w:pPr>
        <w:jc w:val="center"/>
        <w:divId w:val="1796749481"/>
        <w:rPr>
          <w:rFonts w:eastAsia="Times New Roman"/>
        </w:rPr>
      </w:pPr>
      <w:r>
        <w:rPr>
          <w:rFonts w:eastAsia="Times New Roman"/>
          <w:color w:val="000000"/>
          <w:sz w:val="20"/>
          <w:szCs w:val="20"/>
        </w:rPr>
        <w:t>56</w:t>
      </w:r>
    </w:p>
    <w:p w:rsidR="00000000" w:rsidRDefault="00844BCF">
      <w:pPr>
        <w:rPr>
          <w:rFonts w:eastAsia="Times New Roman"/>
        </w:rPr>
      </w:pPr>
      <w:r>
        <w:rPr>
          <w:rFonts w:eastAsia="Times New Roman"/>
        </w:rPr>
        <w:pict>
          <v:rect id="_x0000_i1082" style="width:0;height:1.5pt" o:hralign="center" o:hrstd="t" o:hr="t" fillcolor="#a0a0a0" stroked="f"/>
        </w:pict>
      </w:r>
    </w:p>
    <w:p w:rsidR="00000000" w:rsidRDefault="00844BCF">
      <w:pPr>
        <w:divId w:val="1282151503"/>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592476892"/>
        <w:rPr>
          <w:rFonts w:eastAsia="Times New Roman"/>
        </w:rPr>
      </w:pPr>
      <w:r>
        <w:rPr>
          <w:rFonts w:eastAsia="Times New Roman"/>
          <w:b/>
          <w:bCs/>
          <w:color w:val="000000"/>
          <w:sz w:val="20"/>
          <w:szCs w:val="20"/>
        </w:rPr>
        <w:t>UGI CORPORATION AND SUBSIDIARIES</w:t>
      </w:r>
    </w:p>
    <w:p w:rsidR="00000000" w:rsidRDefault="00844BCF">
      <w:pPr>
        <w:jc w:val="center"/>
        <w:rPr>
          <w:rFonts w:eastAsia="Times New Roman"/>
        </w:rPr>
      </w:pPr>
      <w:r>
        <w:rPr>
          <w:rFonts w:eastAsia="Times New Roman"/>
          <w:b/>
          <w:bCs/>
          <w:color w:val="000000"/>
          <w:sz w:val="20"/>
          <w:szCs w:val="20"/>
        </w:rPr>
        <w:t>EXHIBIT INDEX</w:t>
      </w:r>
    </w:p>
    <w:p w:rsidR="00000000" w:rsidRDefault="00844BCF">
      <w:pPr>
        <w:divId w:val="88744963"/>
        <w:rPr>
          <w:rFonts w:eastAsia="Times New Roman"/>
        </w:rPr>
      </w:pP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78"/>
        <w:gridCol w:w="705"/>
        <w:gridCol w:w="36"/>
        <w:gridCol w:w="36"/>
        <w:gridCol w:w="36"/>
        <w:gridCol w:w="36"/>
        <w:gridCol w:w="46"/>
        <w:gridCol w:w="7272"/>
        <w:gridCol w:w="36"/>
      </w:tblGrid>
      <w:tr w:rsidR="00000000">
        <w:trPr>
          <w:divId w:val="946471748"/>
        </w:trPr>
        <w:tc>
          <w:tcPr>
            <w:tcW w:w="50" w:type="pct"/>
            <w:vAlign w:val="center"/>
            <w:hideMark/>
          </w:tcPr>
          <w:p w:rsidR="00000000" w:rsidRDefault="00844BCF">
            <w:pPr>
              <w:rPr>
                <w:rFonts w:eastAsia="Times New Roman"/>
              </w:rPr>
            </w:pPr>
          </w:p>
        </w:tc>
        <w:tc>
          <w:tcPr>
            <w:tcW w:w="45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2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4402"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946471748"/>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946471748"/>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divId w:val="711543199"/>
              <w:rPr>
                <w:rFonts w:eastAsia="Times New Roman"/>
              </w:rPr>
            </w:pPr>
            <w:hyperlink r:id="rId7" w:history="1">
              <w:r>
                <w:rPr>
                  <w:rStyle w:val="a3"/>
                  <w:rFonts w:eastAsia="Times New Roman"/>
                  <w:sz w:val="20"/>
                  <w:szCs w:val="20"/>
                </w:rPr>
                <w:t>Certification by the Chief Executive Officer relating to the Registrant’s Report on Form 10-Q for the quarter ended March 31, 2022, pursuant to Section 302 of the Sarbanes-Oxley Act of 2002.</w:t>
              </w:r>
            </w:hyperlink>
          </w:p>
        </w:tc>
      </w:tr>
      <w:tr w:rsidR="00000000">
        <w:trPr>
          <w:divId w:val="946471748"/>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946471748"/>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divId w:val="1863856976"/>
              <w:rPr>
                <w:rFonts w:eastAsia="Times New Roman"/>
              </w:rPr>
            </w:pPr>
            <w:hyperlink r:id="rId8" w:history="1">
              <w:r>
                <w:rPr>
                  <w:rStyle w:val="a3"/>
                  <w:rFonts w:eastAsia="Times New Roman"/>
                  <w:sz w:val="20"/>
                  <w:szCs w:val="20"/>
                </w:rPr>
                <w:t>Certification by the Chief Certification by the Chief Financial Officer relating to the Registrant’s Report on Form 10-Q for the quarter ended March 31, 2022, pursuant to Section 302 of the Sarbanes-Oxley Act of 2</w:t>
              </w:r>
              <w:r>
                <w:rPr>
                  <w:rStyle w:val="a3"/>
                  <w:rFonts w:eastAsia="Times New Roman"/>
                  <w:sz w:val="20"/>
                  <w:szCs w:val="20"/>
                </w:rPr>
                <w:t>002.</w:t>
              </w:r>
            </w:hyperlink>
          </w:p>
        </w:tc>
      </w:tr>
      <w:tr w:rsidR="00000000">
        <w:trPr>
          <w:divId w:val="946471748"/>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946471748"/>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divId w:val="352193991"/>
              <w:rPr>
                <w:rFonts w:eastAsia="Times New Roman"/>
              </w:rPr>
            </w:pPr>
            <w:hyperlink r:id="rId9" w:history="1">
              <w:r>
                <w:rPr>
                  <w:rStyle w:val="a3"/>
                  <w:rFonts w:eastAsia="Times New Roman"/>
                  <w:sz w:val="20"/>
                  <w:szCs w:val="20"/>
                </w:rPr>
                <w:t>Certification by the Chief Executive Officer and the Chief Financial Officer relating to the Registrant’s Report on Form 10-Q for the quarter ended March 31, 2022, pursuant to Section 906 of the Sarbanes-Oxley Act of 2002.</w:t>
              </w:r>
            </w:hyperlink>
          </w:p>
        </w:tc>
      </w:tr>
      <w:tr w:rsidR="00000000">
        <w:trPr>
          <w:divId w:val="946471748"/>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946471748"/>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Instance - the instance document does not appear in the Interactive Data File because its XBRL tags are embedded within the Inline XBRL document</w:t>
            </w:r>
          </w:p>
        </w:tc>
      </w:tr>
      <w:tr w:rsidR="00000000">
        <w:trPr>
          <w:divId w:val="946471748"/>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946471748"/>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Taxonomy Extension Schema</w:t>
            </w:r>
          </w:p>
        </w:tc>
      </w:tr>
      <w:tr w:rsidR="00000000">
        <w:trPr>
          <w:divId w:val="946471748"/>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946471748"/>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Taxonomy Extension Calculation Linkbase</w:t>
            </w:r>
          </w:p>
        </w:tc>
      </w:tr>
      <w:tr w:rsidR="00000000">
        <w:trPr>
          <w:divId w:val="946471748"/>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946471748"/>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Taxonomy Extension Definition Linkbase</w:t>
            </w:r>
          </w:p>
        </w:tc>
      </w:tr>
      <w:tr w:rsidR="00000000">
        <w:trPr>
          <w:divId w:val="946471748"/>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946471748"/>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Taxonomy Extension Labels Linkbase</w:t>
            </w:r>
          </w:p>
        </w:tc>
      </w:tr>
      <w:tr w:rsidR="00000000">
        <w:trPr>
          <w:divId w:val="946471748"/>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946471748"/>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XBRL Taxonomy Extension Presentation Linkbase</w:t>
            </w:r>
          </w:p>
        </w:tc>
      </w:tr>
      <w:tr w:rsidR="00000000">
        <w:trPr>
          <w:divId w:val="946471748"/>
        </w:trPr>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844BCF">
      <w:pPr>
        <w:divId w:val="1277559082"/>
        <w:rPr>
          <w:rFonts w:eastAsia="Times New Roman"/>
        </w:rPr>
      </w:pPr>
    </w:p>
    <w:p w:rsidR="00000000" w:rsidRDefault="00844BCF">
      <w:pPr>
        <w:divId w:val="1035347310"/>
        <w:rPr>
          <w:rFonts w:eastAsia="Times New Roman"/>
        </w:rPr>
      </w:pPr>
    </w:p>
    <w:p w:rsidR="00000000" w:rsidRDefault="00844BCF">
      <w:pPr>
        <w:jc w:val="center"/>
        <w:divId w:val="206912822"/>
        <w:rPr>
          <w:rFonts w:eastAsia="Times New Roman"/>
        </w:rPr>
      </w:pPr>
      <w:r>
        <w:rPr>
          <w:rFonts w:eastAsia="Times New Roman"/>
          <w:color w:val="000000"/>
          <w:sz w:val="20"/>
          <w:szCs w:val="20"/>
        </w:rPr>
        <w:t>57</w:t>
      </w:r>
    </w:p>
    <w:p w:rsidR="00000000" w:rsidRDefault="00844BCF">
      <w:pPr>
        <w:rPr>
          <w:rFonts w:eastAsia="Times New Roman"/>
        </w:rPr>
      </w:pPr>
      <w:r>
        <w:rPr>
          <w:rFonts w:eastAsia="Times New Roman"/>
        </w:rPr>
        <w:pict>
          <v:rect id="_x0000_i1083" style="width:0;height:1.5pt" o:hralign="center" o:hrstd="t" o:hr="t" fillcolor="#a0a0a0" stroked="f"/>
        </w:pict>
      </w:r>
    </w:p>
    <w:p w:rsidR="00000000" w:rsidRDefault="00844BCF">
      <w:pPr>
        <w:divId w:val="1696034368"/>
        <w:rPr>
          <w:rFonts w:eastAsia="Times New Roman"/>
        </w:rPr>
      </w:pPr>
      <w:hyperlink w:anchor="i0e86e801f9b0414490bd181a9bfe7913_7" w:history="1">
        <w:r>
          <w:rPr>
            <w:rStyle w:val="a3"/>
            <w:rFonts w:eastAsia="Times New Roman"/>
            <w:sz w:val="20"/>
            <w:szCs w:val="20"/>
          </w:rPr>
          <w:t>Table of Contents</w:t>
        </w:r>
      </w:hyperlink>
    </w:p>
    <w:p w:rsidR="00000000" w:rsidRDefault="00844BCF">
      <w:pPr>
        <w:jc w:val="center"/>
        <w:divId w:val="691299852"/>
        <w:rPr>
          <w:rFonts w:eastAsia="Times New Roman"/>
        </w:rPr>
      </w:pPr>
      <w:r>
        <w:rPr>
          <w:rFonts w:eastAsia="Times New Roman"/>
          <w:b/>
          <w:bCs/>
          <w:color w:val="000000"/>
          <w:sz w:val="20"/>
          <w:szCs w:val="20"/>
        </w:rPr>
        <w:t>UGI CORPORATION AND SUBSIDIARIES</w:t>
      </w:r>
    </w:p>
    <w:p w:rsidR="00000000" w:rsidRDefault="00844BCF">
      <w:pPr>
        <w:jc w:val="center"/>
        <w:rPr>
          <w:rFonts w:eastAsia="Times New Roman"/>
        </w:rPr>
      </w:pPr>
      <w:r>
        <w:rPr>
          <w:rFonts w:eastAsia="Times New Roman"/>
          <w:b/>
          <w:bCs/>
          <w:color w:val="000000"/>
          <w:sz w:val="20"/>
          <w:szCs w:val="20"/>
        </w:rPr>
        <w:t>SIGNATURES</w:t>
      </w:r>
    </w:p>
    <w:p w:rsidR="00000000" w:rsidRDefault="00844BCF">
      <w:pPr>
        <w:jc w:val="both"/>
        <w:divId w:val="1930313650"/>
        <w:rPr>
          <w:rFonts w:eastAsia="Times New Roman"/>
        </w:rPr>
      </w:pPr>
      <w:r>
        <w:rPr>
          <w:rFonts w:eastAsia="Times New Roman"/>
          <w:color w:val="000000"/>
          <w:sz w:val="20"/>
          <w:szCs w:val="20"/>
        </w:rPr>
        <w:t xml:space="preserve">Pursuant to the requirements of the Securities Exchange Act of 1934, the registrant has duly caused </w:t>
      </w:r>
      <w:r>
        <w:rPr>
          <w:rFonts w:eastAsia="Times New Roman"/>
          <w:color w:val="000000"/>
          <w:sz w:val="20"/>
          <w:szCs w:val="20"/>
        </w:rPr>
        <w:t>this report to be signed on its behalf by the undersigned thereunto duly authorized.</w:t>
      </w:r>
    </w:p>
    <w:p w:rsidR="00000000" w:rsidRDefault="00844BCF">
      <w:pPr>
        <w:divId w:val="509758574"/>
        <w:rPr>
          <w:rFonts w:eastAsia="Times New Roman"/>
        </w:rPr>
      </w:pPr>
      <w:r>
        <w:rPr>
          <w:rFonts w:eastAsia="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88"/>
        <w:gridCol w:w="378"/>
        <w:gridCol w:w="36"/>
        <w:gridCol w:w="60"/>
        <w:gridCol w:w="3881"/>
        <w:gridCol w:w="36"/>
        <w:gridCol w:w="81"/>
        <w:gridCol w:w="240"/>
        <w:gridCol w:w="37"/>
        <w:gridCol w:w="37"/>
        <w:gridCol w:w="3370"/>
        <w:gridCol w:w="37"/>
      </w:tblGrid>
      <w:tr w:rsidR="00000000">
        <w:trPr>
          <w:divId w:val="789325833"/>
        </w:trPr>
        <w:tc>
          <w:tcPr>
            <w:tcW w:w="50" w:type="pct"/>
            <w:vAlign w:val="center"/>
            <w:hideMark/>
          </w:tcPr>
          <w:p w:rsidR="00000000" w:rsidRDefault="00844BCF">
            <w:pPr>
              <w:rPr>
                <w:rFonts w:eastAsia="Times New Roman"/>
              </w:rPr>
            </w:pPr>
          </w:p>
        </w:tc>
        <w:tc>
          <w:tcPr>
            <w:tcW w:w="21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2357"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150"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c>
          <w:tcPr>
            <w:tcW w:w="50" w:type="pct"/>
            <w:vAlign w:val="center"/>
            <w:hideMark/>
          </w:tcPr>
          <w:p w:rsidR="00000000" w:rsidRDefault="00844BCF">
            <w:pPr>
              <w:spacing w:after="100"/>
              <w:rPr>
                <w:rFonts w:eastAsia="Times New Roman"/>
                <w:sz w:val="20"/>
                <w:szCs w:val="20"/>
              </w:rPr>
            </w:pPr>
          </w:p>
        </w:tc>
        <w:tc>
          <w:tcPr>
            <w:tcW w:w="2056" w:type="pct"/>
            <w:vAlign w:val="center"/>
            <w:hideMark/>
          </w:tcPr>
          <w:p w:rsidR="00000000" w:rsidRDefault="00844BCF">
            <w:pPr>
              <w:spacing w:after="100"/>
              <w:rPr>
                <w:rFonts w:eastAsia="Times New Roman"/>
                <w:sz w:val="20"/>
                <w:szCs w:val="20"/>
              </w:rPr>
            </w:pPr>
          </w:p>
        </w:tc>
        <w:tc>
          <w:tcPr>
            <w:tcW w:w="5" w:type="pct"/>
            <w:vAlign w:val="center"/>
            <w:hideMark/>
          </w:tcPr>
          <w:p w:rsidR="00000000" w:rsidRDefault="00844BCF">
            <w:pPr>
              <w:spacing w:after="100"/>
              <w:rPr>
                <w:rFonts w:eastAsia="Times New Roman"/>
                <w:sz w:val="20"/>
                <w:szCs w:val="20"/>
              </w:rPr>
            </w:pPr>
          </w:p>
        </w:tc>
      </w:tr>
      <w:tr w:rsidR="00000000">
        <w:trPr>
          <w:divId w:val="789325833"/>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u w:val="single"/>
              </w:rPr>
              <w:t>UGI Corporation</w:t>
            </w:r>
          </w:p>
        </w:tc>
      </w:tr>
      <w:tr w:rsidR="00000000">
        <w:trPr>
          <w:divId w:val="789325833"/>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(Registrant)</w:t>
            </w:r>
          </w:p>
        </w:tc>
      </w:tr>
      <w:tr w:rsidR="00000000">
        <w:trPr>
          <w:divId w:val="789325833"/>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89325833"/>
        </w:trPr>
        <w:tc>
          <w:tcPr>
            <w:tcW w:w="0" w:type="auto"/>
            <w:gridSpan w:val="3"/>
            <w:tcMar>
              <w:top w:w="30" w:type="dxa"/>
              <w:left w:w="20" w:type="dxa"/>
              <w:bottom w:w="30" w:type="dxa"/>
              <w:right w:w="20" w:type="dxa"/>
            </w:tcMar>
            <w:vAlign w:val="center"/>
            <w:hideMark/>
          </w:tcPr>
          <w:p w:rsidR="00000000" w:rsidRDefault="00844BCF">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center"/>
            <w:hideMark/>
          </w:tcPr>
          <w:p w:rsidR="00000000" w:rsidRDefault="00844BCF">
            <w:pPr>
              <w:spacing w:after="100"/>
              <w:rPr>
                <w:rFonts w:eastAsia="Times New Roman"/>
              </w:rPr>
            </w:pPr>
            <w:r>
              <w:rPr>
                <w:rFonts w:eastAsia="Times New Roman"/>
                <w:color w:val="000000"/>
                <w:sz w:val="20"/>
                <w:szCs w:val="20"/>
              </w:rPr>
              <w:t>May 5, 2022</w:t>
            </w: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/s/ Ted J. Jastrzebski</w:t>
            </w:r>
          </w:p>
        </w:tc>
      </w:tr>
      <w:tr w:rsidR="00000000">
        <w:trPr>
          <w:divId w:val="789325833"/>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Ted J. Jastrzebski</w:t>
            </w:r>
          </w:p>
        </w:tc>
      </w:tr>
      <w:tr w:rsidR="00000000">
        <w:trPr>
          <w:divId w:val="789325833"/>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Chief Financial Officer</w:t>
            </w:r>
          </w:p>
        </w:tc>
      </w:tr>
      <w:tr w:rsidR="00000000">
        <w:trPr>
          <w:divId w:val="789325833"/>
          <w:trHeight w:val="18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89325833"/>
          <w:trHeight w:val="60"/>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r>
      <w:tr w:rsidR="00000000">
        <w:trPr>
          <w:divId w:val="789325833"/>
        </w:trPr>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center"/>
            <w:hideMark/>
          </w:tcPr>
          <w:p w:rsidR="00000000" w:rsidRDefault="00844BCF">
            <w:pPr>
              <w:spacing w:after="100"/>
              <w:rPr>
                <w:rFonts w:eastAsia="Times New Roman"/>
              </w:rPr>
            </w:pPr>
            <w:r>
              <w:rPr>
                <w:rFonts w:eastAsia="Times New Roman"/>
                <w:color w:val="000000"/>
                <w:sz w:val="20"/>
                <w:szCs w:val="20"/>
              </w:rPr>
              <w:t>May 5, 2022</w:t>
            </w:r>
          </w:p>
        </w:tc>
        <w:tc>
          <w:tcPr>
            <w:tcW w:w="0" w:type="auto"/>
            <w:gridSpan w:val="3"/>
            <w:tcMar>
              <w:top w:w="30" w:type="dxa"/>
              <w:left w:w="20" w:type="dxa"/>
              <w:bottom w:w="30" w:type="dxa"/>
              <w:right w:w="20" w:type="dxa"/>
            </w:tcMar>
            <w:vAlign w:val="bottom"/>
            <w:hideMark/>
          </w:tcPr>
          <w:p w:rsidR="00000000" w:rsidRDefault="00844BCF">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/s/ Jean Felix Tematio Dontsop</w:t>
            </w:r>
          </w:p>
        </w:tc>
      </w:tr>
      <w:tr w:rsidR="00000000">
        <w:trPr>
          <w:divId w:val="789325833"/>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Jean Felix Tematio Dontsop</w:t>
            </w:r>
          </w:p>
        </w:tc>
      </w:tr>
      <w:tr w:rsidR="00000000">
        <w:trPr>
          <w:divId w:val="789325833"/>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Vice President, Chief Accounting Officer</w:t>
            </w:r>
          </w:p>
        </w:tc>
      </w:tr>
      <w:tr w:rsidR="00000000">
        <w:trPr>
          <w:divId w:val="789325833"/>
        </w:trPr>
        <w:tc>
          <w:tcPr>
            <w:tcW w:w="0" w:type="auto"/>
            <w:gridSpan w:val="3"/>
            <w:tcMar>
              <w:top w:w="0" w:type="dxa"/>
              <w:left w:w="20" w:type="dxa"/>
              <w:bottom w:w="0" w:type="dxa"/>
              <w:right w:w="20" w:type="dxa"/>
            </w:tcMar>
            <w:vAlign w:val="center"/>
            <w:hideMark/>
          </w:tcPr>
          <w:p w:rsidR="00000000" w:rsidRDefault="00844BCF">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44BCF">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844BCF">
            <w:pPr>
              <w:spacing w:after="100"/>
              <w:rPr>
                <w:rFonts w:eastAsia="Times New Roman"/>
              </w:rPr>
            </w:pPr>
            <w:r>
              <w:rPr>
                <w:rFonts w:eastAsia="Times New Roman"/>
                <w:color w:val="000000"/>
                <w:sz w:val="20"/>
                <w:szCs w:val="20"/>
              </w:rPr>
              <w:t>and Corporate Controller</w:t>
            </w:r>
          </w:p>
        </w:tc>
      </w:tr>
    </w:tbl>
    <w:p w:rsidR="00844BCF" w:rsidRDefault="00844BCF">
      <w:pPr>
        <w:jc w:val="center"/>
        <w:divId w:val="1811898255"/>
        <w:rPr>
          <w:rFonts w:eastAsia="Times New Roman"/>
        </w:rPr>
      </w:pPr>
      <w:r>
        <w:rPr>
          <w:rFonts w:eastAsia="Times New Roman"/>
          <w:color w:val="000000"/>
          <w:sz w:val="20"/>
          <w:szCs w:val="20"/>
        </w:rPr>
        <w:t>58</w:t>
      </w:r>
    </w:p>
    <w:sectPr w:rsidR="00844BC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44BCF"/>
    <w:rsid w:val="00844BCF"/>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w3.org/1999/xlink"/>
  <w:attachedSchema w:val="http://www.xbrl.org/inlineXBRL/transformation/2020-02-12"/>
  <w:attachedSchema w:val="http://www.ugicorp.com/20220331"/>
  <w:attachedSchema w:val="http://www.xbrl.org/2009/utr"/>
  <w:attachedSchema w:val="http://www.sec.gov/inlineXBRL/transformation/2015-08-31"/>
  <w:attachedSchema w:val="http://www.xbrl.org/2013/inlineXBRL"/>
  <w:attachedSchema w:val="http://xbrl.org/2006/xbrldi"/>
  <w:attachedSchema w:val="http://fasb.org/srt/2021-01-31"/>
  <w:attachedSchema w:val="http://www.xbrl.org/2003/instance"/>
  <w:attachedSchema w:val="http://fasb.org/us-gaap/2021-01-31"/>
  <w:attachedSchema w:val="http://xbrl.sec.gov/dei/2021"/>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684">
      <w:marLeft w:val="0"/>
      <w:marRight w:val="0"/>
      <w:marTop w:val="0"/>
      <w:marBottom w:val="200"/>
      <w:divBdr>
        <w:top w:val="none" w:sz="0" w:space="0" w:color="auto"/>
        <w:left w:val="none" w:sz="0" w:space="0" w:color="auto"/>
        <w:bottom w:val="none" w:sz="0" w:space="0" w:color="auto"/>
        <w:right w:val="none" w:sz="0" w:space="0" w:color="auto"/>
      </w:divBdr>
    </w:div>
    <w:div w:id="13388703">
      <w:marLeft w:val="0"/>
      <w:marRight w:val="0"/>
      <w:marTop w:val="0"/>
      <w:marBottom w:val="0"/>
      <w:divBdr>
        <w:top w:val="none" w:sz="0" w:space="0" w:color="auto"/>
        <w:left w:val="none" w:sz="0" w:space="0" w:color="auto"/>
        <w:bottom w:val="none" w:sz="0" w:space="0" w:color="auto"/>
        <w:right w:val="none" w:sz="0" w:space="0" w:color="auto"/>
      </w:divBdr>
    </w:div>
    <w:div w:id="18507786">
      <w:marLeft w:val="0"/>
      <w:marRight w:val="0"/>
      <w:marTop w:val="0"/>
      <w:marBottom w:val="0"/>
      <w:divBdr>
        <w:top w:val="none" w:sz="0" w:space="0" w:color="auto"/>
        <w:left w:val="none" w:sz="0" w:space="0" w:color="auto"/>
        <w:bottom w:val="none" w:sz="0" w:space="0" w:color="auto"/>
        <w:right w:val="none" w:sz="0" w:space="0" w:color="auto"/>
      </w:divBdr>
    </w:div>
    <w:div w:id="23944767">
      <w:marLeft w:val="0"/>
      <w:marRight w:val="0"/>
      <w:marTop w:val="0"/>
      <w:marBottom w:val="200"/>
      <w:divBdr>
        <w:top w:val="none" w:sz="0" w:space="0" w:color="auto"/>
        <w:left w:val="none" w:sz="0" w:space="0" w:color="auto"/>
        <w:bottom w:val="none" w:sz="0" w:space="0" w:color="auto"/>
        <w:right w:val="none" w:sz="0" w:space="0" w:color="auto"/>
      </w:divBdr>
    </w:div>
    <w:div w:id="27415624">
      <w:marLeft w:val="0"/>
      <w:marRight w:val="0"/>
      <w:marTop w:val="0"/>
      <w:marBottom w:val="0"/>
      <w:divBdr>
        <w:top w:val="none" w:sz="0" w:space="0" w:color="auto"/>
        <w:left w:val="none" w:sz="0" w:space="0" w:color="auto"/>
        <w:bottom w:val="none" w:sz="0" w:space="0" w:color="auto"/>
        <w:right w:val="none" w:sz="0" w:space="0" w:color="auto"/>
      </w:divBdr>
      <w:divsChild>
        <w:div w:id="1734084321">
          <w:marLeft w:val="0"/>
          <w:marRight w:val="0"/>
          <w:marTop w:val="0"/>
          <w:marBottom w:val="0"/>
          <w:divBdr>
            <w:top w:val="none" w:sz="0" w:space="0" w:color="auto"/>
            <w:left w:val="none" w:sz="0" w:space="0" w:color="auto"/>
            <w:bottom w:val="none" w:sz="0" w:space="0" w:color="auto"/>
            <w:right w:val="none" w:sz="0" w:space="0" w:color="auto"/>
          </w:divBdr>
        </w:div>
      </w:divsChild>
    </w:div>
    <w:div w:id="28841984">
      <w:marLeft w:val="0"/>
      <w:marRight w:val="0"/>
      <w:marTop w:val="200"/>
      <w:marBottom w:val="0"/>
      <w:divBdr>
        <w:top w:val="none" w:sz="0" w:space="0" w:color="auto"/>
        <w:left w:val="none" w:sz="0" w:space="0" w:color="auto"/>
        <w:bottom w:val="none" w:sz="0" w:space="0" w:color="auto"/>
        <w:right w:val="none" w:sz="0" w:space="0" w:color="auto"/>
      </w:divBdr>
    </w:div>
    <w:div w:id="28993160">
      <w:marLeft w:val="0"/>
      <w:marRight w:val="0"/>
      <w:marTop w:val="0"/>
      <w:marBottom w:val="0"/>
      <w:divBdr>
        <w:top w:val="none" w:sz="0" w:space="0" w:color="auto"/>
        <w:left w:val="none" w:sz="0" w:space="0" w:color="auto"/>
        <w:bottom w:val="none" w:sz="0" w:space="0" w:color="auto"/>
        <w:right w:val="none" w:sz="0" w:space="0" w:color="auto"/>
      </w:divBdr>
    </w:div>
    <w:div w:id="31344276">
      <w:marLeft w:val="0"/>
      <w:marRight w:val="0"/>
      <w:marTop w:val="0"/>
      <w:marBottom w:val="0"/>
      <w:divBdr>
        <w:top w:val="none" w:sz="0" w:space="0" w:color="auto"/>
        <w:left w:val="none" w:sz="0" w:space="0" w:color="auto"/>
        <w:bottom w:val="none" w:sz="0" w:space="0" w:color="auto"/>
        <w:right w:val="none" w:sz="0" w:space="0" w:color="auto"/>
      </w:divBdr>
      <w:divsChild>
        <w:div w:id="2135129957">
          <w:marLeft w:val="0"/>
          <w:marRight w:val="0"/>
          <w:marTop w:val="0"/>
          <w:marBottom w:val="0"/>
          <w:divBdr>
            <w:top w:val="none" w:sz="0" w:space="0" w:color="auto"/>
            <w:left w:val="none" w:sz="0" w:space="0" w:color="auto"/>
            <w:bottom w:val="none" w:sz="0" w:space="0" w:color="auto"/>
            <w:right w:val="none" w:sz="0" w:space="0" w:color="auto"/>
          </w:divBdr>
        </w:div>
      </w:divsChild>
    </w:div>
    <w:div w:id="45304250">
      <w:marLeft w:val="0"/>
      <w:marRight w:val="0"/>
      <w:marTop w:val="0"/>
      <w:marBottom w:val="0"/>
      <w:divBdr>
        <w:top w:val="none" w:sz="0" w:space="0" w:color="auto"/>
        <w:left w:val="none" w:sz="0" w:space="0" w:color="auto"/>
        <w:bottom w:val="none" w:sz="0" w:space="0" w:color="auto"/>
        <w:right w:val="none" w:sz="0" w:space="0" w:color="auto"/>
      </w:divBdr>
      <w:divsChild>
        <w:div w:id="365519485">
          <w:marLeft w:val="0"/>
          <w:marRight w:val="0"/>
          <w:marTop w:val="0"/>
          <w:marBottom w:val="0"/>
          <w:divBdr>
            <w:top w:val="none" w:sz="0" w:space="0" w:color="auto"/>
            <w:left w:val="none" w:sz="0" w:space="0" w:color="auto"/>
            <w:bottom w:val="none" w:sz="0" w:space="0" w:color="auto"/>
            <w:right w:val="none" w:sz="0" w:space="0" w:color="auto"/>
          </w:divBdr>
        </w:div>
      </w:divsChild>
    </w:div>
    <w:div w:id="52773594">
      <w:marLeft w:val="0"/>
      <w:marRight w:val="0"/>
      <w:marTop w:val="0"/>
      <w:marBottom w:val="0"/>
      <w:divBdr>
        <w:top w:val="none" w:sz="0" w:space="0" w:color="auto"/>
        <w:left w:val="none" w:sz="0" w:space="0" w:color="auto"/>
        <w:bottom w:val="none" w:sz="0" w:space="0" w:color="auto"/>
        <w:right w:val="none" w:sz="0" w:space="0" w:color="auto"/>
      </w:divBdr>
      <w:divsChild>
        <w:div w:id="1693385086">
          <w:marLeft w:val="0"/>
          <w:marRight w:val="0"/>
          <w:marTop w:val="0"/>
          <w:marBottom w:val="0"/>
          <w:divBdr>
            <w:top w:val="none" w:sz="0" w:space="0" w:color="auto"/>
            <w:left w:val="none" w:sz="0" w:space="0" w:color="auto"/>
            <w:bottom w:val="none" w:sz="0" w:space="0" w:color="auto"/>
            <w:right w:val="none" w:sz="0" w:space="0" w:color="auto"/>
          </w:divBdr>
        </w:div>
        <w:div w:id="1238706846">
          <w:marLeft w:val="0"/>
          <w:marRight w:val="0"/>
          <w:marTop w:val="180"/>
          <w:marBottom w:val="0"/>
          <w:divBdr>
            <w:top w:val="none" w:sz="0" w:space="0" w:color="auto"/>
            <w:left w:val="none" w:sz="0" w:space="0" w:color="auto"/>
            <w:bottom w:val="none" w:sz="0" w:space="0" w:color="auto"/>
            <w:right w:val="none" w:sz="0" w:space="0" w:color="auto"/>
          </w:divBdr>
        </w:div>
      </w:divsChild>
    </w:div>
    <w:div w:id="52823607">
      <w:marLeft w:val="0"/>
      <w:marRight w:val="0"/>
      <w:marTop w:val="0"/>
      <w:marBottom w:val="200"/>
      <w:divBdr>
        <w:top w:val="none" w:sz="0" w:space="0" w:color="auto"/>
        <w:left w:val="none" w:sz="0" w:space="0" w:color="auto"/>
        <w:bottom w:val="none" w:sz="0" w:space="0" w:color="auto"/>
        <w:right w:val="none" w:sz="0" w:space="0" w:color="auto"/>
      </w:divBdr>
    </w:div>
    <w:div w:id="55595871">
      <w:marLeft w:val="0"/>
      <w:marRight w:val="0"/>
      <w:marTop w:val="0"/>
      <w:marBottom w:val="200"/>
      <w:divBdr>
        <w:top w:val="none" w:sz="0" w:space="0" w:color="auto"/>
        <w:left w:val="none" w:sz="0" w:space="0" w:color="auto"/>
        <w:bottom w:val="none" w:sz="0" w:space="0" w:color="auto"/>
        <w:right w:val="none" w:sz="0" w:space="0" w:color="auto"/>
      </w:divBdr>
    </w:div>
    <w:div w:id="56707340">
      <w:marLeft w:val="0"/>
      <w:marRight w:val="0"/>
      <w:marTop w:val="100"/>
      <w:marBottom w:val="0"/>
      <w:divBdr>
        <w:top w:val="none" w:sz="0" w:space="0" w:color="auto"/>
        <w:left w:val="none" w:sz="0" w:space="0" w:color="auto"/>
        <w:bottom w:val="none" w:sz="0" w:space="0" w:color="auto"/>
        <w:right w:val="none" w:sz="0" w:space="0" w:color="auto"/>
      </w:divBdr>
    </w:div>
    <w:div w:id="69893068">
      <w:marLeft w:val="0"/>
      <w:marRight w:val="0"/>
      <w:marTop w:val="0"/>
      <w:marBottom w:val="0"/>
      <w:divBdr>
        <w:top w:val="none" w:sz="0" w:space="0" w:color="auto"/>
        <w:left w:val="none" w:sz="0" w:space="0" w:color="auto"/>
        <w:bottom w:val="none" w:sz="0" w:space="0" w:color="auto"/>
        <w:right w:val="none" w:sz="0" w:space="0" w:color="auto"/>
      </w:divBdr>
      <w:divsChild>
        <w:div w:id="1092430537">
          <w:marLeft w:val="0"/>
          <w:marRight w:val="0"/>
          <w:marTop w:val="0"/>
          <w:marBottom w:val="0"/>
          <w:divBdr>
            <w:top w:val="none" w:sz="0" w:space="0" w:color="auto"/>
            <w:left w:val="none" w:sz="0" w:space="0" w:color="auto"/>
            <w:bottom w:val="none" w:sz="0" w:space="0" w:color="auto"/>
            <w:right w:val="none" w:sz="0" w:space="0" w:color="auto"/>
          </w:divBdr>
        </w:div>
      </w:divsChild>
    </w:div>
    <w:div w:id="71902916">
      <w:marLeft w:val="0"/>
      <w:marRight w:val="0"/>
      <w:marTop w:val="0"/>
      <w:marBottom w:val="200"/>
      <w:divBdr>
        <w:top w:val="none" w:sz="0" w:space="0" w:color="auto"/>
        <w:left w:val="none" w:sz="0" w:space="0" w:color="auto"/>
        <w:bottom w:val="none" w:sz="0" w:space="0" w:color="auto"/>
        <w:right w:val="none" w:sz="0" w:space="0" w:color="auto"/>
      </w:divBdr>
    </w:div>
    <w:div w:id="73624071">
      <w:marLeft w:val="0"/>
      <w:marRight w:val="0"/>
      <w:marTop w:val="0"/>
      <w:marBottom w:val="0"/>
      <w:divBdr>
        <w:top w:val="none" w:sz="0" w:space="0" w:color="auto"/>
        <w:left w:val="none" w:sz="0" w:space="0" w:color="auto"/>
        <w:bottom w:val="none" w:sz="0" w:space="0" w:color="auto"/>
        <w:right w:val="none" w:sz="0" w:space="0" w:color="auto"/>
      </w:divBdr>
      <w:divsChild>
        <w:div w:id="1739940240">
          <w:marLeft w:val="0"/>
          <w:marRight w:val="0"/>
          <w:marTop w:val="0"/>
          <w:marBottom w:val="0"/>
          <w:divBdr>
            <w:top w:val="none" w:sz="0" w:space="0" w:color="auto"/>
            <w:left w:val="none" w:sz="0" w:space="0" w:color="auto"/>
            <w:bottom w:val="none" w:sz="0" w:space="0" w:color="auto"/>
            <w:right w:val="none" w:sz="0" w:space="0" w:color="auto"/>
          </w:divBdr>
        </w:div>
      </w:divsChild>
    </w:div>
    <w:div w:id="73819157">
      <w:marLeft w:val="0"/>
      <w:marRight w:val="0"/>
      <w:marTop w:val="120"/>
      <w:marBottom w:val="0"/>
      <w:divBdr>
        <w:top w:val="none" w:sz="0" w:space="0" w:color="auto"/>
        <w:left w:val="none" w:sz="0" w:space="0" w:color="auto"/>
        <w:bottom w:val="none" w:sz="0" w:space="0" w:color="auto"/>
        <w:right w:val="none" w:sz="0" w:space="0" w:color="auto"/>
      </w:divBdr>
    </w:div>
    <w:div w:id="77018269">
      <w:marLeft w:val="0"/>
      <w:marRight w:val="0"/>
      <w:marTop w:val="0"/>
      <w:marBottom w:val="200"/>
      <w:divBdr>
        <w:top w:val="none" w:sz="0" w:space="0" w:color="auto"/>
        <w:left w:val="none" w:sz="0" w:space="0" w:color="auto"/>
        <w:bottom w:val="none" w:sz="0" w:space="0" w:color="auto"/>
        <w:right w:val="none" w:sz="0" w:space="0" w:color="auto"/>
      </w:divBdr>
    </w:div>
    <w:div w:id="83302964">
      <w:marLeft w:val="0"/>
      <w:marRight w:val="0"/>
      <w:marTop w:val="0"/>
      <w:marBottom w:val="0"/>
      <w:divBdr>
        <w:top w:val="none" w:sz="0" w:space="0" w:color="auto"/>
        <w:left w:val="none" w:sz="0" w:space="0" w:color="auto"/>
        <w:bottom w:val="none" w:sz="0" w:space="0" w:color="auto"/>
        <w:right w:val="none" w:sz="0" w:space="0" w:color="auto"/>
      </w:divBdr>
    </w:div>
    <w:div w:id="86001991">
      <w:marLeft w:val="0"/>
      <w:marRight w:val="0"/>
      <w:marTop w:val="0"/>
      <w:marBottom w:val="0"/>
      <w:divBdr>
        <w:top w:val="none" w:sz="0" w:space="0" w:color="auto"/>
        <w:left w:val="none" w:sz="0" w:space="0" w:color="auto"/>
        <w:bottom w:val="none" w:sz="0" w:space="0" w:color="auto"/>
        <w:right w:val="none" w:sz="0" w:space="0" w:color="auto"/>
      </w:divBdr>
    </w:div>
    <w:div w:id="88744963">
      <w:marLeft w:val="0"/>
      <w:marRight w:val="0"/>
      <w:marTop w:val="0"/>
      <w:marBottom w:val="0"/>
      <w:divBdr>
        <w:top w:val="none" w:sz="0" w:space="0" w:color="auto"/>
        <w:left w:val="none" w:sz="0" w:space="0" w:color="auto"/>
        <w:bottom w:val="none" w:sz="0" w:space="0" w:color="auto"/>
        <w:right w:val="none" w:sz="0" w:space="0" w:color="auto"/>
      </w:divBdr>
    </w:div>
    <w:div w:id="93550697">
      <w:marLeft w:val="0"/>
      <w:marRight w:val="0"/>
      <w:marTop w:val="0"/>
      <w:marBottom w:val="0"/>
      <w:divBdr>
        <w:top w:val="none" w:sz="0" w:space="0" w:color="auto"/>
        <w:left w:val="none" w:sz="0" w:space="0" w:color="auto"/>
        <w:bottom w:val="none" w:sz="0" w:space="0" w:color="auto"/>
        <w:right w:val="none" w:sz="0" w:space="0" w:color="auto"/>
      </w:divBdr>
      <w:divsChild>
        <w:div w:id="882986193">
          <w:marLeft w:val="0"/>
          <w:marRight w:val="0"/>
          <w:marTop w:val="0"/>
          <w:marBottom w:val="0"/>
          <w:divBdr>
            <w:top w:val="none" w:sz="0" w:space="0" w:color="auto"/>
            <w:left w:val="none" w:sz="0" w:space="0" w:color="auto"/>
            <w:bottom w:val="none" w:sz="0" w:space="0" w:color="auto"/>
            <w:right w:val="none" w:sz="0" w:space="0" w:color="auto"/>
          </w:divBdr>
        </w:div>
      </w:divsChild>
    </w:div>
    <w:div w:id="94401354">
      <w:marLeft w:val="0"/>
      <w:marRight w:val="0"/>
      <w:marTop w:val="0"/>
      <w:marBottom w:val="200"/>
      <w:divBdr>
        <w:top w:val="none" w:sz="0" w:space="0" w:color="auto"/>
        <w:left w:val="none" w:sz="0" w:space="0" w:color="auto"/>
        <w:bottom w:val="none" w:sz="0" w:space="0" w:color="auto"/>
        <w:right w:val="none" w:sz="0" w:space="0" w:color="auto"/>
      </w:divBdr>
    </w:div>
    <w:div w:id="109708673">
      <w:marLeft w:val="0"/>
      <w:marRight w:val="0"/>
      <w:marTop w:val="0"/>
      <w:marBottom w:val="0"/>
      <w:divBdr>
        <w:top w:val="none" w:sz="0" w:space="0" w:color="auto"/>
        <w:left w:val="none" w:sz="0" w:space="0" w:color="auto"/>
        <w:bottom w:val="none" w:sz="0" w:space="0" w:color="auto"/>
        <w:right w:val="none" w:sz="0" w:space="0" w:color="auto"/>
      </w:divBdr>
    </w:div>
    <w:div w:id="111826371">
      <w:marLeft w:val="0"/>
      <w:marRight w:val="0"/>
      <w:marTop w:val="0"/>
      <w:marBottom w:val="200"/>
      <w:divBdr>
        <w:top w:val="none" w:sz="0" w:space="0" w:color="auto"/>
        <w:left w:val="none" w:sz="0" w:space="0" w:color="auto"/>
        <w:bottom w:val="none" w:sz="0" w:space="0" w:color="auto"/>
        <w:right w:val="none" w:sz="0" w:space="0" w:color="auto"/>
      </w:divBdr>
    </w:div>
    <w:div w:id="115296776">
      <w:marLeft w:val="0"/>
      <w:marRight w:val="0"/>
      <w:marTop w:val="0"/>
      <w:marBottom w:val="200"/>
      <w:divBdr>
        <w:top w:val="none" w:sz="0" w:space="0" w:color="auto"/>
        <w:left w:val="none" w:sz="0" w:space="0" w:color="auto"/>
        <w:bottom w:val="none" w:sz="0" w:space="0" w:color="auto"/>
        <w:right w:val="none" w:sz="0" w:space="0" w:color="auto"/>
      </w:divBdr>
    </w:div>
    <w:div w:id="116800712">
      <w:marLeft w:val="0"/>
      <w:marRight w:val="0"/>
      <w:marTop w:val="0"/>
      <w:marBottom w:val="0"/>
      <w:divBdr>
        <w:top w:val="none" w:sz="0" w:space="0" w:color="auto"/>
        <w:left w:val="none" w:sz="0" w:space="0" w:color="auto"/>
        <w:bottom w:val="none" w:sz="0" w:space="0" w:color="auto"/>
        <w:right w:val="none" w:sz="0" w:space="0" w:color="auto"/>
      </w:divBdr>
      <w:divsChild>
        <w:div w:id="2064674710">
          <w:marLeft w:val="0"/>
          <w:marRight w:val="0"/>
          <w:marTop w:val="0"/>
          <w:marBottom w:val="0"/>
          <w:divBdr>
            <w:top w:val="none" w:sz="0" w:space="0" w:color="auto"/>
            <w:left w:val="none" w:sz="0" w:space="0" w:color="auto"/>
            <w:bottom w:val="none" w:sz="0" w:space="0" w:color="auto"/>
            <w:right w:val="none" w:sz="0" w:space="0" w:color="auto"/>
          </w:divBdr>
        </w:div>
      </w:divsChild>
    </w:div>
    <w:div w:id="118113124">
      <w:marLeft w:val="0"/>
      <w:marRight w:val="0"/>
      <w:marTop w:val="0"/>
      <w:marBottom w:val="200"/>
      <w:divBdr>
        <w:top w:val="none" w:sz="0" w:space="0" w:color="auto"/>
        <w:left w:val="none" w:sz="0" w:space="0" w:color="auto"/>
        <w:bottom w:val="none" w:sz="0" w:space="0" w:color="auto"/>
        <w:right w:val="none" w:sz="0" w:space="0" w:color="auto"/>
      </w:divBdr>
    </w:div>
    <w:div w:id="124861536">
      <w:marLeft w:val="0"/>
      <w:marRight w:val="0"/>
      <w:marTop w:val="180"/>
      <w:marBottom w:val="0"/>
      <w:divBdr>
        <w:top w:val="none" w:sz="0" w:space="0" w:color="auto"/>
        <w:left w:val="none" w:sz="0" w:space="0" w:color="auto"/>
        <w:bottom w:val="none" w:sz="0" w:space="0" w:color="auto"/>
        <w:right w:val="none" w:sz="0" w:space="0" w:color="auto"/>
      </w:divBdr>
    </w:div>
    <w:div w:id="131556493">
      <w:marLeft w:val="0"/>
      <w:marRight w:val="0"/>
      <w:marTop w:val="20"/>
      <w:marBottom w:val="0"/>
      <w:divBdr>
        <w:top w:val="none" w:sz="0" w:space="0" w:color="auto"/>
        <w:left w:val="none" w:sz="0" w:space="0" w:color="auto"/>
        <w:bottom w:val="none" w:sz="0" w:space="0" w:color="auto"/>
        <w:right w:val="none" w:sz="0" w:space="0" w:color="auto"/>
      </w:divBdr>
    </w:div>
    <w:div w:id="148404080">
      <w:marLeft w:val="0"/>
      <w:marRight w:val="0"/>
      <w:marTop w:val="0"/>
      <w:marBottom w:val="0"/>
      <w:divBdr>
        <w:top w:val="none" w:sz="0" w:space="0" w:color="auto"/>
        <w:left w:val="none" w:sz="0" w:space="0" w:color="auto"/>
        <w:bottom w:val="none" w:sz="0" w:space="0" w:color="auto"/>
        <w:right w:val="none" w:sz="0" w:space="0" w:color="auto"/>
      </w:divBdr>
    </w:div>
    <w:div w:id="154609327">
      <w:marLeft w:val="0"/>
      <w:marRight w:val="0"/>
      <w:marTop w:val="0"/>
      <w:marBottom w:val="200"/>
      <w:divBdr>
        <w:top w:val="none" w:sz="0" w:space="0" w:color="auto"/>
        <w:left w:val="none" w:sz="0" w:space="0" w:color="auto"/>
        <w:bottom w:val="none" w:sz="0" w:space="0" w:color="auto"/>
        <w:right w:val="none" w:sz="0" w:space="0" w:color="auto"/>
      </w:divBdr>
    </w:div>
    <w:div w:id="156310233">
      <w:marLeft w:val="0"/>
      <w:marRight w:val="0"/>
      <w:marTop w:val="0"/>
      <w:marBottom w:val="0"/>
      <w:divBdr>
        <w:top w:val="none" w:sz="0" w:space="0" w:color="auto"/>
        <w:left w:val="none" w:sz="0" w:space="0" w:color="auto"/>
        <w:bottom w:val="none" w:sz="0" w:space="0" w:color="auto"/>
        <w:right w:val="none" w:sz="0" w:space="0" w:color="auto"/>
      </w:divBdr>
    </w:div>
    <w:div w:id="161628252">
      <w:marLeft w:val="0"/>
      <w:marRight w:val="0"/>
      <w:marTop w:val="0"/>
      <w:marBottom w:val="0"/>
      <w:divBdr>
        <w:top w:val="none" w:sz="0" w:space="0" w:color="auto"/>
        <w:left w:val="none" w:sz="0" w:space="0" w:color="auto"/>
        <w:bottom w:val="none" w:sz="0" w:space="0" w:color="auto"/>
        <w:right w:val="none" w:sz="0" w:space="0" w:color="auto"/>
      </w:divBdr>
      <w:divsChild>
        <w:div w:id="814302883">
          <w:marLeft w:val="0"/>
          <w:marRight w:val="0"/>
          <w:marTop w:val="0"/>
          <w:marBottom w:val="0"/>
          <w:divBdr>
            <w:top w:val="none" w:sz="0" w:space="0" w:color="auto"/>
            <w:left w:val="none" w:sz="0" w:space="0" w:color="auto"/>
            <w:bottom w:val="none" w:sz="0" w:space="0" w:color="auto"/>
            <w:right w:val="none" w:sz="0" w:space="0" w:color="auto"/>
          </w:divBdr>
        </w:div>
      </w:divsChild>
    </w:div>
    <w:div w:id="172963918">
      <w:marLeft w:val="0"/>
      <w:marRight w:val="0"/>
      <w:marTop w:val="0"/>
      <w:marBottom w:val="0"/>
      <w:divBdr>
        <w:top w:val="none" w:sz="0" w:space="0" w:color="auto"/>
        <w:left w:val="none" w:sz="0" w:space="0" w:color="auto"/>
        <w:bottom w:val="none" w:sz="0" w:space="0" w:color="auto"/>
        <w:right w:val="none" w:sz="0" w:space="0" w:color="auto"/>
      </w:divBdr>
    </w:div>
    <w:div w:id="178395589">
      <w:marLeft w:val="0"/>
      <w:marRight w:val="0"/>
      <w:marTop w:val="100"/>
      <w:marBottom w:val="0"/>
      <w:divBdr>
        <w:top w:val="none" w:sz="0" w:space="0" w:color="auto"/>
        <w:left w:val="none" w:sz="0" w:space="0" w:color="auto"/>
        <w:bottom w:val="none" w:sz="0" w:space="0" w:color="auto"/>
        <w:right w:val="none" w:sz="0" w:space="0" w:color="auto"/>
      </w:divBdr>
    </w:div>
    <w:div w:id="194083005">
      <w:marLeft w:val="0"/>
      <w:marRight w:val="0"/>
      <w:marTop w:val="0"/>
      <w:marBottom w:val="0"/>
      <w:divBdr>
        <w:top w:val="none" w:sz="0" w:space="0" w:color="auto"/>
        <w:left w:val="none" w:sz="0" w:space="0" w:color="auto"/>
        <w:bottom w:val="none" w:sz="0" w:space="0" w:color="auto"/>
        <w:right w:val="none" w:sz="0" w:space="0" w:color="auto"/>
      </w:divBdr>
    </w:div>
    <w:div w:id="210698577">
      <w:marLeft w:val="0"/>
      <w:marRight w:val="0"/>
      <w:marTop w:val="200"/>
      <w:marBottom w:val="0"/>
      <w:divBdr>
        <w:top w:val="none" w:sz="0" w:space="0" w:color="auto"/>
        <w:left w:val="none" w:sz="0" w:space="0" w:color="auto"/>
        <w:bottom w:val="none" w:sz="0" w:space="0" w:color="auto"/>
        <w:right w:val="none" w:sz="0" w:space="0" w:color="auto"/>
      </w:divBdr>
    </w:div>
    <w:div w:id="212622696">
      <w:marLeft w:val="0"/>
      <w:marRight w:val="0"/>
      <w:marTop w:val="0"/>
      <w:marBottom w:val="120"/>
      <w:divBdr>
        <w:top w:val="none" w:sz="0" w:space="0" w:color="auto"/>
        <w:left w:val="none" w:sz="0" w:space="0" w:color="auto"/>
        <w:bottom w:val="none" w:sz="0" w:space="0" w:color="auto"/>
        <w:right w:val="none" w:sz="0" w:space="0" w:color="auto"/>
      </w:divBdr>
    </w:div>
    <w:div w:id="216281084">
      <w:marLeft w:val="0"/>
      <w:marRight w:val="0"/>
      <w:marTop w:val="0"/>
      <w:marBottom w:val="200"/>
      <w:divBdr>
        <w:top w:val="none" w:sz="0" w:space="0" w:color="auto"/>
        <w:left w:val="none" w:sz="0" w:space="0" w:color="auto"/>
        <w:bottom w:val="none" w:sz="0" w:space="0" w:color="auto"/>
        <w:right w:val="none" w:sz="0" w:space="0" w:color="auto"/>
      </w:divBdr>
    </w:div>
    <w:div w:id="218442033">
      <w:marLeft w:val="0"/>
      <w:marRight w:val="0"/>
      <w:marTop w:val="120"/>
      <w:marBottom w:val="0"/>
      <w:divBdr>
        <w:top w:val="none" w:sz="0" w:space="0" w:color="auto"/>
        <w:left w:val="none" w:sz="0" w:space="0" w:color="auto"/>
        <w:bottom w:val="none" w:sz="0" w:space="0" w:color="auto"/>
        <w:right w:val="none" w:sz="0" w:space="0" w:color="auto"/>
      </w:divBdr>
    </w:div>
    <w:div w:id="218563761">
      <w:marLeft w:val="0"/>
      <w:marRight w:val="0"/>
      <w:marTop w:val="0"/>
      <w:marBottom w:val="0"/>
      <w:divBdr>
        <w:top w:val="none" w:sz="0" w:space="0" w:color="auto"/>
        <w:left w:val="none" w:sz="0" w:space="0" w:color="auto"/>
        <w:bottom w:val="none" w:sz="0" w:space="0" w:color="auto"/>
        <w:right w:val="none" w:sz="0" w:space="0" w:color="auto"/>
      </w:divBdr>
      <w:divsChild>
        <w:div w:id="1393819745">
          <w:marLeft w:val="0"/>
          <w:marRight w:val="0"/>
          <w:marTop w:val="0"/>
          <w:marBottom w:val="0"/>
          <w:divBdr>
            <w:top w:val="none" w:sz="0" w:space="0" w:color="auto"/>
            <w:left w:val="none" w:sz="0" w:space="0" w:color="auto"/>
            <w:bottom w:val="none" w:sz="0" w:space="0" w:color="auto"/>
            <w:right w:val="none" w:sz="0" w:space="0" w:color="auto"/>
          </w:divBdr>
        </w:div>
      </w:divsChild>
    </w:div>
    <w:div w:id="218638417">
      <w:marLeft w:val="0"/>
      <w:marRight w:val="0"/>
      <w:marTop w:val="0"/>
      <w:marBottom w:val="0"/>
      <w:divBdr>
        <w:top w:val="none" w:sz="0" w:space="0" w:color="auto"/>
        <w:left w:val="none" w:sz="0" w:space="0" w:color="auto"/>
        <w:bottom w:val="none" w:sz="0" w:space="0" w:color="auto"/>
        <w:right w:val="none" w:sz="0" w:space="0" w:color="auto"/>
      </w:divBdr>
    </w:div>
    <w:div w:id="220677681">
      <w:marLeft w:val="0"/>
      <w:marRight w:val="0"/>
      <w:marTop w:val="0"/>
      <w:marBottom w:val="200"/>
      <w:divBdr>
        <w:top w:val="none" w:sz="0" w:space="0" w:color="auto"/>
        <w:left w:val="none" w:sz="0" w:space="0" w:color="auto"/>
        <w:bottom w:val="none" w:sz="0" w:space="0" w:color="auto"/>
        <w:right w:val="none" w:sz="0" w:space="0" w:color="auto"/>
      </w:divBdr>
    </w:div>
    <w:div w:id="222329000">
      <w:marLeft w:val="0"/>
      <w:marRight w:val="0"/>
      <w:marTop w:val="0"/>
      <w:marBottom w:val="0"/>
      <w:divBdr>
        <w:top w:val="none" w:sz="0" w:space="0" w:color="auto"/>
        <w:left w:val="none" w:sz="0" w:space="0" w:color="auto"/>
        <w:bottom w:val="none" w:sz="0" w:space="0" w:color="auto"/>
        <w:right w:val="none" w:sz="0" w:space="0" w:color="auto"/>
      </w:divBdr>
    </w:div>
    <w:div w:id="224488128">
      <w:marLeft w:val="0"/>
      <w:marRight w:val="0"/>
      <w:marTop w:val="0"/>
      <w:marBottom w:val="0"/>
      <w:divBdr>
        <w:top w:val="none" w:sz="0" w:space="0" w:color="auto"/>
        <w:left w:val="none" w:sz="0" w:space="0" w:color="auto"/>
        <w:bottom w:val="none" w:sz="0" w:space="0" w:color="auto"/>
        <w:right w:val="none" w:sz="0" w:space="0" w:color="auto"/>
      </w:divBdr>
      <w:divsChild>
        <w:div w:id="1500805736">
          <w:marLeft w:val="0"/>
          <w:marRight w:val="0"/>
          <w:marTop w:val="0"/>
          <w:marBottom w:val="0"/>
          <w:divBdr>
            <w:top w:val="none" w:sz="0" w:space="0" w:color="auto"/>
            <w:left w:val="none" w:sz="0" w:space="0" w:color="auto"/>
            <w:bottom w:val="none" w:sz="0" w:space="0" w:color="auto"/>
            <w:right w:val="none" w:sz="0" w:space="0" w:color="auto"/>
          </w:divBdr>
        </w:div>
        <w:div w:id="411853217">
          <w:marLeft w:val="0"/>
          <w:marRight w:val="0"/>
          <w:marTop w:val="180"/>
          <w:marBottom w:val="0"/>
          <w:divBdr>
            <w:top w:val="none" w:sz="0" w:space="0" w:color="auto"/>
            <w:left w:val="none" w:sz="0" w:space="0" w:color="auto"/>
            <w:bottom w:val="none" w:sz="0" w:space="0" w:color="auto"/>
            <w:right w:val="none" w:sz="0" w:space="0" w:color="auto"/>
          </w:divBdr>
        </w:div>
      </w:divsChild>
    </w:div>
    <w:div w:id="230585876">
      <w:marLeft w:val="0"/>
      <w:marRight w:val="0"/>
      <w:marTop w:val="0"/>
      <w:marBottom w:val="200"/>
      <w:divBdr>
        <w:top w:val="none" w:sz="0" w:space="0" w:color="auto"/>
        <w:left w:val="none" w:sz="0" w:space="0" w:color="auto"/>
        <w:bottom w:val="none" w:sz="0" w:space="0" w:color="auto"/>
        <w:right w:val="none" w:sz="0" w:space="0" w:color="auto"/>
      </w:divBdr>
    </w:div>
    <w:div w:id="230894759">
      <w:marLeft w:val="0"/>
      <w:marRight w:val="0"/>
      <w:marTop w:val="0"/>
      <w:marBottom w:val="0"/>
      <w:divBdr>
        <w:top w:val="none" w:sz="0" w:space="0" w:color="auto"/>
        <w:left w:val="none" w:sz="0" w:space="0" w:color="auto"/>
        <w:bottom w:val="none" w:sz="0" w:space="0" w:color="auto"/>
        <w:right w:val="none" w:sz="0" w:space="0" w:color="auto"/>
      </w:divBdr>
      <w:divsChild>
        <w:div w:id="374544999">
          <w:marLeft w:val="0"/>
          <w:marRight w:val="0"/>
          <w:marTop w:val="0"/>
          <w:marBottom w:val="0"/>
          <w:divBdr>
            <w:top w:val="none" w:sz="0" w:space="0" w:color="auto"/>
            <w:left w:val="none" w:sz="0" w:space="0" w:color="auto"/>
            <w:bottom w:val="none" w:sz="0" w:space="0" w:color="auto"/>
            <w:right w:val="none" w:sz="0" w:space="0" w:color="auto"/>
          </w:divBdr>
        </w:div>
        <w:div w:id="1900048782">
          <w:marLeft w:val="0"/>
          <w:marRight w:val="0"/>
          <w:marTop w:val="180"/>
          <w:marBottom w:val="0"/>
          <w:divBdr>
            <w:top w:val="none" w:sz="0" w:space="0" w:color="auto"/>
            <w:left w:val="none" w:sz="0" w:space="0" w:color="auto"/>
            <w:bottom w:val="none" w:sz="0" w:space="0" w:color="auto"/>
            <w:right w:val="none" w:sz="0" w:space="0" w:color="auto"/>
          </w:divBdr>
        </w:div>
      </w:divsChild>
    </w:div>
    <w:div w:id="235363556">
      <w:marLeft w:val="0"/>
      <w:marRight w:val="0"/>
      <w:marTop w:val="0"/>
      <w:marBottom w:val="0"/>
      <w:divBdr>
        <w:top w:val="none" w:sz="0" w:space="0" w:color="auto"/>
        <w:left w:val="none" w:sz="0" w:space="0" w:color="auto"/>
        <w:bottom w:val="none" w:sz="0" w:space="0" w:color="auto"/>
        <w:right w:val="none" w:sz="0" w:space="0" w:color="auto"/>
      </w:divBdr>
      <w:divsChild>
        <w:div w:id="1915043207">
          <w:marLeft w:val="0"/>
          <w:marRight w:val="0"/>
          <w:marTop w:val="0"/>
          <w:marBottom w:val="0"/>
          <w:divBdr>
            <w:top w:val="none" w:sz="0" w:space="0" w:color="auto"/>
            <w:left w:val="none" w:sz="0" w:space="0" w:color="auto"/>
            <w:bottom w:val="none" w:sz="0" w:space="0" w:color="auto"/>
            <w:right w:val="none" w:sz="0" w:space="0" w:color="auto"/>
          </w:divBdr>
        </w:div>
      </w:divsChild>
    </w:div>
    <w:div w:id="236131075">
      <w:marLeft w:val="0"/>
      <w:marRight w:val="0"/>
      <w:marTop w:val="0"/>
      <w:marBottom w:val="200"/>
      <w:divBdr>
        <w:top w:val="none" w:sz="0" w:space="0" w:color="auto"/>
        <w:left w:val="none" w:sz="0" w:space="0" w:color="auto"/>
        <w:bottom w:val="none" w:sz="0" w:space="0" w:color="auto"/>
        <w:right w:val="none" w:sz="0" w:space="0" w:color="auto"/>
      </w:divBdr>
    </w:div>
    <w:div w:id="237906356">
      <w:marLeft w:val="0"/>
      <w:marRight w:val="0"/>
      <w:marTop w:val="0"/>
      <w:marBottom w:val="0"/>
      <w:divBdr>
        <w:top w:val="none" w:sz="0" w:space="0" w:color="auto"/>
        <w:left w:val="none" w:sz="0" w:space="0" w:color="auto"/>
        <w:bottom w:val="none" w:sz="0" w:space="0" w:color="auto"/>
        <w:right w:val="none" w:sz="0" w:space="0" w:color="auto"/>
      </w:divBdr>
      <w:divsChild>
        <w:div w:id="1931621230">
          <w:marLeft w:val="0"/>
          <w:marRight w:val="0"/>
          <w:marTop w:val="0"/>
          <w:marBottom w:val="0"/>
          <w:divBdr>
            <w:top w:val="none" w:sz="0" w:space="0" w:color="auto"/>
            <w:left w:val="none" w:sz="0" w:space="0" w:color="auto"/>
            <w:bottom w:val="none" w:sz="0" w:space="0" w:color="auto"/>
            <w:right w:val="none" w:sz="0" w:space="0" w:color="auto"/>
          </w:divBdr>
        </w:div>
      </w:divsChild>
    </w:div>
    <w:div w:id="240992812">
      <w:marLeft w:val="0"/>
      <w:marRight w:val="0"/>
      <w:marTop w:val="0"/>
      <w:marBottom w:val="0"/>
      <w:divBdr>
        <w:top w:val="none" w:sz="0" w:space="0" w:color="auto"/>
        <w:left w:val="none" w:sz="0" w:space="0" w:color="auto"/>
        <w:bottom w:val="none" w:sz="0" w:space="0" w:color="auto"/>
        <w:right w:val="none" w:sz="0" w:space="0" w:color="auto"/>
      </w:divBdr>
    </w:div>
    <w:div w:id="242422359">
      <w:marLeft w:val="0"/>
      <w:marRight w:val="0"/>
      <w:marTop w:val="0"/>
      <w:marBottom w:val="200"/>
      <w:divBdr>
        <w:top w:val="none" w:sz="0" w:space="0" w:color="auto"/>
        <w:left w:val="none" w:sz="0" w:space="0" w:color="auto"/>
        <w:bottom w:val="none" w:sz="0" w:space="0" w:color="auto"/>
        <w:right w:val="none" w:sz="0" w:space="0" w:color="auto"/>
      </w:divBdr>
    </w:div>
    <w:div w:id="252663391">
      <w:marLeft w:val="0"/>
      <w:marRight w:val="0"/>
      <w:marTop w:val="0"/>
      <w:marBottom w:val="0"/>
      <w:divBdr>
        <w:top w:val="none" w:sz="0" w:space="0" w:color="auto"/>
        <w:left w:val="none" w:sz="0" w:space="0" w:color="auto"/>
        <w:bottom w:val="none" w:sz="0" w:space="0" w:color="auto"/>
        <w:right w:val="none" w:sz="0" w:space="0" w:color="auto"/>
      </w:divBdr>
    </w:div>
    <w:div w:id="272399007">
      <w:marLeft w:val="0"/>
      <w:marRight w:val="0"/>
      <w:marTop w:val="0"/>
      <w:marBottom w:val="0"/>
      <w:divBdr>
        <w:top w:val="none" w:sz="0" w:space="0" w:color="auto"/>
        <w:left w:val="none" w:sz="0" w:space="0" w:color="auto"/>
        <w:bottom w:val="none" w:sz="0" w:space="0" w:color="auto"/>
        <w:right w:val="none" w:sz="0" w:space="0" w:color="auto"/>
      </w:divBdr>
      <w:divsChild>
        <w:div w:id="377558011">
          <w:marLeft w:val="0"/>
          <w:marRight w:val="0"/>
          <w:marTop w:val="0"/>
          <w:marBottom w:val="0"/>
          <w:divBdr>
            <w:top w:val="none" w:sz="0" w:space="0" w:color="auto"/>
            <w:left w:val="none" w:sz="0" w:space="0" w:color="auto"/>
            <w:bottom w:val="none" w:sz="0" w:space="0" w:color="auto"/>
            <w:right w:val="none" w:sz="0" w:space="0" w:color="auto"/>
          </w:divBdr>
        </w:div>
      </w:divsChild>
    </w:div>
    <w:div w:id="303698454">
      <w:marLeft w:val="0"/>
      <w:marRight w:val="0"/>
      <w:marTop w:val="0"/>
      <w:marBottom w:val="200"/>
      <w:divBdr>
        <w:top w:val="none" w:sz="0" w:space="0" w:color="auto"/>
        <w:left w:val="none" w:sz="0" w:space="0" w:color="auto"/>
        <w:bottom w:val="none" w:sz="0" w:space="0" w:color="auto"/>
        <w:right w:val="none" w:sz="0" w:space="0" w:color="auto"/>
      </w:divBdr>
    </w:div>
    <w:div w:id="311839516">
      <w:marLeft w:val="0"/>
      <w:marRight w:val="0"/>
      <w:marTop w:val="0"/>
      <w:marBottom w:val="0"/>
      <w:divBdr>
        <w:top w:val="none" w:sz="0" w:space="0" w:color="auto"/>
        <w:left w:val="none" w:sz="0" w:space="0" w:color="auto"/>
        <w:bottom w:val="none" w:sz="0" w:space="0" w:color="auto"/>
        <w:right w:val="none" w:sz="0" w:space="0" w:color="auto"/>
      </w:divBdr>
      <w:divsChild>
        <w:div w:id="2089157042">
          <w:marLeft w:val="0"/>
          <w:marRight w:val="0"/>
          <w:marTop w:val="0"/>
          <w:marBottom w:val="0"/>
          <w:divBdr>
            <w:top w:val="none" w:sz="0" w:space="0" w:color="auto"/>
            <w:left w:val="none" w:sz="0" w:space="0" w:color="auto"/>
            <w:bottom w:val="none" w:sz="0" w:space="0" w:color="auto"/>
            <w:right w:val="none" w:sz="0" w:space="0" w:color="auto"/>
          </w:divBdr>
        </w:div>
        <w:div w:id="193929876">
          <w:marLeft w:val="0"/>
          <w:marRight w:val="0"/>
          <w:marTop w:val="180"/>
          <w:marBottom w:val="0"/>
          <w:divBdr>
            <w:top w:val="none" w:sz="0" w:space="0" w:color="auto"/>
            <w:left w:val="none" w:sz="0" w:space="0" w:color="auto"/>
            <w:bottom w:val="none" w:sz="0" w:space="0" w:color="auto"/>
            <w:right w:val="none" w:sz="0" w:space="0" w:color="auto"/>
          </w:divBdr>
        </w:div>
      </w:divsChild>
    </w:div>
    <w:div w:id="320084472">
      <w:marLeft w:val="0"/>
      <w:marRight w:val="0"/>
      <w:marTop w:val="0"/>
      <w:marBottom w:val="0"/>
      <w:divBdr>
        <w:top w:val="none" w:sz="0" w:space="0" w:color="auto"/>
        <w:left w:val="none" w:sz="0" w:space="0" w:color="auto"/>
        <w:bottom w:val="none" w:sz="0" w:space="0" w:color="auto"/>
        <w:right w:val="none" w:sz="0" w:space="0" w:color="auto"/>
      </w:divBdr>
      <w:divsChild>
        <w:div w:id="902061353">
          <w:marLeft w:val="0"/>
          <w:marRight w:val="0"/>
          <w:marTop w:val="0"/>
          <w:marBottom w:val="0"/>
          <w:divBdr>
            <w:top w:val="none" w:sz="0" w:space="0" w:color="auto"/>
            <w:left w:val="none" w:sz="0" w:space="0" w:color="auto"/>
            <w:bottom w:val="none" w:sz="0" w:space="0" w:color="auto"/>
            <w:right w:val="none" w:sz="0" w:space="0" w:color="auto"/>
          </w:divBdr>
        </w:div>
      </w:divsChild>
    </w:div>
    <w:div w:id="320740154">
      <w:marLeft w:val="0"/>
      <w:marRight w:val="0"/>
      <w:marTop w:val="200"/>
      <w:marBottom w:val="0"/>
      <w:divBdr>
        <w:top w:val="none" w:sz="0" w:space="0" w:color="auto"/>
        <w:left w:val="none" w:sz="0" w:space="0" w:color="auto"/>
        <w:bottom w:val="none" w:sz="0" w:space="0" w:color="auto"/>
        <w:right w:val="none" w:sz="0" w:space="0" w:color="auto"/>
      </w:divBdr>
    </w:div>
    <w:div w:id="324480109">
      <w:marLeft w:val="0"/>
      <w:marRight w:val="0"/>
      <w:marTop w:val="0"/>
      <w:marBottom w:val="200"/>
      <w:divBdr>
        <w:top w:val="none" w:sz="0" w:space="0" w:color="auto"/>
        <w:left w:val="none" w:sz="0" w:space="0" w:color="auto"/>
        <w:bottom w:val="none" w:sz="0" w:space="0" w:color="auto"/>
        <w:right w:val="none" w:sz="0" w:space="0" w:color="auto"/>
      </w:divBdr>
    </w:div>
    <w:div w:id="326981025">
      <w:marLeft w:val="0"/>
      <w:marRight w:val="0"/>
      <w:marTop w:val="0"/>
      <w:marBottom w:val="0"/>
      <w:divBdr>
        <w:top w:val="none" w:sz="0" w:space="0" w:color="auto"/>
        <w:left w:val="none" w:sz="0" w:space="0" w:color="auto"/>
        <w:bottom w:val="none" w:sz="0" w:space="0" w:color="auto"/>
        <w:right w:val="none" w:sz="0" w:space="0" w:color="auto"/>
      </w:divBdr>
      <w:divsChild>
        <w:div w:id="1887835121">
          <w:marLeft w:val="0"/>
          <w:marRight w:val="0"/>
          <w:marTop w:val="0"/>
          <w:marBottom w:val="0"/>
          <w:divBdr>
            <w:top w:val="none" w:sz="0" w:space="0" w:color="auto"/>
            <w:left w:val="none" w:sz="0" w:space="0" w:color="auto"/>
            <w:bottom w:val="none" w:sz="0" w:space="0" w:color="auto"/>
            <w:right w:val="none" w:sz="0" w:space="0" w:color="auto"/>
          </w:divBdr>
        </w:div>
      </w:divsChild>
    </w:div>
    <w:div w:id="337463624">
      <w:marLeft w:val="0"/>
      <w:marRight w:val="0"/>
      <w:marTop w:val="0"/>
      <w:marBottom w:val="200"/>
      <w:divBdr>
        <w:top w:val="none" w:sz="0" w:space="0" w:color="auto"/>
        <w:left w:val="none" w:sz="0" w:space="0" w:color="auto"/>
        <w:bottom w:val="none" w:sz="0" w:space="0" w:color="auto"/>
        <w:right w:val="none" w:sz="0" w:space="0" w:color="auto"/>
      </w:divBdr>
    </w:div>
    <w:div w:id="341124249">
      <w:marLeft w:val="0"/>
      <w:marRight w:val="0"/>
      <w:marTop w:val="100"/>
      <w:marBottom w:val="0"/>
      <w:divBdr>
        <w:top w:val="none" w:sz="0" w:space="0" w:color="auto"/>
        <w:left w:val="none" w:sz="0" w:space="0" w:color="auto"/>
        <w:bottom w:val="none" w:sz="0" w:space="0" w:color="auto"/>
        <w:right w:val="none" w:sz="0" w:space="0" w:color="auto"/>
      </w:divBdr>
    </w:div>
    <w:div w:id="344602348">
      <w:marLeft w:val="0"/>
      <w:marRight w:val="0"/>
      <w:marTop w:val="0"/>
      <w:marBottom w:val="0"/>
      <w:divBdr>
        <w:top w:val="none" w:sz="0" w:space="0" w:color="auto"/>
        <w:left w:val="none" w:sz="0" w:space="0" w:color="auto"/>
        <w:bottom w:val="none" w:sz="0" w:space="0" w:color="auto"/>
        <w:right w:val="none" w:sz="0" w:space="0" w:color="auto"/>
      </w:divBdr>
    </w:div>
    <w:div w:id="345593714">
      <w:marLeft w:val="0"/>
      <w:marRight w:val="0"/>
      <w:marTop w:val="0"/>
      <w:marBottom w:val="200"/>
      <w:divBdr>
        <w:top w:val="none" w:sz="0" w:space="0" w:color="auto"/>
        <w:left w:val="none" w:sz="0" w:space="0" w:color="auto"/>
        <w:bottom w:val="none" w:sz="0" w:space="0" w:color="auto"/>
        <w:right w:val="none" w:sz="0" w:space="0" w:color="auto"/>
      </w:divBdr>
    </w:div>
    <w:div w:id="351303007">
      <w:marLeft w:val="0"/>
      <w:marRight w:val="0"/>
      <w:marTop w:val="0"/>
      <w:marBottom w:val="200"/>
      <w:divBdr>
        <w:top w:val="none" w:sz="0" w:space="0" w:color="auto"/>
        <w:left w:val="none" w:sz="0" w:space="0" w:color="auto"/>
        <w:bottom w:val="none" w:sz="0" w:space="0" w:color="auto"/>
        <w:right w:val="none" w:sz="0" w:space="0" w:color="auto"/>
      </w:divBdr>
    </w:div>
    <w:div w:id="356546276">
      <w:marLeft w:val="0"/>
      <w:marRight w:val="0"/>
      <w:marTop w:val="0"/>
      <w:marBottom w:val="0"/>
      <w:divBdr>
        <w:top w:val="none" w:sz="0" w:space="0" w:color="auto"/>
        <w:left w:val="none" w:sz="0" w:space="0" w:color="auto"/>
        <w:bottom w:val="none" w:sz="0" w:space="0" w:color="auto"/>
        <w:right w:val="none" w:sz="0" w:space="0" w:color="auto"/>
      </w:divBdr>
    </w:div>
    <w:div w:id="364138569">
      <w:marLeft w:val="0"/>
      <w:marRight w:val="0"/>
      <w:marTop w:val="0"/>
      <w:marBottom w:val="0"/>
      <w:divBdr>
        <w:top w:val="none" w:sz="0" w:space="0" w:color="auto"/>
        <w:left w:val="none" w:sz="0" w:space="0" w:color="auto"/>
        <w:bottom w:val="none" w:sz="0" w:space="0" w:color="auto"/>
        <w:right w:val="none" w:sz="0" w:space="0" w:color="auto"/>
      </w:divBdr>
      <w:divsChild>
        <w:div w:id="2119912474">
          <w:marLeft w:val="0"/>
          <w:marRight w:val="0"/>
          <w:marTop w:val="0"/>
          <w:marBottom w:val="0"/>
          <w:divBdr>
            <w:top w:val="none" w:sz="0" w:space="0" w:color="auto"/>
            <w:left w:val="none" w:sz="0" w:space="0" w:color="auto"/>
            <w:bottom w:val="none" w:sz="0" w:space="0" w:color="auto"/>
            <w:right w:val="none" w:sz="0" w:space="0" w:color="auto"/>
          </w:divBdr>
        </w:div>
      </w:divsChild>
    </w:div>
    <w:div w:id="365520344">
      <w:marLeft w:val="0"/>
      <w:marRight w:val="0"/>
      <w:marTop w:val="0"/>
      <w:marBottom w:val="0"/>
      <w:divBdr>
        <w:top w:val="none" w:sz="0" w:space="0" w:color="auto"/>
        <w:left w:val="none" w:sz="0" w:space="0" w:color="auto"/>
        <w:bottom w:val="none" w:sz="0" w:space="0" w:color="auto"/>
        <w:right w:val="none" w:sz="0" w:space="0" w:color="auto"/>
      </w:divBdr>
    </w:div>
    <w:div w:id="365837775">
      <w:marLeft w:val="0"/>
      <w:marRight w:val="0"/>
      <w:marTop w:val="0"/>
      <w:marBottom w:val="0"/>
      <w:divBdr>
        <w:top w:val="none" w:sz="0" w:space="0" w:color="auto"/>
        <w:left w:val="none" w:sz="0" w:space="0" w:color="auto"/>
        <w:bottom w:val="none" w:sz="0" w:space="0" w:color="auto"/>
        <w:right w:val="none" w:sz="0" w:space="0" w:color="auto"/>
      </w:divBdr>
      <w:divsChild>
        <w:div w:id="1192108628">
          <w:marLeft w:val="0"/>
          <w:marRight w:val="0"/>
          <w:marTop w:val="0"/>
          <w:marBottom w:val="0"/>
          <w:divBdr>
            <w:top w:val="none" w:sz="0" w:space="0" w:color="auto"/>
            <w:left w:val="none" w:sz="0" w:space="0" w:color="auto"/>
            <w:bottom w:val="none" w:sz="0" w:space="0" w:color="auto"/>
            <w:right w:val="none" w:sz="0" w:space="0" w:color="auto"/>
          </w:divBdr>
        </w:div>
      </w:divsChild>
    </w:div>
    <w:div w:id="367805570">
      <w:marLeft w:val="0"/>
      <w:marRight w:val="0"/>
      <w:marTop w:val="0"/>
      <w:marBottom w:val="0"/>
      <w:divBdr>
        <w:top w:val="none" w:sz="0" w:space="0" w:color="auto"/>
        <w:left w:val="none" w:sz="0" w:space="0" w:color="auto"/>
        <w:bottom w:val="none" w:sz="0" w:space="0" w:color="auto"/>
        <w:right w:val="none" w:sz="0" w:space="0" w:color="auto"/>
      </w:divBdr>
    </w:div>
    <w:div w:id="375667085">
      <w:marLeft w:val="0"/>
      <w:marRight w:val="0"/>
      <w:marTop w:val="0"/>
      <w:marBottom w:val="60"/>
      <w:divBdr>
        <w:top w:val="none" w:sz="0" w:space="0" w:color="auto"/>
        <w:left w:val="none" w:sz="0" w:space="0" w:color="auto"/>
        <w:bottom w:val="none" w:sz="0" w:space="0" w:color="auto"/>
        <w:right w:val="none" w:sz="0" w:space="0" w:color="auto"/>
      </w:divBdr>
    </w:div>
    <w:div w:id="376202378">
      <w:marLeft w:val="0"/>
      <w:marRight w:val="0"/>
      <w:marTop w:val="0"/>
      <w:marBottom w:val="0"/>
      <w:divBdr>
        <w:top w:val="none" w:sz="0" w:space="0" w:color="auto"/>
        <w:left w:val="none" w:sz="0" w:space="0" w:color="auto"/>
        <w:bottom w:val="none" w:sz="0" w:space="0" w:color="auto"/>
        <w:right w:val="none" w:sz="0" w:space="0" w:color="auto"/>
      </w:divBdr>
      <w:divsChild>
        <w:div w:id="302932816">
          <w:marLeft w:val="0"/>
          <w:marRight w:val="0"/>
          <w:marTop w:val="0"/>
          <w:marBottom w:val="0"/>
          <w:divBdr>
            <w:top w:val="none" w:sz="0" w:space="0" w:color="auto"/>
            <w:left w:val="none" w:sz="0" w:space="0" w:color="auto"/>
            <w:bottom w:val="none" w:sz="0" w:space="0" w:color="auto"/>
            <w:right w:val="none" w:sz="0" w:space="0" w:color="auto"/>
          </w:divBdr>
        </w:div>
      </w:divsChild>
    </w:div>
    <w:div w:id="384835194">
      <w:marLeft w:val="0"/>
      <w:marRight w:val="0"/>
      <w:marTop w:val="0"/>
      <w:marBottom w:val="200"/>
      <w:divBdr>
        <w:top w:val="none" w:sz="0" w:space="0" w:color="auto"/>
        <w:left w:val="none" w:sz="0" w:space="0" w:color="auto"/>
        <w:bottom w:val="none" w:sz="0" w:space="0" w:color="auto"/>
        <w:right w:val="none" w:sz="0" w:space="0" w:color="auto"/>
      </w:divBdr>
    </w:div>
    <w:div w:id="384990258">
      <w:marLeft w:val="0"/>
      <w:marRight w:val="0"/>
      <w:marTop w:val="0"/>
      <w:marBottom w:val="0"/>
      <w:divBdr>
        <w:top w:val="none" w:sz="0" w:space="0" w:color="auto"/>
        <w:left w:val="none" w:sz="0" w:space="0" w:color="auto"/>
        <w:bottom w:val="none" w:sz="0" w:space="0" w:color="auto"/>
        <w:right w:val="none" w:sz="0" w:space="0" w:color="auto"/>
      </w:divBdr>
      <w:divsChild>
        <w:div w:id="477724445">
          <w:marLeft w:val="0"/>
          <w:marRight w:val="0"/>
          <w:marTop w:val="0"/>
          <w:marBottom w:val="0"/>
          <w:divBdr>
            <w:top w:val="none" w:sz="0" w:space="0" w:color="auto"/>
            <w:left w:val="none" w:sz="0" w:space="0" w:color="auto"/>
            <w:bottom w:val="none" w:sz="0" w:space="0" w:color="auto"/>
            <w:right w:val="none" w:sz="0" w:space="0" w:color="auto"/>
          </w:divBdr>
        </w:div>
      </w:divsChild>
    </w:div>
    <w:div w:id="386152699">
      <w:marLeft w:val="0"/>
      <w:marRight w:val="0"/>
      <w:marTop w:val="0"/>
      <w:marBottom w:val="200"/>
      <w:divBdr>
        <w:top w:val="none" w:sz="0" w:space="0" w:color="auto"/>
        <w:left w:val="none" w:sz="0" w:space="0" w:color="auto"/>
        <w:bottom w:val="none" w:sz="0" w:space="0" w:color="auto"/>
        <w:right w:val="none" w:sz="0" w:space="0" w:color="auto"/>
      </w:divBdr>
    </w:div>
    <w:div w:id="394014297">
      <w:marLeft w:val="0"/>
      <w:marRight w:val="0"/>
      <w:marTop w:val="0"/>
      <w:marBottom w:val="200"/>
      <w:divBdr>
        <w:top w:val="none" w:sz="0" w:space="0" w:color="auto"/>
        <w:left w:val="none" w:sz="0" w:space="0" w:color="auto"/>
        <w:bottom w:val="none" w:sz="0" w:space="0" w:color="auto"/>
        <w:right w:val="none" w:sz="0" w:space="0" w:color="auto"/>
      </w:divBdr>
    </w:div>
    <w:div w:id="394158933">
      <w:marLeft w:val="0"/>
      <w:marRight w:val="0"/>
      <w:marTop w:val="0"/>
      <w:marBottom w:val="60"/>
      <w:divBdr>
        <w:top w:val="none" w:sz="0" w:space="0" w:color="auto"/>
        <w:left w:val="none" w:sz="0" w:space="0" w:color="auto"/>
        <w:bottom w:val="none" w:sz="0" w:space="0" w:color="auto"/>
        <w:right w:val="none" w:sz="0" w:space="0" w:color="auto"/>
      </w:divBdr>
    </w:div>
    <w:div w:id="396055367">
      <w:marLeft w:val="0"/>
      <w:marRight w:val="0"/>
      <w:marTop w:val="0"/>
      <w:marBottom w:val="200"/>
      <w:divBdr>
        <w:top w:val="none" w:sz="0" w:space="0" w:color="auto"/>
        <w:left w:val="none" w:sz="0" w:space="0" w:color="auto"/>
        <w:bottom w:val="none" w:sz="0" w:space="0" w:color="auto"/>
        <w:right w:val="none" w:sz="0" w:space="0" w:color="auto"/>
      </w:divBdr>
    </w:div>
    <w:div w:id="397633548">
      <w:marLeft w:val="0"/>
      <w:marRight w:val="0"/>
      <w:marTop w:val="100"/>
      <w:marBottom w:val="0"/>
      <w:divBdr>
        <w:top w:val="none" w:sz="0" w:space="0" w:color="auto"/>
        <w:left w:val="none" w:sz="0" w:space="0" w:color="auto"/>
        <w:bottom w:val="none" w:sz="0" w:space="0" w:color="auto"/>
        <w:right w:val="none" w:sz="0" w:space="0" w:color="auto"/>
      </w:divBdr>
      <w:divsChild>
        <w:div w:id="1482498783">
          <w:marLeft w:val="0"/>
          <w:marRight w:val="0"/>
          <w:marTop w:val="0"/>
          <w:marBottom w:val="0"/>
          <w:divBdr>
            <w:top w:val="none" w:sz="0" w:space="0" w:color="auto"/>
            <w:left w:val="none" w:sz="0" w:space="0" w:color="auto"/>
            <w:bottom w:val="none" w:sz="0" w:space="0" w:color="auto"/>
            <w:right w:val="none" w:sz="0" w:space="0" w:color="auto"/>
          </w:divBdr>
        </w:div>
        <w:div w:id="1624073739">
          <w:marLeft w:val="0"/>
          <w:marRight w:val="0"/>
          <w:marTop w:val="0"/>
          <w:marBottom w:val="0"/>
          <w:divBdr>
            <w:top w:val="none" w:sz="0" w:space="0" w:color="auto"/>
            <w:left w:val="none" w:sz="0" w:space="0" w:color="auto"/>
            <w:bottom w:val="none" w:sz="0" w:space="0" w:color="auto"/>
            <w:right w:val="none" w:sz="0" w:space="0" w:color="auto"/>
          </w:divBdr>
        </w:div>
        <w:div w:id="1246914939">
          <w:marLeft w:val="0"/>
          <w:marRight w:val="0"/>
          <w:marTop w:val="0"/>
          <w:marBottom w:val="0"/>
          <w:divBdr>
            <w:top w:val="none" w:sz="0" w:space="0" w:color="auto"/>
            <w:left w:val="none" w:sz="0" w:space="0" w:color="auto"/>
            <w:bottom w:val="none" w:sz="0" w:space="0" w:color="auto"/>
            <w:right w:val="none" w:sz="0" w:space="0" w:color="auto"/>
          </w:divBdr>
        </w:div>
        <w:div w:id="789664027">
          <w:marLeft w:val="0"/>
          <w:marRight w:val="0"/>
          <w:marTop w:val="0"/>
          <w:marBottom w:val="0"/>
          <w:divBdr>
            <w:top w:val="none" w:sz="0" w:space="0" w:color="auto"/>
            <w:left w:val="none" w:sz="0" w:space="0" w:color="auto"/>
            <w:bottom w:val="none" w:sz="0" w:space="0" w:color="auto"/>
            <w:right w:val="none" w:sz="0" w:space="0" w:color="auto"/>
          </w:divBdr>
        </w:div>
      </w:divsChild>
    </w:div>
    <w:div w:id="414596969">
      <w:marLeft w:val="0"/>
      <w:marRight w:val="0"/>
      <w:marTop w:val="0"/>
      <w:marBottom w:val="0"/>
      <w:divBdr>
        <w:top w:val="none" w:sz="0" w:space="0" w:color="auto"/>
        <w:left w:val="none" w:sz="0" w:space="0" w:color="auto"/>
        <w:bottom w:val="none" w:sz="0" w:space="0" w:color="auto"/>
        <w:right w:val="none" w:sz="0" w:space="0" w:color="auto"/>
      </w:divBdr>
      <w:divsChild>
        <w:div w:id="2073960837">
          <w:marLeft w:val="0"/>
          <w:marRight w:val="0"/>
          <w:marTop w:val="0"/>
          <w:marBottom w:val="0"/>
          <w:divBdr>
            <w:top w:val="none" w:sz="0" w:space="0" w:color="auto"/>
            <w:left w:val="none" w:sz="0" w:space="0" w:color="auto"/>
            <w:bottom w:val="none" w:sz="0" w:space="0" w:color="auto"/>
            <w:right w:val="none" w:sz="0" w:space="0" w:color="auto"/>
          </w:divBdr>
        </w:div>
        <w:div w:id="153880340">
          <w:marLeft w:val="0"/>
          <w:marRight w:val="0"/>
          <w:marTop w:val="180"/>
          <w:marBottom w:val="0"/>
          <w:divBdr>
            <w:top w:val="none" w:sz="0" w:space="0" w:color="auto"/>
            <w:left w:val="none" w:sz="0" w:space="0" w:color="auto"/>
            <w:bottom w:val="none" w:sz="0" w:space="0" w:color="auto"/>
            <w:right w:val="none" w:sz="0" w:space="0" w:color="auto"/>
          </w:divBdr>
        </w:div>
      </w:divsChild>
    </w:div>
    <w:div w:id="415130659">
      <w:marLeft w:val="0"/>
      <w:marRight w:val="0"/>
      <w:marTop w:val="0"/>
      <w:marBottom w:val="0"/>
      <w:divBdr>
        <w:top w:val="none" w:sz="0" w:space="0" w:color="auto"/>
        <w:left w:val="none" w:sz="0" w:space="0" w:color="auto"/>
        <w:bottom w:val="none" w:sz="0" w:space="0" w:color="auto"/>
        <w:right w:val="none" w:sz="0" w:space="0" w:color="auto"/>
      </w:divBdr>
    </w:div>
    <w:div w:id="415516652">
      <w:marLeft w:val="0"/>
      <w:marRight w:val="0"/>
      <w:marTop w:val="0"/>
      <w:marBottom w:val="0"/>
      <w:divBdr>
        <w:top w:val="none" w:sz="0" w:space="0" w:color="auto"/>
        <w:left w:val="none" w:sz="0" w:space="0" w:color="auto"/>
        <w:bottom w:val="none" w:sz="0" w:space="0" w:color="auto"/>
        <w:right w:val="none" w:sz="0" w:space="0" w:color="auto"/>
      </w:divBdr>
      <w:divsChild>
        <w:div w:id="565606389">
          <w:marLeft w:val="0"/>
          <w:marRight w:val="0"/>
          <w:marTop w:val="0"/>
          <w:marBottom w:val="0"/>
          <w:divBdr>
            <w:top w:val="none" w:sz="0" w:space="0" w:color="auto"/>
            <w:left w:val="none" w:sz="0" w:space="0" w:color="auto"/>
            <w:bottom w:val="none" w:sz="0" w:space="0" w:color="auto"/>
            <w:right w:val="none" w:sz="0" w:space="0" w:color="auto"/>
          </w:divBdr>
        </w:div>
      </w:divsChild>
    </w:div>
    <w:div w:id="431124172">
      <w:marLeft w:val="0"/>
      <w:marRight w:val="0"/>
      <w:marTop w:val="0"/>
      <w:marBottom w:val="0"/>
      <w:divBdr>
        <w:top w:val="none" w:sz="0" w:space="0" w:color="auto"/>
        <w:left w:val="none" w:sz="0" w:space="0" w:color="auto"/>
        <w:bottom w:val="none" w:sz="0" w:space="0" w:color="auto"/>
        <w:right w:val="none" w:sz="0" w:space="0" w:color="auto"/>
      </w:divBdr>
      <w:divsChild>
        <w:div w:id="752625847">
          <w:marLeft w:val="0"/>
          <w:marRight w:val="0"/>
          <w:marTop w:val="0"/>
          <w:marBottom w:val="0"/>
          <w:divBdr>
            <w:top w:val="none" w:sz="0" w:space="0" w:color="auto"/>
            <w:left w:val="none" w:sz="0" w:space="0" w:color="auto"/>
            <w:bottom w:val="none" w:sz="0" w:space="0" w:color="auto"/>
            <w:right w:val="none" w:sz="0" w:space="0" w:color="auto"/>
          </w:divBdr>
        </w:div>
      </w:divsChild>
    </w:div>
    <w:div w:id="441220683">
      <w:marLeft w:val="0"/>
      <w:marRight w:val="0"/>
      <w:marTop w:val="0"/>
      <w:marBottom w:val="0"/>
      <w:divBdr>
        <w:top w:val="none" w:sz="0" w:space="0" w:color="auto"/>
        <w:left w:val="none" w:sz="0" w:space="0" w:color="auto"/>
        <w:bottom w:val="none" w:sz="0" w:space="0" w:color="auto"/>
        <w:right w:val="none" w:sz="0" w:space="0" w:color="auto"/>
      </w:divBdr>
      <w:divsChild>
        <w:div w:id="381489110">
          <w:marLeft w:val="0"/>
          <w:marRight w:val="0"/>
          <w:marTop w:val="0"/>
          <w:marBottom w:val="0"/>
          <w:divBdr>
            <w:top w:val="none" w:sz="0" w:space="0" w:color="auto"/>
            <w:left w:val="none" w:sz="0" w:space="0" w:color="auto"/>
            <w:bottom w:val="none" w:sz="0" w:space="0" w:color="auto"/>
            <w:right w:val="none" w:sz="0" w:space="0" w:color="auto"/>
          </w:divBdr>
        </w:div>
      </w:divsChild>
    </w:div>
    <w:div w:id="442268101">
      <w:marLeft w:val="0"/>
      <w:marRight w:val="0"/>
      <w:marTop w:val="0"/>
      <w:marBottom w:val="200"/>
      <w:divBdr>
        <w:top w:val="none" w:sz="0" w:space="0" w:color="auto"/>
        <w:left w:val="none" w:sz="0" w:space="0" w:color="auto"/>
        <w:bottom w:val="none" w:sz="0" w:space="0" w:color="auto"/>
        <w:right w:val="none" w:sz="0" w:space="0" w:color="auto"/>
      </w:divBdr>
    </w:div>
    <w:div w:id="452285870">
      <w:marLeft w:val="0"/>
      <w:marRight w:val="0"/>
      <w:marTop w:val="0"/>
      <w:marBottom w:val="0"/>
      <w:divBdr>
        <w:top w:val="none" w:sz="0" w:space="0" w:color="auto"/>
        <w:left w:val="none" w:sz="0" w:space="0" w:color="auto"/>
        <w:bottom w:val="none" w:sz="0" w:space="0" w:color="auto"/>
        <w:right w:val="none" w:sz="0" w:space="0" w:color="auto"/>
      </w:divBdr>
      <w:divsChild>
        <w:div w:id="573508331">
          <w:marLeft w:val="0"/>
          <w:marRight w:val="0"/>
          <w:marTop w:val="0"/>
          <w:marBottom w:val="0"/>
          <w:divBdr>
            <w:top w:val="none" w:sz="0" w:space="0" w:color="auto"/>
            <w:left w:val="none" w:sz="0" w:space="0" w:color="auto"/>
            <w:bottom w:val="none" w:sz="0" w:space="0" w:color="auto"/>
            <w:right w:val="none" w:sz="0" w:space="0" w:color="auto"/>
          </w:divBdr>
        </w:div>
        <w:div w:id="1396664782">
          <w:marLeft w:val="0"/>
          <w:marRight w:val="0"/>
          <w:marTop w:val="0"/>
          <w:marBottom w:val="0"/>
          <w:divBdr>
            <w:top w:val="none" w:sz="0" w:space="0" w:color="auto"/>
            <w:left w:val="none" w:sz="0" w:space="0" w:color="auto"/>
            <w:bottom w:val="none" w:sz="0" w:space="0" w:color="auto"/>
            <w:right w:val="none" w:sz="0" w:space="0" w:color="auto"/>
          </w:divBdr>
        </w:div>
      </w:divsChild>
    </w:div>
    <w:div w:id="452789633">
      <w:marLeft w:val="0"/>
      <w:marRight w:val="0"/>
      <w:marTop w:val="0"/>
      <w:marBottom w:val="0"/>
      <w:divBdr>
        <w:top w:val="none" w:sz="0" w:space="0" w:color="auto"/>
        <w:left w:val="none" w:sz="0" w:space="0" w:color="auto"/>
        <w:bottom w:val="none" w:sz="0" w:space="0" w:color="auto"/>
        <w:right w:val="none" w:sz="0" w:space="0" w:color="auto"/>
      </w:divBdr>
      <w:divsChild>
        <w:div w:id="2126802302">
          <w:marLeft w:val="0"/>
          <w:marRight w:val="0"/>
          <w:marTop w:val="0"/>
          <w:marBottom w:val="0"/>
          <w:divBdr>
            <w:top w:val="none" w:sz="0" w:space="0" w:color="auto"/>
            <w:left w:val="none" w:sz="0" w:space="0" w:color="auto"/>
            <w:bottom w:val="none" w:sz="0" w:space="0" w:color="auto"/>
            <w:right w:val="none" w:sz="0" w:space="0" w:color="auto"/>
          </w:divBdr>
        </w:div>
      </w:divsChild>
    </w:div>
    <w:div w:id="457067700">
      <w:marLeft w:val="0"/>
      <w:marRight w:val="0"/>
      <w:marTop w:val="0"/>
      <w:marBottom w:val="0"/>
      <w:divBdr>
        <w:top w:val="none" w:sz="0" w:space="0" w:color="auto"/>
        <w:left w:val="none" w:sz="0" w:space="0" w:color="auto"/>
        <w:bottom w:val="none" w:sz="0" w:space="0" w:color="auto"/>
        <w:right w:val="none" w:sz="0" w:space="0" w:color="auto"/>
      </w:divBdr>
      <w:divsChild>
        <w:div w:id="1768697173">
          <w:marLeft w:val="0"/>
          <w:marRight w:val="0"/>
          <w:marTop w:val="0"/>
          <w:marBottom w:val="0"/>
          <w:divBdr>
            <w:top w:val="none" w:sz="0" w:space="0" w:color="auto"/>
            <w:left w:val="none" w:sz="0" w:space="0" w:color="auto"/>
            <w:bottom w:val="none" w:sz="0" w:space="0" w:color="auto"/>
            <w:right w:val="none" w:sz="0" w:space="0" w:color="auto"/>
          </w:divBdr>
          <w:divsChild>
            <w:div w:id="3961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5965">
      <w:marLeft w:val="0"/>
      <w:marRight w:val="0"/>
      <w:marTop w:val="0"/>
      <w:marBottom w:val="0"/>
      <w:divBdr>
        <w:top w:val="none" w:sz="0" w:space="0" w:color="auto"/>
        <w:left w:val="none" w:sz="0" w:space="0" w:color="auto"/>
        <w:bottom w:val="none" w:sz="0" w:space="0" w:color="auto"/>
        <w:right w:val="none" w:sz="0" w:space="0" w:color="auto"/>
      </w:divBdr>
    </w:div>
    <w:div w:id="466170900">
      <w:marLeft w:val="0"/>
      <w:marRight w:val="0"/>
      <w:marTop w:val="0"/>
      <w:marBottom w:val="200"/>
      <w:divBdr>
        <w:top w:val="none" w:sz="0" w:space="0" w:color="auto"/>
        <w:left w:val="none" w:sz="0" w:space="0" w:color="auto"/>
        <w:bottom w:val="none" w:sz="0" w:space="0" w:color="auto"/>
        <w:right w:val="none" w:sz="0" w:space="0" w:color="auto"/>
      </w:divBdr>
    </w:div>
    <w:div w:id="468472950">
      <w:marLeft w:val="0"/>
      <w:marRight w:val="0"/>
      <w:marTop w:val="0"/>
      <w:marBottom w:val="200"/>
      <w:divBdr>
        <w:top w:val="none" w:sz="0" w:space="0" w:color="auto"/>
        <w:left w:val="none" w:sz="0" w:space="0" w:color="auto"/>
        <w:bottom w:val="none" w:sz="0" w:space="0" w:color="auto"/>
        <w:right w:val="none" w:sz="0" w:space="0" w:color="auto"/>
      </w:divBdr>
    </w:div>
    <w:div w:id="468674061">
      <w:marLeft w:val="0"/>
      <w:marRight w:val="0"/>
      <w:marTop w:val="0"/>
      <w:marBottom w:val="0"/>
      <w:divBdr>
        <w:top w:val="none" w:sz="0" w:space="0" w:color="auto"/>
        <w:left w:val="none" w:sz="0" w:space="0" w:color="auto"/>
        <w:bottom w:val="none" w:sz="0" w:space="0" w:color="auto"/>
        <w:right w:val="none" w:sz="0" w:space="0" w:color="auto"/>
      </w:divBdr>
      <w:divsChild>
        <w:div w:id="1254818089">
          <w:marLeft w:val="0"/>
          <w:marRight w:val="0"/>
          <w:marTop w:val="0"/>
          <w:marBottom w:val="0"/>
          <w:divBdr>
            <w:top w:val="none" w:sz="0" w:space="0" w:color="auto"/>
            <w:left w:val="none" w:sz="0" w:space="0" w:color="auto"/>
            <w:bottom w:val="none" w:sz="0" w:space="0" w:color="auto"/>
            <w:right w:val="none" w:sz="0" w:space="0" w:color="auto"/>
          </w:divBdr>
        </w:div>
      </w:divsChild>
    </w:div>
    <w:div w:id="475102722">
      <w:marLeft w:val="0"/>
      <w:marRight w:val="0"/>
      <w:marTop w:val="0"/>
      <w:marBottom w:val="0"/>
      <w:divBdr>
        <w:top w:val="none" w:sz="0" w:space="0" w:color="auto"/>
        <w:left w:val="none" w:sz="0" w:space="0" w:color="auto"/>
        <w:bottom w:val="none" w:sz="0" w:space="0" w:color="auto"/>
        <w:right w:val="none" w:sz="0" w:space="0" w:color="auto"/>
      </w:divBdr>
    </w:div>
    <w:div w:id="478348942">
      <w:marLeft w:val="0"/>
      <w:marRight w:val="0"/>
      <w:marTop w:val="200"/>
      <w:marBottom w:val="0"/>
      <w:divBdr>
        <w:top w:val="none" w:sz="0" w:space="0" w:color="auto"/>
        <w:left w:val="none" w:sz="0" w:space="0" w:color="auto"/>
        <w:bottom w:val="none" w:sz="0" w:space="0" w:color="auto"/>
        <w:right w:val="none" w:sz="0" w:space="0" w:color="auto"/>
      </w:divBdr>
    </w:div>
    <w:div w:id="482431565">
      <w:marLeft w:val="0"/>
      <w:marRight w:val="0"/>
      <w:marTop w:val="0"/>
      <w:marBottom w:val="0"/>
      <w:divBdr>
        <w:top w:val="none" w:sz="0" w:space="0" w:color="auto"/>
        <w:left w:val="none" w:sz="0" w:space="0" w:color="auto"/>
        <w:bottom w:val="none" w:sz="0" w:space="0" w:color="auto"/>
        <w:right w:val="none" w:sz="0" w:space="0" w:color="auto"/>
      </w:divBdr>
      <w:divsChild>
        <w:div w:id="744912076">
          <w:marLeft w:val="0"/>
          <w:marRight w:val="0"/>
          <w:marTop w:val="0"/>
          <w:marBottom w:val="0"/>
          <w:divBdr>
            <w:top w:val="none" w:sz="0" w:space="0" w:color="auto"/>
            <w:left w:val="none" w:sz="0" w:space="0" w:color="auto"/>
            <w:bottom w:val="none" w:sz="0" w:space="0" w:color="auto"/>
            <w:right w:val="none" w:sz="0" w:space="0" w:color="auto"/>
          </w:divBdr>
        </w:div>
        <w:div w:id="1442912569">
          <w:marLeft w:val="0"/>
          <w:marRight w:val="0"/>
          <w:marTop w:val="180"/>
          <w:marBottom w:val="0"/>
          <w:divBdr>
            <w:top w:val="none" w:sz="0" w:space="0" w:color="auto"/>
            <w:left w:val="none" w:sz="0" w:space="0" w:color="auto"/>
            <w:bottom w:val="none" w:sz="0" w:space="0" w:color="auto"/>
            <w:right w:val="none" w:sz="0" w:space="0" w:color="auto"/>
          </w:divBdr>
        </w:div>
      </w:divsChild>
    </w:div>
    <w:div w:id="482550484">
      <w:marLeft w:val="0"/>
      <w:marRight w:val="0"/>
      <w:marTop w:val="0"/>
      <w:marBottom w:val="0"/>
      <w:divBdr>
        <w:top w:val="none" w:sz="0" w:space="0" w:color="auto"/>
        <w:left w:val="none" w:sz="0" w:space="0" w:color="auto"/>
        <w:bottom w:val="none" w:sz="0" w:space="0" w:color="auto"/>
        <w:right w:val="none" w:sz="0" w:space="0" w:color="auto"/>
      </w:divBdr>
    </w:div>
    <w:div w:id="483012092">
      <w:marLeft w:val="0"/>
      <w:marRight w:val="0"/>
      <w:marTop w:val="0"/>
      <w:marBottom w:val="0"/>
      <w:divBdr>
        <w:top w:val="none" w:sz="0" w:space="0" w:color="auto"/>
        <w:left w:val="none" w:sz="0" w:space="0" w:color="auto"/>
        <w:bottom w:val="none" w:sz="0" w:space="0" w:color="auto"/>
        <w:right w:val="none" w:sz="0" w:space="0" w:color="auto"/>
      </w:divBdr>
    </w:div>
    <w:div w:id="488712716">
      <w:marLeft w:val="0"/>
      <w:marRight w:val="0"/>
      <w:marTop w:val="0"/>
      <w:marBottom w:val="0"/>
      <w:divBdr>
        <w:top w:val="none" w:sz="0" w:space="0" w:color="auto"/>
        <w:left w:val="none" w:sz="0" w:space="0" w:color="auto"/>
        <w:bottom w:val="none" w:sz="0" w:space="0" w:color="auto"/>
        <w:right w:val="none" w:sz="0" w:space="0" w:color="auto"/>
      </w:divBdr>
    </w:div>
    <w:div w:id="501164985">
      <w:marLeft w:val="0"/>
      <w:marRight w:val="0"/>
      <w:marTop w:val="0"/>
      <w:marBottom w:val="200"/>
      <w:divBdr>
        <w:top w:val="none" w:sz="0" w:space="0" w:color="auto"/>
        <w:left w:val="none" w:sz="0" w:space="0" w:color="auto"/>
        <w:bottom w:val="none" w:sz="0" w:space="0" w:color="auto"/>
        <w:right w:val="none" w:sz="0" w:space="0" w:color="auto"/>
      </w:divBdr>
    </w:div>
    <w:div w:id="503205351">
      <w:marLeft w:val="0"/>
      <w:marRight w:val="0"/>
      <w:marTop w:val="0"/>
      <w:marBottom w:val="0"/>
      <w:divBdr>
        <w:top w:val="none" w:sz="0" w:space="0" w:color="auto"/>
        <w:left w:val="none" w:sz="0" w:space="0" w:color="auto"/>
        <w:bottom w:val="none" w:sz="0" w:space="0" w:color="auto"/>
        <w:right w:val="none" w:sz="0" w:space="0" w:color="auto"/>
      </w:divBdr>
      <w:divsChild>
        <w:div w:id="1553809236">
          <w:marLeft w:val="0"/>
          <w:marRight w:val="0"/>
          <w:marTop w:val="0"/>
          <w:marBottom w:val="0"/>
          <w:divBdr>
            <w:top w:val="none" w:sz="0" w:space="0" w:color="auto"/>
            <w:left w:val="none" w:sz="0" w:space="0" w:color="auto"/>
            <w:bottom w:val="none" w:sz="0" w:space="0" w:color="auto"/>
            <w:right w:val="none" w:sz="0" w:space="0" w:color="auto"/>
          </w:divBdr>
        </w:div>
      </w:divsChild>
    </w:div>
    <w:div w:id="509758574">
      <w:marLeft w:val="0"/>
      <w:marRight w:val="0"/>
      <w:marTop w:val="0"/>
      <w:marBottom w:val="0"/>
      <w:divBdr>
        <w:top w:val="none" w:sz="0" w:space="0" w:color="auto"/>
        <w:left w:val="none" w:sz="0" w:space="0" w:color="auto"/>
        <w:bottom w:val="none" w:sz="0" w:space="0" w:color="auto"/>
        <w:right w:val="none" w:sz="0" w:space="0" w:color="auto"/>
      </w:divBdr>
    </w:div>
    <w:div w:id="516382353">
      <w:marLeft w:val="0"/>
      <w:marRight w:val="0"/>
      <w:marTop w:val="0"/>
      <w:marBottom w:val="0"/>
      <w:divBdr>
        <w:top w:val="none" w:sz="0" w:space="0" w:color="auto"/>
        <w:left w:val="none" w:sz="0" w:space="0" w:color="auto"/>
        <w:bottom w:val="none" w:sz="0" w:space="0" w:color="auto"/>
        <w:right w:val="none" w:sz="0" w:space="0" w:color="auto"/>
      </w:divBdr>
    </w:div>
    <w:div w:id="553927477">
      <w:marLeft w:val="0"/>
      <w:marRight w:val="0"/>
      <w:marTop w:val="0"/>
      <w:marBottom w:val="200"/>
      <w:divBdr>
        <w:top w:val="none" w:sz="0" w:space="0" w:color="auto"/>
        <w:left w:val="none" w:sz="0" w:space="0" w:color="auto"/>
        <w:bottom w:val="none" w:sz="0" w:space="0" w:color="auto"/>
        <w:right w:val="none" w:sz="0" w:space="0" w:color="auto"/>
      </w:divBdr>
    </w:div>
    <w:div w:id="559169370">
      <w:marLeft w:val="0"/>
      <w:marRight w:val="0"/>
      <w:marTop w:val="0"/>
      <w:marBottom w:val="0"/>
      <w:divBdr>
        <w:top w:val="none" w:sz="0" w:space="0" w:color="auto"/>
        <w:left w:val="none" w:sz="0" w:space="0" w:color="auto"/>
        <w:bottom w:val="none" w:sz="0" w:space="0" w:color="auto"/>
        <w:right w:val="none" w:sz="0" w:space="0" w:color="auto"/>
      </w:divBdr>
      <w:divsChild>
        <w:div w:id="1252352301">
          <w:marLeft w:val="0"/>
          <w:marRight w:val="0"/>
          <w:marTop w:val="0"/>
          <w:marBottom w:val="0"/>
          <w:divBdr>
            <w:top w:val="none" w:sz="0" w:space="0" w:color="auto"/>
            <w:left w:val="none" w:sz="0" w:space="0" w:color="auto"/>
            <w:bottom w:val="none" w:sz="0" w:space="0" w:color="auto"/>
            <w:right w:val="none" w:sz="0" w:space="0" w:color="auto"/>
          </w:divBdr>
        </w:div>
      </w:divsChild>
    </w:div>
    <w:div w:id="562758730">
      <w:marLeft w:val="0"/>
      <w:marRight w:val="0"/>
      <w:marTop w:val="0"/>
      <w:marBottom w:val="200"/>
      <w:divBdr>
        <w:top w:val="none" w:sz="0" w:space="0" w:color="auto"/>
        <w:left w:val="none" w:sz="0" w:space="0" w:color="auto"/>
        <w:bottom w:val="none" w:sz="0" w:space="0" w:color="auto"/>
        <w:right w:val="none" w:sz="0" w:space="0" w:color="auto"/>
      </w:divBdr>
    </w:div>
    <w:div w:id="563951846">
      <w:marLeft w:val="0"/>
      <w:marRight w:val="0"/>
      <w:marTop w:val="0"/>
      <w:marBottom w:val="0"/>
      <w:divBdr>
        <w:top w:val="none" w:sz="0" w:space="0" w:color="auto"/>
        <w:left w:val="none" w:sz="0" w:space="0" w:color="auto"/>
        <w:bottom w:val="none" w:sz="0" w:space="0" w:color="auto"/>
        <w:right w:val="none" w:sz="0" w:space="0" w:color="auto"/>
      </w:divBdr>
      <w:divsChild>
        <w:div w:id="1811898255">
          <w:marLeft w:val="0"/>
          <w:marRight w:val="0"/>
          <w:marTop w:val="0"/>
          <w:marBottom w:val="0"/>
          <w:divBdr>
            <w:top w:val="none" w:sz="0" w:space="0" w:color="auto"/>
            <w:left w:val="none" w:sz="0" w:space="0" w:color="auto"/>
            <w:bottom w:val="none" w:sz="0" w:space="0" w:color="auto"/>
            <w:right w:val="none" w:sz="0" w:space="0" w:color="auto"/>
          </w:divBdr>
        </w:div>
      </w:divsChild>
    </w:div>
    <w:div w:id="570426477">
      <w:marLeft w:val="0"/>
      <w:marRight w:val="0"/>
      <w:marTop w:val="0"/>
      <w:marBottom w:val="0"/>
      <w:divBdr>
        <w:top w:val="none" w:sz="0" w:space="0" w:color="auto"/>
        <w:left w:val="none" w:sz="0" w:space="0" w:color="auto"/>
        <w:bottom w:val="none" w:sz="0" w:space="0" w:color="auto"/>
        <w:right w:val="none" w:sz="0" w:space="0" w:color="auto"/>
      </w:divBdr>
      <w:divsChild>
        <w:div w:id="301235263">
          <w:marLeft w:val="0"/>
          <w:marRight w:val="0"/>
          <w:marTop w:val="0"/>
          <w:marBottom w:val="0"/>
          <w:divBdr>
            <w:top w:val="none" w:sz="0" w:space="0" w:color="auto"/>
            <w:left w:val="none" w:sz="0" w:space="0" w:color="auto"/>
            <w:bottom w:val="none" w:sz="0" w:space="0" w:color="auto"/>
            <w:right w:val="none" w:sz="0" w:space="0" w:color="auto"/>
          </w:divBdr>
        </w:div>
      </w:divsChild>
    </w:div>
    <w:div w:id="572854927">
      <w:marLeft w:val="0"/>
      <w:marRight w:val="0"/>
      <w:marTop w:val="0"/>
      <w:marBottom w:val="0"/>
      <w:divBdr>
        <w:top w:val="none" w:sz="0" w:space="0" w:color="auto"/>
        <w:left w:val="none" w:sz="0" w:space="0" w:color="auto"/>
        <w:bottom w:val="none" w:sz="0" w:space="0" w:color="auto"/>
        <w:right w:val="none" w:sz="0" w:space="0" w:color="auto"/>
      </w:divBdr>
      <w:divsChild>
        <w:div w:id="18624386">
          <w:marLeft w:val="0"/>
          <w:marRight w:val="0"/>
          <w:marTop w:val="0"/>
          <w:marBottom w:val="0"/>
          <w:divBdr>
            <w:top w:val="none" w:sz="0" w:space="0" w:color="auto"/>
            <w:left w:val="none" w:sz="0" w:space="0" w:color="auto"/>
            <w:bottom w:val="none" w:sz="0" w:space="0" w:color="auto"/>
            <w:right w:val="none" w:sz="0" w:space="0" w:color="auto"/>
          </w:divBdr>
        </w:div>
        <w:div w:id="432434138">
          <w:marLeft w:val="0"/>
          <w:marRight w:val="0"/>
          <w:marTop w:val="180"/>
          <w:marBottom w:val="0"/>
          <w:divBdr>
            <w:top w:val="none" w:sz="0" w:space="0" w:color="auto"/>
            <w:left w:val="none" w:sz="0" w:space="0" w:color="auto"/>
            <w:bottom w:val="none" w:sz="0" w:space="0" w:color="auto"/>
            <w:right w:val="none" w:sz="0" w:space="0" w:color="auto"/>
          </w:divBdr>
        </w:div>
      </w:divsChild>
    </w:div>
    <w:div w:id="580331048">
      <w:marLeft w:val="0"/>
      <w:marRight w:val="0"/>
      <w:marTop w:val="0"/>
      <w:marBottom w:val="0"/>
      <w:divBdr>
        <w:top w:val="none" w:sz="0" w:space="0" w:color="auto"/>
        <w:left w:val="none" w:sz="0" w:space="0" w:color="auto"/>
        <w:bottom w:val="none" w:sz="0" w:space="0" w:color="auto"/>
        <w:right w:val="none" w:sz="0" w:space="0" w:color="auto"/>
      </w:divBdr>
      <w:divsChild>
        <w:div w:id="259526754">
          <w:marLeft w:val="0"/>
          <w:marRight w:val="0"/>
          <w:marTop w:val="0"/>
          <w:marBottom w:val="0"/>
          <w:divBdr>
            <w:top w:val="none" w:sz="0" w:space="0" w:color="auto"/>
            <w:left w:val="none" w:sz="0" w:space="0" w:color="auto"/>
            <w:bottom w:val="none" w:sz="0" w:space="0" w:color="auto"/>
            <w:right w:val="none" w:sz="0" w:space="0" w:color="auto"/>
          </w:divBdr>
        </w:div>
        <w:div w:id="173037341">
          <w:marLeft w:val="0"/>
          <w:marRight w:val="0"/>
          <w:marTop w:val="180"/>
          <w:marBottom w:val="0"/>
          <w:divBdr>
            <w:top w:val="none" w:sz="0" w:space="0" w:color="auto"/>
            <w:left w:val="none" w:sz="0" w:space="0" w:color="auto"/>
            <w:bottom w:val="none" w:sz="0" w:space="0" w:color="auto"/>
            <w:right w:val="none" w:sz="0" w:space="0" w:color="auto"/>
          </w:divBdr>
        </w:div>
      </w:divsChild>
    </w:div>
    <w:div w:id="581917480">
      <w:marLeft w:val="0"/>
      <w:marRight w:val="0"/>
      <w:marTop w:val="0"/>
      <w:marBottom w:val="0"/>
      <w:divBdr>
        <w:top w:val="none" w:sz="0" w:space="0" w:color="auto"/>
        <w:left w:val="none" w:sz="0" w:space="0" w:color="auto"/>
        <w:bottom w:val="none" w:sz="0" w:space="0" w:color="auto"/>
        <w:right w:val="none" w:sz="0" w:space="0" w:color="auto"/>
      </w:divBdr>
    </w:div>
    <w:div w:id="585849371">
      <w:marLeft w:val="0"/>
      <w:marRight w:val="0"/>
      <w:marTop w:val="100"/>
      <w:marBottom w:val="60"/>
      <w:divBdr>
        <w:top w:val="none" w:sz="0" w:space="0" w:color="auto"/>
        <w:left w:val="none" w:sz="0" w:space="0" w:color="auto"/>
        <w:bottom w:val="none" w:sz="0" w:space="0" w:color="auto"/>
        <w:right w:val="none" w:sz="0" w:space="0" w:color="auto"/>
      </w:divBdr>
    </w:div>
    <w:div w:id="589045751">
      <w:marLeft w:val="0"/>
      <w:marRight w:val="0"/>
      <w:marTop w:val="0"/>
      <w:marBottom w:val="0"/>
      <w:divBdr>
        <w:top w:val="none" w:sz="0" w:space="0" w:color="auto"/>
        <w:left w:val="none" w:sz="0" w:space="0" w:color="auto"/>
        <w:bottom w:val="none" w:sz="0" w:space="0" w:color="auto"/>
        <w:right w:val="none" w:sz="0" w:space="0" w:color="auto"/>
      </w:divBdr>
      <w:divsChild>
        <w:div w:id="1990940392">
          <w:marLeft w:val="0"/>
          <w:marRight w:val="0"/>
          <w:marTop w:val="0"/>
          <w:marBottom w:val="0"/>
          <w:divBdr>
            <w:top w:val="none" w:sz="0" w:space="0" w:color="auto"/>
            <w:left w:val="none" w:sz="0" w:space="0" w:color="auto"/>
            <w:bottom w:val="none" w:sz="0" w:space="0" w:color="auto"/>
            <w:right w:val="none" w:sz="0" w:space="0" w:color="auto"/>
          </w:divBdr>
        </w:div>
      </w:divsChild>
    </w:div>
    <w:div w:id="592476892">
      <w:marLeft w:val="0"/>
      <w:marRight w:val="0"/>
      <w:marTop w:val="0"/>
      <w:marBottom w:val="0"/>
      <w:divBdr>
        <w:top w:val="none" w:sz="0" w:space="0" w:color="auto"/>
        <w:left w:val="none" w:sz="0" w:space="0" w:color="auto"/>
        <w:bottom w:val="none" w:sz="0" w:space="0" w:color="auto"/>
        <w:right w:val="none" w:sz="0" w:space="0" w:color="auto"/>
      </w:divBdr>
      <w:divsChild>
        <w:div w:id="1282151503">
          <w:marLeft w:val="0"/>
          <w:marRight w:val="0"/>
          <w:marTop w:val="0"/>
          <w:marBottom w:val="0"/>
          <w:divBdr>
            <w:top w:val="none" w:sz="0" w:space="0" w:color="auto"/>
            <w:left w:val="none" w:sz="0" w:space="0" w:color="auto"/>
            <w:bottom w:val="none" w:sz="0" w:space="0" w:color="auto"/>
            <w:right w:val="none" w:sz="0" w:space="0" w:color="auto"/>
          </w:divBdr>
        </w:div>
      </w:divsChild>
    </w:div>
    <w:div w:id="605960900">
      <w:marLeft w:val="0"/>
      <w:marRight w:val="0"/>
      <w:marTop w:val="0"/>
      <w:marBottom w:val="0"/>
      <w:divBdr>
        <w:top w:val="none" w:sz="0" w:space="0" w:color="auto"/>
        <w:left w:val="none" w:sz="0" w:space="0" w:color="auto"/>
        <w:bottom w:val="none" w:sz="0" w:space="0" w:color="auto"/>
        <w:right w:val="none" w:sz="0" w:space="0" w:color="auto"/>
      </w:divBdr>
      <w:divsChild>
        <w:div w:id="985476420">
          <w:marLeft w:val="0"/>
          <w:marRight w:val="0"/>
          <w:marTop w:val="0"/>
          <w:marBottom w:val="0"/>
          <w:divBdr>
            <w:top w:val="none" w:sz="0" w:space="0" w:color="auto"/>
            <w:left w:val="none" w:sz="0" w:space="0" w:color="auto"/>
            <w:bottom w:val="none" w:sz="0" w:space="0" w:color="auto"/>
            <w:right w:val="none" w:sz="0" w:space="0" w:color="auto"/>
          </w:divBdr>
        </w:div>
      </w:divsChild>
    </w:div>
    <w:div w:id="606959932">
      <w:marLeft w:val="0"/>
      <w:marRight w:val="0"/>
      <w:marTop w:val="0"/>
      <w:marBottom w:val="0"/>
      <w:divBdr>
        <w:top w:val="none" w:sz="0" w:space="0" w:color="auto"/>
        <w:left w:val="none" w:sz="0" w:space="0" w:color="auto"/>
        <w:bottom w:val="none" w:sz="0" w:space="0" w:color="auto"/>
        <w:right w:val="none" w:sz="0" w:space="0" w:color="auto"/>
      </w:divBdr>
      <w:divsChild>
        <w:div w:id="417558343">
          <w:marLeft w:val="0"/>
          <w:marRight w:val="0"/>
          <w:marTop w:val="0"/>
          <w:marBottom w:val="0"/>
          <w:divBdr>
            <w:top w:val="none" w:sz="0" w:space="0" w:color="auto"/>
            <w:left w:val="none" w:sz="0" w:space="0" w:color="auto"/>
            <w:bottom w:val="none" w:sz="0" w:space="0" w:color="auto"/>
            <w:right w:val="none" w:sz="0" w:space="0" w:color="auto"/>
          </w:divBdr>
        </w:div>
      </w:divsChild>
    </w:div>
    <w:div w:id="612597400">
      <w:marLeft w:val="0"/>
      <w:marRight w:val="0"/>
      <w:marTop w:val="0"/>
      <w:marBottom w:val="200"/>
      <w:divBdr>
        <w:top w:val="none" w:sz="0" w:space="0" w:color="auto"/>
        <w:left w:val="none" w:sz="0" w:space="0" w:color="auto"/>
        <w:bottom w:val="none" w:sz="0" w:space="0" w:color="auto"/>
        <w:right w:val="none" w:sz="0" w:space="0" w:color="auto"/>
      </w:divBdr>
    </w:div>
    <w:div w:id="624165875">
      <w:marLeft w:val="0"/>
      <w:marRight w:val="0"/>
      <w:marTop w:val="0"/>
      <w:marBottom w:val="200"/>
      <w:divBdr>
        <w:top w:val="none" w:sz="0" w:space="0" w:color="auto"/>
        <w:left w:val="none" w:sz="0" w:space="0" w:color="auto"/>
        <w:bottom w:val="none" w:sz="0" w:space="0" w:color="auto"/>
        <w:right w:val="none" w:sz="0" w:space="0" w:color="auto"/>
      </w:divBdr>
    </w:div>
    <w:div w:id="627275441">
      <w:marLeft w:val="0"/>
      <w:marRight w:val="0"/>
      <w:marTop w:val="0"/>
      <w:marBottom w:val="0"/>
      <w:divBdr>
        <w:top w:val="none" w:sz="0" w:space="0" w:color="auto"/>
        <w:left w:val="none" w:sz="0" w:space="0" w:color="auto"/>
        <w:bottom w:val="none" w:sz="0" w:space="0" w:color="auto"/>
        <w:right w:val="none" w:sz="0" w:space="0" w:color="auto"/>
      </w:divBdr>
      <w:divsChild>
        <w:div w:id="1482771479">
          <w:marLeft w:val="0"/>
          <w:marRight w:val="0"/>
          <w:marTop w:val="0"/>
          <w:marBottom w:val="0"/>
          <w:divBdr>
            <w:top w:val="none" w:sz="0" w:space="0" w:color="auto"/>
            <w:left w:val="none" w:sz="0" w:space="0" w:color="auto"/>
            <w:bottom w:val="none" w:sz="0" w:space="0" w:color="auto"/>
            <w:right w:val="none" w:sz="0" w:space="0" w:color="auto"/>
          </w:divBdr>
        </w:div>
      </w:divsChild>
    </w:div>
    <w:div w:id="632105570">
      <w:marLeft w:val="0"/>
      <w:marRight w:val="0"/>
      <w:marTop w:val="0"/>
      <w:marBottom w:val="0"/>
      <w:divBdr>
        <w:top w:val="none" w:sz="0" w:space="0" w:color="auto"/>
        <w:left w:val="none" w:sz="0" w:space="0" w:color="auto"/>
        <w:bottom w:val="none" w:sz="0" w:space="0" w:color="auto"/>
        <w:right w:val="none" w:sz="0" w:space="0" w:color="auto"/>
      </w:divBdr>
      <w:divsChild>
        <w:div w:id="355352221">
          <w:marLeft w:val="0"/>
          <w:marRight w:val="0"/>
          <w:marTop w:val="0"/>
          <w:marBottom w:val="0"/>
          <w:divBdr>
            <w:top w:val="none" w:sz="0" w:space="0" w:color="auto"/>
            <w:left w:val="none" w:sz="0" w:space="0" w:color="auto"/>
            <w:bottom w:val="none" w:sz="0" w:space="0" w:color="auto"/>
            <w:right w:val="none" w:sz="0" w:space="0" w:color="auto"/>
          </w:divBdr>
        </w:div>
      </w:divsChild>
    </w:div>
    <w:div w:id="635184987">
      <w:marLeft w:val="0"/>
      <w:marRight w:val="0"/>
      <w:marTop w:val="100"/>
      <w:marBottom w:val="60"/>
      <w:divBdr>
        <w:top w:val="none" w:sz="0" w:space="0" w:color="auto"/>
        <w:left w:val="none" w:sz="0" w:space="0" w:color="auto"/>
        <w:bottom w:val="none" w:sz="0" w:space="0" w:color="auto"/>
        <w:right w:val="none" w:sz="0" w:space="0" w:color="auto"/>
      </w:divBdr>
    </w:div>
    <w:div w:id="640038352">
      <w:marLeft w:val="0"/>
      <w:marRight w:val="0"/>
      <w:marTop w:val="0"/>
      <w:marBottom w:val="200"/>
      <w:divBdr>
        <w:top w:val="none" w:sz="0" w:space="0" w:color="auto"/>
        <w:left w:val="none" w:sz="0" w:space="0" w:color="auto"/>
        <w:bottom w:val="none" w:sz="0" w:space="0" w:color="auto"/>
        <w:right w:val="none" w:sz="0" w:space="0" w:color="auto"/>
      </w:divBdr>
    </w:div>
    <w:div w:id="640424712">
      <w:marLeft w:val="0"/>
      <w:marRight w:val="0"/>
      <w:marTop w:val="100"/>
      <w:marBottom w:val="0"/>
      <w:divBdr>
        <w:top w:val="none" w:sz="0" w:space="0" w:color="auto"/>
        <w:left w:val="none" w:sz="0" w:space="0" w:color="auto"/>
        <w:bottom w:val="none" w:sz="0" w:space="0" w:color="auto"/>
        <w:right w:val="none" w:sz="0" w:space="0" w:color="auto"/>
      </w:divBdr>
    </w:div>
    <w:div w:id="646208697">
      <w:marLeft w:val="0"/>
      <w:marRight w:val="0"/>
      <w:marTop w:val="0"/>
      <w:marBottom w:val="0"/>
      <w:divBdr>
        <w:top w:val="none" w:sz="0" w:space="0" w:color="auto"/>
        <w:left w:val="none" w:sz="0" w:space="0" w:color="auto"/>
        <w:bottom w:val="none" w:sz="0" w:space="0" w:color="auto"/>
        <w:right w:val="none" w:sz="0" w:space="0" w:color="auto"/>
      </w:divBdr>
      <w:divsChild>
        <w:div w:id="143207011">
          <w:marLeft w:val="0"/>
          <w:marRight w:val="0"/>
          <w:marTop w:val="0"/>
          <w:marBottom w:val="0"/>
          <w:divBdr>
            <w:top w:val="none" w:sz="0" w:space="0" w:color="auto"/>
            <w:left w:val="none" w:sz="0" w:space="0" w:color="auto"/>
            <w:bottom w:val="none" w:sz="0" w:space="0" w:color="auto"/>
            <w:right w:val="none" w:sz="0" w:space="0" w:color="auto"/>
          </w:divBdr>
        </w:div>
        <w:div w:id="823008853">
          <w:marLeft w:val="0"/>
          <w:marRight w:val="0"/>
          <w:marTop w:val="180"/>
          <w:marBottom w:val="0"/>
          <w:divBdr>
            <w:top w:val="none" w:sz="0" w:space="0" w:color="auto"/>
            <w:left w:val="none" w:sz="0" w:space="0" w:color="auto"/>
            <w:bottom w:val="none" w:sz="0" w:space="0" w:color="auto"/>
            <w:right w:val="none" w:sz="0" w:space="0" w:color="auto"/>
          </w:divBdr>
        </w:div>
      </w:divsChild>
    </w:div>
    <w:div w:id="651325942">
      <w:marLeft w:val="0"/>
      <w:marRight w:val="0"/>
      <w:marTop w:val="0"/>
      <w:marBottom w:val="0"/>
      <w:divBdr>
        <w:top w:val="none" w:sz="0" w:space="0" w:color="auto"/>
        <w:left w:val="none" w:sz="0" w:space="0" w:color="auto"/>
        <w:bottom w:val="none" w:sz="0" w:space="0" w:color="auto"/>
        <w:right w:val="none" w:sz="0" w:space="0" w:color="auto"/>
      </w:divBdr>
      <w:divsChild>
        <w:div w:id="1932005665">
          <w:marLeft w:val="0"/>
          <w:marRight w:val="0"/>
          <w:marTop w:val="0"/>
          <w:marBottom w:val="0"/>
          <w:divBdr>
            <w:top w:val="none" w:sz="0" w:space="0" w:color="auto"/>
            <w:left w:val="none" w:sz="0" w:space="0" w:color="auto"/>
            <w:bottom w:val="none" w:sz="0" w:space="0" w:color="auto"/>
            <w:right w:val="none" w:sz="0" w:space="0" w:color="auto"/>
          </w:divBdr>
        </w:div>
      </w:divsChild>
    </w:div>
    <w:div w:id="651835606">
      <w:marLeft w:val="0"/>
      <w:marRight w:val="0"/>
      <w:marTop w:val="0"/>
      <w:marBottom w:val="0"/>
      <w:divBdr>
        <w:top w:val="none" w:sz="0" w:space="0" w:color="auto"/>
        <w:left w:val="none" w:sz="0" w:space="0" w:color="auto"/>
        <w:bottom w:val="none" w:sz="0" w:space="0" w:color="auto"/>
        <w:right w:val="none" w:sz="0" w:space="0" w:color="auto"/>
      </w:divBdr>
      <w:divsChild>
        <w:div w:id="1939214785">
          <w:marLeft w:val="0"/>
          <w:marRight w:val="0"/>
          <w:marTop w:val="0"/>
          <w:marBottom w:val="0"/>
          <w:divBdr>
            <w:top w:val="none" w:sz="0" w:space="0" w:color="auto"/>
            <w:left w:val="none" w:sz="0" w:space="0" w:color="auto"/>
            <w:bottom w:val="none" w:sz="0" w:space="0" w:color="auto"/>
            <w:right w:val="none" w:sz="0" w:space="0" w:color="auto"/>
          </w:divBdr>
        </w:div>
      </w:divsChild>
    </w:div>
    <w:div w:id="661858879">
      <w:marLeft w:val="0"/>
      <w:marRight w:val="0"/>
      <w:marTop w:val="0"/>
      <w:marBottom w:val="200"/>
      <w:divBdr>
        <w:top w:val="none" w:sz="0" w:space="0" w:color="auto"/>
        <w:left w:val="none" w:sz="0" w:space="0" w:color="auto"/>
        <w:bottom w:val="none" w:sz="0" w:space="0" w:color="auto"/>
        <w:right w:val="none" w:sz="0" w:space="0" w:color="auto"/>
      </w:divBdr>
    </w:div>
    <w:div w:id="686565985">
      <w:marLeft w:val="0"/>
      <w:marRight w:val="0"/>
      <w:marTop w:val="0"/>
      <w:marBottom w:val="0"/>
      <w:divBdr>
        <w:top w:val="none" w:sz="0" w:space="0" w:color="auto"/>
        <w:left w:val="none" w:sz="0" w:space="0" w:color="auto"/>
        <w:bottom w:val="none" w:sz="0" w:space="0" w:color="auto"/>
        <w:right w:val="none" w:sz="0" w:space="0" w:color="auto"/>
      </w:divBdr>
      <w:divsChild>
        <w:div w:id="741954349">
          <w:marLeft w:val="0"/>
          <w:marRight w:val="0"/>
          <w:marTop w:val="0"/>
          <w:marBottom w:val="0"/>
          <w:divBdr>
            <w:top w:val="none" w:sz="0" w:space="0" w:color="auto"/>
            <w:left w:val="none" w:sz="0" w:space="0" w:color="auto"/>
            <w:bottom w:val="none" w:sz="0" w:space="0" w:color="auto"/>
            <w:right w:val="none" w:sz="0" w:space="0" w:color="auto"/>
          </w:divBdr>
        </w:div>
        <w:div w:id="403337345">
          <w:marLeft w:val="0"/>
          <w:marRight w:val="0"/>
          <w:marTop w:val="180"/>
          <w:marBottom w:val="0"/>
          <w:divBdr>
            <w:top w:val="none" w:sz="0" w:space="0" w:color="auto"/>
            <w:left w:val="none" w:sz="0" w:space="0" w:color="auto"/>
            <w:bottom w:val="none" w:sz="0" w:space="0" w:color="auto"/>
            <w:right w:val="none" w:sz="0" w:space="0" w:color="auto"/>
          </w:divBdr>
        </w:div>
      </w:divsChild>
    </w:div>
    <w:div w:id="691299852">
      <w:marLeft w:val="0"/>
      <w:marRight w:val="0"/>
      <w:marTop w:val="0"/>
      <w:marBottom w:val="0"/>
      <w:divBdr>
        <w:top w:val="none" w:sz="0" w:space="0" w:color="auto"/>
        <w:left w:val="none" w:sz="0" w:space="0" w:color="auto"/>
        <w:bottom w:val="none" w:sz="0" w:space="0" w:color="auto"/>
        <w:right w:val="none" w:sz="0" w:space="0" w:color="auto"/>
      </w:divBdr>
      <w:divsChild>
        <w:div w:id="1696034368">
          <w:marLeft w:val="0"/>
          <w:marRight w:val="0"/>
          <w:marTop w:val="0"/>
          <w:marBottom w:val="0"/>
          <w:divBdr>
            <w:top w:val="none" w:sz="0" w:space="0" w:color="auto"/>
            <w:left w:val="none" w:sz="0" w:space="0" w:color="auto"/>
            <w:bottom w:val="none" w:sz="0" w:space="0" w:color="auto"/>
            <w:right w:val="none" w:sz="0" w:space="0" w:color="auto"/>
          </w:divBdr>
        </w:div>
      </w:divsChild>
    </w:div>
    <w:div w:id="698748067">
      <w:marLeft w:val="0"/>
      <w:marRight w:val="0"/>
      <w:marTop w:val="0"/>
      <w:marBottom w:val="0"/>
      <w:divBdr>
        <w:top w:val="none" w:sz="0" w:space="0" w:color="auto"/>
        <w:left w:val="none" w:sz="0" w:space="0" w:color="auto"/>
        <w:bottom w:val="none" w:sz="0" w:space="0" w:color="auto"/>
        <w:right w:val="none" w:sz="0" w:space="0" w:color="auto"/>
      </w:divBdr>
    </w:div>
    <w:div w:id="700011151">
      <w:marLeft w:val="0"/>
      <w:marRight w:val="0"/>
      <w:marTop w:val="0"/>
      <w:marBottom w:val="200"/>
      <w:divBdr>
        <w:top w:val="none" w:sz="0" w:space="0" w:color="auto"/>
        <w:left w:val="none" w:sz="0" w:space="0" w:color="auto"/>
        <w:bottom w:val="none" w:sz="0" w:space="0" w:color="auto"/>
        <w:right w:val="none" w:sz="0" w:space="0" w:color="auto"/>
      </w:divBdr>
    </w:div>
    <w:div w:id="702899014">
      <w:marLeft w:val="0"/>
      <w:marRight w:val="0"/>
      <w:marTop w:val="0"/>
      <w:marBottom w:val="0"/>
      <w:divBdr>
        <w:top w:val="none" w:sz="0" w:space="0" w:color="auto"/>
        <w:left w:val="none" w:sz="0" w:space="0" w:color="auto"/>
        <w:bottom w:val="none" w:sz="0" w:space="0" w:color="auto"/>
        <w:right w:val="none" w:sz="0" w:space="0" w:color="auto"/>
      </w:divBdr>
      <w:divsChild>
        <w:div w:id="1104613898">
          <w:marLeft w:val="0"/>
          <w:marRight w:val="0"/>
          <w:marTop w:val="0"/>
          <w:marBottom w:val="0"/>
          <w:divBdr>
            <w:top w:val="none" w:sz="0" w:space="0" w:color="auto"/>
            <w:left w:val="none" w:sz="0" w:space="0" w:color="auto"/>
            <w:bottom w:val="none" w:sz="0" w:space="0" w:color="auto"/>
            <w:right w:val="none" w:sz="0" w:space="0" w:color="auto"/>
          </w:divBdr>
        </w:div>
      </w:divsChild>
    </w:div>
    <w:div w:id="704066298">
      <w:marLeft w:val="0"/>
      <w:marRight w:val="0"/>
      <w:marTop w:val="0"/>
      <w:marBottom w:val="0"/>
      <w:divBdr>
        <w:top w:val="none" w:sz="0" w:space="0" w:color="auto"/>
        <w:left w:val="none" w:sz="0" w:space="0" w:color="auto"/>
        <w:bottom w:val="none" w:sz="0" w:space="0" w:color="auto"/>
        <w:right w:val="none" w:sz="0" w:space="0" w:color="auto"/>
      </w:divBdr>
    </w:div>
    <w:div w:id="707031344">
      <w:marLeft w:val="0"/>
      <w:marRight w:val="0"/>
      <w:marTop w:val="0"/>
      <w:marBottom w:val="0"/>
      <w:divBdr>
        <w:top w:val="none" w:sz="0" w:space="0" w:color="auto"/>
        <w:left w:val="none" w:sz="0" w:space="0" w:color="auto"/>
        <w:bottom w:val="none" w:sz="0" w:space="0" w:color="auto"/>
        <w:right w:val="none" w:sz="0" w:space="0" w:color="auto"/>
      </w:divBdr>
      <w:divsChild>
        <w:div w:id="928584172">
          <w:marLeft w:val="0"/>
          <w:marRight w:val="0"/>
          <w:marTop w:val="0"/>
          <w:marBottom w:val="0"/>
          <w:divBdr>
            <w:top w:val="none" w:sz="0" w:space="0" w:color="auto"/>
            <w:left w:val="none" w:sz="0" w:space="0" w:color="auto"/>
            <w:bottom w:val="none" w:sz="0" w:space="0" w:color="auto"/>
            <w:right w:val="none" w:sz="0" w:space="0" w:color="auto"/>
          </w:divBdr>
        </w:div>
      </w:divsChild>
    </w:div>
    <w:div w:id="710110770">
      <w:marLeft w:val="0"/>
      <w:marRight w:val="0"/>
      <w:marTop w:val="0"/>
      <w:marBottom w:val="0"/>
      <w:divBdr>
        <w:top w:val="none" w:sz="0" w:space="0" w:color="auto"/>
        <w:left w:val="none" w:sz="0" w:space="0" w:color="auto"/>
        <w:bottom w:val="none" w:sz="0" w:space="0" w:color="auto"/>
        <w:right w:val="none" w:sz="0" w:space="0" w:color="auto"/>
      </w:divBdr>
      <w:divsChild>
        <w:div w:id="1451239645">
          <w:marLeft w:val="0"/>
          <w:marRight w:val="0"/>
          <w:marTop w:val="0"/>
          <w:marBottom w:val="0"/>
          <w:divBdr>
            <w:top w:val="none" w:sz="0" w:space="0" w:color="auto"/>
            <w:left w:val="none" w:sz="0" w:space="0" w:color="auto"/>
            <w:bottom w:val="none" w:sz="0" w:space="0" w:color="auto"/>
            <w:right w:val="none" w:sz="0" w:space="0" w:color="auto"/>
          </w:divBdr>
        </w:div>
      </w:divsChild>
    </w:div>
    <w:div w:id="713388277">
      <w:marLeft w:val="0"/>
      <w:marRight w:val="0"/>
      <w:marTop w:val="0"/>
      <w:marBottom w:val="0"/>
      <w:divBdr>
        <w:top w:val="none" w:sz="0" w:space="0" w:color="auto"/>
        <w:left w:val="none" w:sz="0" w:space="0" w:color="auto"/>
        <w:bottom w:val="none" w:sz="0" w:space="0" w:color="auto"/>
        <w:right w:val="none" w:sz="0" w:space="0" w:color="auto"/>
      </w:divBdr>
      <w:divsChild>
        <w:div w:id="1073818892">
          <w:marLeft w:val="0"/>
          <w:marRight w:val="0"/>
          <w:marTop w:val="0"/>
          <w:marBottom w:val="0"/>
          <w:divBdr>
            <w:top w:val="none" w:sz="0" w:space="0" w:color="auto"/>
            <w:left w:val="none" w:sz="0" w:space="0" w:color="auto"/>
            <w:bottom w:val="none" w:sz="0" w:space="0" w:color="auto"/>
            <w:right w:val="none" w:sz="0" w:space="0" w:color="auto"/>
          </w:divBdr>
        </w:div>
      </w:divsChild>
    </w:div>
    <w:div w:id="715204217">
      <w:marLeft w:val="0"/>
      <w:marRight w:val="0"/>
      <w:marTop w:val="100"/>
      <w:marBottom w:val="60"/>
      <w:divBdr>
        <w:top w:val="none" w:sz="0" w:space="0" w:color="auto"/>
        <w:left w:val="none" w:sz="0" w:space="0" w:color="auto"/>
        <w:bottom w:val="none" w:sz="0" w:space="0" w:color="auto"/>
        <w:right w:val="none" w:sz="0" w:space="0" w:color="auto"/>
      </w:divBdr>
    </w:div>
    <w:div w:id="719981912">
      <w:marLeft w:val="0"/>
      <w:marRight w:val="0"/>
      <w:marTop w:val="0"/>
      <w:marBottom w:val="100"/>
      <w:divBdr>
        <w:top w:val="none" w:sz="0" w:space="0" w:color="auto"/>
        <w:left w:val="none" w:sz="0" w:space="0" w:color="auto"/>
        <w:bottom w:val="none" w:sz="0" w:space="0" w:color="auto"/>
        <w:right w:val="none" w:sz="0" w:space="0" w:color="auto"/>
      </w:divBdr>
      <w:divsChild>
        <w:div w:id="1745491683">
          <w:marLeft w:val="0"/>
          <w:marRight w:val="0"/>
          <w:marTop w:val="0"/>
          <w:marBottom w:val="0"/>
          <w:divBdr>
            <w:top w:val="none" w:sz="0" w:space="0" w:color="auto"/>
            <w:left w:val="none" w:sz="0" w:space="0" w:color="auto"/>
            <w:bottom w:val="none" w:sz="0" w:space="0" w:color="auto"/>
            <w:right w:val="none" w:sz="0" w:space="0" w:color="auto"/>
          </w:divBdr>
        </w:div>
        <w:div w:id="448359946">
          <w:marLeft w:val="0"/>
          <w:marRight w:val="0"/>
          <w:marTop w:val="0"/>
          <w:marBottom w:val="0"/>
          <w:divBdr>
            <w:top w:val="none" w:sz="0" w:space="0" w:color="auto"/>
            <w:left w:val="none" w:sz="0" w:space="0" w:color="auto"/>
            <w:bottom w:val="none" w:sz="0" w:space="0" w:color="auto"/>
            <w:right w:val="none" w:sz="0" w:space="0" w:color="auto"/>
          </w:divBdr>
        </w:div>
        <w:div w:id="302270651">
          <w:marLeft w:val="0"/>
          <w:marRight w:val="0"/>
          <w:marTop w:val="0"/>
          <w:marBottom w:val="0"/>
          <w:divBdr>
            <w:top w:val="none" w:sz="0" w:space="0" w:color="auto"/>
            <w:left w:val="none" w:sz="0" w:space="0" w:color="auto"/>
            <w:bottom w:val="none" w:sz="0" w:space="0" w:color="auto"/>
            <w:right w:val="none" w:sz="0" w:space="0" w:color="auto"/>
          </w:divBdr>
        </w:div>
      </w:divsChild>
    </w:div>
    <w:div w:id="720130629">
      <w:marLeft w:val="0"/>
      <w:marRight w:val="0"/>
      <w:marTop w:val="0"/>
      <w:marBottom w:val="0"/>
      <w:divBdr>
        <w:top w:val="none" w:sz="0" w:space="0" w:color="auto"/>
        <w:left w:val="none" w:sz="0" w:space="0" w:color="auto"/>
        <w:bottom w:val="none" w:sz="0" w:space="0" w:color="auto"/>
        <w:right w:val="none" w:sz="0" w:space="0" w:color="auto"/>
      </w:divBdr>
      <w:divsChild>
        <w:div w:id="1723869335">
          <w:marLeft w:val="0"/>
          <w:marRight w:val="0"/>
          <w:marTop w:val="0"/>
          <w:marBottom w:val="0"/>
          <w:divBdr>
            <w:top w:val="none" w:sz="0" w:space="0" w:color="auto"/>
            <w:left w:val="none" w:sz="0" w:space="0" w:color="auto"/>
            <w:bottom w:val="none" w:sz="0" w:space="0" w:color="auto"/>
            <w:right w:val="none" w:sz="0" w:space="0" w:color="auto"/>
          </w:divBdr>
        </w:div>
      </w:divsChild>
    </w:div>
    <w:div w:id="723603039">
      <w:marLeft w:val="0"/>
      <w:marRight w:val="0"/>
      <w:marTop w:val="200"/>
      <w:marBottom w:val="0"/>
      <w:divBdr>
        <w:top w:val="none" w:sz="0" w:space="0" w:color="auto"/>
        <w:left w:val="none" w:sz="0" w:space="0" w:color="auto"/>
        <w:bottom w:val="none" w:sz="0" w:space="0" w:color="auto"/>
        <w:right w:val="none" w:sz="0" w:space="0" w:color="auto"/>
      </w:divBdr>
    </w:div>
    <w:div w:id="732234343">
      <w:marLeft w:val="0"/>
      <w:marRight w:val="0"/>
      <w:marTop w:val="0"/>
      <w:marBottom w:val="200"/>
      <w:divBdr>
        <w:top w:val="none" w:sz="0" w:space="0" w:color="auto"/>
        <w:left w:val="none" w:sz="0" w:space="0" w:color="auto"/>
        <w:bottom w:val="none" w:sz="0" w:space="0" w:color="auto"/>
        <w:right w:val="none" w:sz="0" w:space="0" w:color="auto"/>
      </w:divBdr>
    </w:div>
    <w:div w:id="734277741">
      <w:marLeft w:val="0"/>
      <w:marRight w:val="0"/>
      <w:marTop w:val="0"/>
      <w:marBottom w:val="200"/>
      <w:divBdr>
        <w:top w:val="none" w:sz="0" w:space="0" w:color="auto"/>
        <w:left w:val="none" w:sz="0" w:space="0" w:color="auto"/>
        <w:bottom w:val="none" w:sz="0" w:space="0" w:color="auto"/>
        <w:right w:val="none" w:sz="0" w:space="0" w:color="auto"/>
      </w:divBdr>
    </w:div>
    <w:div w:id="756249584">
      <w:marLeft w:val="0"/>
      <w:marRight w:val="0"/>
      <w:marTop w:val="0"/>
      <w:marBottom w:val="0"/>
      <w:divBdr>
        <w:top w:val="none" w:sz="0" w:space="0" w:color="auto"/>
        <w:left w:val="none" w:sz="0" w:space="0" w:color="auto"/>
        <w:bottom w:val="none" w:sz="0" w:space="0" w:color="auto"/>
        <w:right w:val="none" w:sz="0" w:space="0" w:color="auto"/>
      </w:divBdr>
      <w:divsChild>
        <w:div w:id="1234075271">
          <w:marLeft w:val="0"/>
          <w:marRight w:val="0"/>
          <w:marTop w:val="0"/>
          <w:marBottom w:val="0"/>
          <w:divBdr>
            <w:top w:val="none" w:sz="0" w:space="0" w:color="auto"/>
            <w:left w:val="none" w:sz="0" w:space="0" w:color="auto"/>
            <w:bottom w:val="none" w:sz="0" w:space="0" w:color="auto"/>
            <w:right w:val="none" w:sz="0" w:space="0" w:color="auto"/>
          </w:divBdr>
        </w:div>
      </w:divsChild>
    </w:div>
    <w:div w:id="765931025">
      <w:marLeft w:val="0"/>
      <w:marRight w:val="0"/>
      <w:marTop w:val="0"/>
      <w:marBottom w:val="0"/>
      <w:divBdr>
        <w:top w:val="none" w:sz="0" w:space="0" w:color="auto"/>
        <w:left w:val="none" w:sz="0" w:space="0" w:color="auto"/>
        <w:bottom w:val="none" w:sz="0" w:space="0" w:color="auto"/>
        <w:right w:val="none" w:sz="0" w:space="0" w:color="auto"/>
      </w:divBdr>
      <w:divsChild>
        <w:div w:id="649675351">
          <w:marLeft w:val="0"/>
          <w:marRight w:val="0"/>
          <w:marTop w:val="0"/>
          <w:marBottom w:val="0"/>
          <w:divBdr>
            <w:top w:val="none" w:sz="0" w:space="0" w:color="auto"/>
            <w:left w:val="none" w:sz="0" w:space="0" w:color="auto"/>
            <w:bottom w:val="none" w:sz="0" w:space="0" w:color="auto"/>
            <w:right w:val="none" w:sz="0" w:space="0" w:color="auto"/>
          </w:divBdr>
        </w:div>
      </w:divsChild>
    </w:div>
    <w:div w:id="768701449">
      <w:marLeft w:val="0"/>
      <w:marRight w:val="0"/>
      <w:marTop w:val="0"/>
      <w:marBottom w:val="200"/>
      <w:divBdr>
        <w:top w:val="none" w:sz="0" w:space="0" w:color="auto"/>
        <w:left w:val="none" w:sz="0" w:space="0" w:color="auto"/>
        <w:bottom w:val="none" w:sz="0" w:space="0" w:color="auto"/>
        <w:right w:val="none" w:sz="0" w:space="0" w:color="auto"/>
      </w:divBdr>
    </w:div>
    <w:div w:id="769008387">
      <w:marLeft w:val="0"/>
      <w:marRight w:val="0"/>
      <w:marTop w:val="0"/>
      <w:marBottom w:val="0"/>
      <w:divBdr>
        <w:top w:val="none" w:sz="0" w:space="0" w:color="auto"/>
        <w:left w:val="none" w:sz="0" w:space="0" w:color="auto"/>
        <w:bottom w:val="none" w:sz="0" w:space="0" w:color="auto"/>
        <w:right w:val="none" w:sz="0" w:space="0" w:color="auto"/>
      </w:divBdr>
      <w:divsChild>
        <w:div w:id="730688584">
          <w:marLeft w:val="0"/>
          <w:marRight w:val="0"/>
          <w:marTop w:val="0"/>
          <w:marBottom w:val="0"/>
          <w:divBdr>
            <w:top w:val="none" w:sz="0" w:space="0" w:color="auto"/>
            <w:left w:val="none" w:sz="0" w:space="0" w:color="auto"/>
            <w:bottom w:val="none" w:sz="0" w:space="0" w:color="auto"/>
            <w:right w:val="none" w:sz="0" w:space="0" w:color="auto"/>
          </w:divBdr>
        </w:div>
        <w:div w:id="1001813018">
          <w:marLeft w:val="0"/>
          <w:marRight w:val="0"/>
          <w:marTop w:val="180"/>
          <w:marBottom w:val="0"/>
          <w:divBdr>
            <w:top w:val="none" w:sz="0" w:space="0" w:color="auto"/>
            <w:left w:val="none" w:sz="0" w:space="0" w:color="auto"/>
            <w:bottom w:val="none" w:sz="0" w:space="0" w:color="auto"/>
            <w:right w:val="none" w:sz="0" w:space="0" w:color="auto"/>
          </w:divBdr>
        </w:div>
      </w:divsChild>
    </w:div>
    <w:div w:id="779227575">
      <w:marLeft w:val="0"/>
      <w:marRight w:val="0"/>
      <w:marTop w:val="0"/>
      <w:marBottom w:val="0"/>
      <w:divBdr>
        <w:top w:val="none" w:sz="0" w:space="0" w:color="auto"/>
        <w:left w:val="none" w:sz="0" w:space="0" w:color="auto"/>
        <w:bottom w:val="none" w:sz="0" w:space="0" w:color="auto"/>
        <w:right w:val="none" w:sz="0" w:space="0" w:color="auto"/>
      </w:divBdr>
      <w:divsChild>
        <w:div w:id="319967052">
          <w:marLeft w:val="0"/>
          <w:marRight w:val="0"/>
          <w:marTop w:val="0"/>
          <w:marBottom w:val="0"/>
          <w:divBdr>
            <w:top w:val="none" w:sz="0" w:space="0" w:color="auto"/>
            <w:left w:val="none" w:sz="0" w:space="0" w:color="auto"/>
            <w:bottom w:val="none" w:sz="0" w:space="0" w:color="auto"/>
            <w:right w:val="none" w:sz="0" w:space="0" w:color="auto"/>
          </w:divBdr>
        </w:div>
      </w:divsChild>
    </w:div>
    <w:div w:id="784927833">
      <w:marLeft w:val="0"/>
      <w:marRight w:val="0"/>
      <w:marTop w:val="200"/>
      <w:marBottom w:val="0"/>
      <w:divBdr>
        <w:top w:val="none" w:sz="0" w:space="0" w:color="auto"/>
        <w:left w:val="none" w:sz="0" w:space="0" w:color="auto"/>
        <w:bottom w:val="none" w:sz="0" w:space="0" w:color="auto"/>
        <w:right w:val="none" w:sz="0" w:space="0" w:color="auto"/>
      </w:divBdr>
    </w:div>
    <w:div w:id="789325833">
      <w:marLeft w:val="0"/>
      <w:marRight w:val="0"/>
      <w:marTop w:val="100"/>
      <w:marBottom w:val="0"/>
      <w:divBdr>
        <w:top w:val="none" w:sz="0" w:space="0" w:color="auto"/>
        <w:left w:val="none" w:sz="0" w:space="0" w:color="auto"/>
        <w:bottom w:val="none" w:sz="0" w:space="0" w:color="auto"/>
        <w:right w:val="none" w:sz="0" w:space="0" w:color="auto"/>
      </w:divBdr>
    </w:div>
    <w:div w:id="792093996">
      <w:marLeft w:val="0"/>
      <w:marRight w:val="0"/>
      <w:marTop w:val="0"/>
      <w:marBottom w:val="200"/>
      <w:divBdr>
        <w:top w:val="none" w:sz="0" w:space="0" w:color="auto"/>
        <w:left w:val="none" w:sz="0" w:space="0" w:color="auto"/>
        <w:bottom w:val="none" w:sz="0" w:space="0" w:color="auto"/>
        <w:right w:val="none" w:sz="0" w:space="0" w:color="auto"/>
      </w:divBdr>
    </w:div>
    <w:div w:id="793910566">
      <w:marLeft w:val="0"/>
      <w:marRight w:val="0"/>
      <w:marTop w:val="0"/>
      <w:marBottom w:val="200"/>
      <w:divBdr>
        <w:top w:val="none" w:sz="0" w:space="0" w:color="auto"/>
        <w:left w:val="none" w:sz="0" w:space="0" w:color="auto"/>
        <w:bottom w:val="none" w:sz="0" w:space="0" w:color="auto"/>
        <w:right w:val="none" w:sz="0" w:space="0" w:color="auto"/>
      </w:divBdr>
    </w:div>
    <w:div w:id="797261101">
      <w:marLeft w:val="0"/>
      <w:marRight w:val="0"/>
      <w:marTop w:val="100"/>
      <w:marBottom w:val="60"/>
      <w:divBdr>
        <w:top w:val="none" w:sz="0" w:space="0" w:color="auto"/>
        <w:left w:val="none" w:sz="0" w:space="0" w:color="auto"/>
        <w:bottom w:val="none" w:sz="0" w:space="0" w:color="auto"/>
        <w:right w:val="none" w:sz="0" w:space="0" w:color="auto"/>
      </w:divBdr>
    </w:div>
    <w:div w:id="799736328">
      <w:marLeft w:val="0"/>
      <w:marRight w:val="0"/>
      <w:marTop w:val="0"/>
      <w:marBottom w:val="200"/>
      <w:divBdr>
        <w:top w:val="none" w:sz="0" w:space="0" w:color="auto"/>
        <w:left w:val="none" w:sz="0" w:space="0" w:color="auto"/>
        <w:bottom w:val="none" w:sz="0" w:space="0" w:color="auto"/>
        <w:right w:val="none" w:sz="0" w:space="0" w:color="auto"/>
      </w:divBdr>
    </w:div>
    <w:div w:id="807239654">
      <w:marLeft w:val="0"/>
      <w:marRight w:val="0"/>
      <w:marTop w:val="0"/>
      <w:marBottom w:val="0"/>
      <w:divBdr>
        <w:top w:val="none" w:sz="0" w:space="0" w:color="auto"/>
        <w:left w:val="none" w:sz="0" w:space="0" w:color="auto"/>
        <w:bottom w:val="none" w:sz="0" w:space="0" w:color="auto"/>
        <w:right w:val="none" w:sz="0" w:space="0" w:color="auto"/>
      </w:divBdr>
    </w:div>
    <w:div w:id="817451822">
      <w:marLeft w:val="0"/>
      <w:marRight w:val="0"/>
      <w:marTop w:val="0"/>
      <w:marBottom w:val="0"/>
      <w:divBdr>
        <w:top w:val="none" w:sz="0" w:space="0" w:color="auto"/>
        <w:left w:val="none" w:sz="0" w:space="0" w:color="auto"/>
        <w:bottom w:val="none" w:sz="0" w:space="0" w:color="auto"/>
        <w:right w:val="none" w:sz="0" w:space="0" w:color="auto"/>
      </w:divBdr>
    </w:div>
    <w:div w:id="830485349">
      <w:marLeft w:val="0"/>
      <w:marRight w:val="0"/>
      <w:marTop w:val="0"/>
      <w:marBottom w:val="200"/>
      <w:divBdr>
        <w:top w:val="none" w:sz="0" w:space="0" w:color="auto"/>
        <w:left w:val="none" w:sz="0" w:space="0" w:color="auto"/>
        <w:bottom w:val="none" w:sz="0" w:space="0" w:color="auto"/>
        <w:right w:val="none" w:sz="0" w:space="0" w:color="auto"/>
      </w:divBdr>
    </w:div>
    <w:div w:id="835924530">
      <w:marLeft w:val="0"/>
      <w:marRight w:val="0"/>
      <w:marTop w:val="0"/>
      <w:marBottom w:val="200"/>
      <w:divBdr>
        <w:top w:val="none" w:sz="0" w:space="0" w:color="auto"/>
        <w:left w:val="none" w:sz="0" w:space="0" w:color="auto"/>
        <w:bottom w:val="none" w:sz="0" w:space="0" w:color="auto"/>
        <w:right w:val="none" w:sz="0" w:space="0" w:color="auto"/>
      </w:divBdr>
    </w:div>
    <w:div w:id="840045600">
      <w:marLeft w:val="0"/>
      <w:marRight w:val="0"/>
      <w:marTop w:val="0"/>
      <w:marBottom w:val="0"/>
      <w:divBdr>
        <w:top w:val="none" w:sz="0" w:space="0" w:color="auto"/>
        <w:left w:val="none" w:sz="0" w:space="0" w:color="auto"/>
        <w:bottom w:val="none" w:sz="0" w:space="0" w:color="auto"/>
        <w:right w:val="none" w:sz="0" w:space="0" w:color="auto"/>
      </w:divBdr>
      <w:divsChild>
        <w:div w:id="373893051">
          <w:marLeft w:val="0"/>
          <w:marRight w:val="0"/>
          <w:marTop w:val="0"/>
          <w:marBottom w:val="0"/>
          <w:divBdr>
            <w:top w:val="none" w:sz="0" w:space="0" w:color="auto"/>
            <w:left w:val="none" w:sz="0" w:space="0" w:color="auto"/>
            <w:bottom w:val="none" w:sz="0" w:space="0" w:color="auto"/>
            <w:right w:val="none" w:sz="0" w:space="0" w:color="auto"/>
          </w:divBdr>
        </w:div>
      </w:divsChild>
    </w:div>
    <w:div w:id="841505320">
      <w:marLeft w:val="0"/>
      <w:marRight w:val="0"/>
      <w:marTop w:val="0"/>
      <w:marBottom w:val="0"/>
      <w:divBdr>
        <w:top w:val="none" w:sz="0" w:space="0" w:color="auto"/>
        <w:left w:val="none" w:sz="0" w:space="0" w:color="auto"/>
        <w:bottom w:val="none" w:sz="0" w:space="0" w:color="auto"/>
        <w:right w:val="none" w:sz="0" w:space="0" w:color="auto"/>
      </w:divBdr>
    </w:div>
    <w:div w:id="854461709">
      <w:marLeft w:val="0"/>
      <w:marRight w:val="0"/>
      <w:marTop w:val="0"/>
      <w:marBottom w:val="200"/>
      <w:divBdr>
        <w:top w:val="none" w:sz="0" w:space="0" w:color="auto"/>
        <w:left w:val="none" w:sz="0" w:space="0" w:color="auto"/>
        <w:bottom w:val="none" w:sz="0" w:space="0" w:color="auto"/>
        <w:right w:val="none" w:sz="0" w:space="0" w:color="auto"/>
      </w:divBdr>
    </w:div>
    <w:div w:id="865873931">
      <w:marLeft w:val="0"/>
      <w:marRight w:val="0"/>
      <w:marTop w:val="0"/>
      <w:marBottom w:val="200"/>
      <w:divBdr>
        <w:top w:val="none" w:sz="0" w:space="0" w:color="auto"/>
        <w:left w:val="none" w:sz="0" w:space="0" w:color="auto"/>
        <w:bottom w:val="none" w:sz="0" w:space="0" w:color="auto"/>
        <w:right w:val="none" w:sz="0" w:space="0" w:color="auto"/>
      </w:divBdr>
    </w:div>
    <w:div w:id="867448115">
      <w:marLeft w:val="0"/>
      <w:marRight w:val="0"/>
      <w:marTop w:val="0"/>
      <w:marBottom w:val="0"/>
      <w:divBdr>
        <w:top w:val="none" w:sz="0" w:space="0" w:color="auto"/>
        <w:left w:val="none" w:sz="0" w:space="0" w:color="auto"/>
        <w:bottom w:val="none" w:sz="0" w:space="0" w:color="auto"/>
        <w:right w:val="none" w:sz="0" w:space="0" w:color="auto"/>
      </w:divBdr>
      <w:divsChild>
        <w:div w:id="1029989047">
          <w:marLeft w:val="0"/>
          <w:marRight w:val="0"/>
          <w:marTop w:val="0"/>
          <w:marBottom w:val="0"/>
          <w:divBdr>
            <w:top w:val="none" w:sz="0" w:space="0" w:color="auto"/>
            <w:left w:val="none" w:sz="0" w:space="0" w:color="auto"/>
            <w:bottom w:val="none" w:sz="0" w:space="0" w:color="auto"/>
            <w:right w:val="none" w:sz="0" w:space="0" w:color="auto"/>
          </w:divBdr>
        </w:div>
      </w:divsChild>
    </w:div>
    <w:div w:id="889272155">
      <w:marLeft w:val="0"/>
      <w:marRight w:val="0"/>
      <w:marTop w:val="200"/>
      <w:marBottom w:val="0"/>
      <w:divBdr>
        <w:top w:val="none" w:sz="0" w:space="0" w:color="auto"/>
        <w:left w:val="none" w:sz="0" w:space="0" w:color="auto"/>
        <w:bottom w:val="none" w:sz="0" w:space="0" w:color="auto"/>
        <w:right w:val="none" w:sz="0" w:space="0" w:color="auto"/>
      </w:divBdr>
    </w:div>
    <w:div w:id="894318269">
      <w:marLeft w:val="0"/>
      <w:marRight w:val="0"/>
      <w:marTop w:val="200"/>
      <w:marBottom w:val="0"/>
      <w:divBdr>
        <w:top w:val="none" w:sz="0" w:space="0" w:color="auto"/>
        <w:left w:val="none" w:sz="0" w:space="0" w:color="auto"/>
        <w:bottom w:val="none" w:sz="0" w:space="0" w:color="auto"/>
        <w:right w:val="none" w:sz="0" w:space="0" w:color="auto"/>
      </w:divBdr>
    </w:div>
    <w:div w:id="904100809">
      <w:marLeft w:val="0"/>
      <w:marRight w:val="0"/>
      <w:marTop w:val="360"/>
      <w:marBottom w:val="0"/>
      <w:divBdr>
        <w:top w:val="none" w:sz="0" w:space="0" w:color="auto"/>
        <w:left w:val="none" w:sz="0" w:space="0" w:color="auto"/>
        <w:bottom w:val="none" w:sz="0" w:space="0" w:color="auto"/>
        <w:right w:val="none" w:sz="0" w:space="0" w:color="auto"/>
      </w:divBdr>
    </w:div>
    <w:div w:id="906914422">
      <w:marLeft w:val="0"/>
      <w:marRight w:val="0"/>
      <w:marTop w:val="0"/>
      <w:marBottom w:val="200"/>
      <w:divBdr>
        <w:top w:val="none" w:sz="0" w:space="0" w:color="auto"/>
        <w:left w:val="none" w:sz="0" w:space="0" w:color="auto"/>
        <w:bottom w:val="none" w:sz="0" w:space="0" w:color="auto"/>
        <w:right w:val="none" w:sz="0" w:space="0" w:color="auto"/>
      </w:divBdr>
    </w:div>
    <w:div w:id="907038121">
      <w:marLeft w:val="0"/>
      <w:marRight w:val="0"/>
      <w:marTop w:val="0"/>
      <w:marBottom w:val="200"/>
      <w:divBdr>
        <w:top w:val="none" w:sz="0" w:space="0" w:color="auto"/>
        <w:left w:val="none" w:sz="0" w:space="0" w:color="auto"/>
        <w:bottom w:val="none" w:sz="0" w:space="0" w:color="auto"/>
        <w:right w:val="none" w:sz="0" w:space="0" w:color="auto"/>
      </w:divBdr>
    </w:div>
    <w:div w:id="910164961">
      <w:marLeft w:val="0"/>
      <w:marRight w:val="0"/>
      <w:marTop w:val="100"/>
      <w:marBottom w:val="0"/>
      <w:divBdr>
        <w:top w:val="none" w:sz="0" w:space="0" w:color="auto"/>
        <w:left w:val="none" w:sz="0" w:space="0" w:color="auto"/>
        <w:bottom w:val="none" w:sz="0" w:space="0" w:color="auto"/>
        <w:right w:val="none" w:sz="0" w:space="0" w:color="auto"/>
      </w:divBdr>
    </w:div>
    <w:div w:id="911620694">
      <w:marLeft w:val="0"/>
      <w:marRight w:val="0"/>
      <w:marTop w:val="0"/>
      <w:marBottom w:val="0"/>
      <w:divBdr>
        <w:top w:val="none" w:sz="0" w:space="0" w:color="auto"/>
        <w:left w:val="none" w:sz="0" w:space="0" w:color="auto"/>
        <w:bottom w:val="none" w:sz="0" w:space="0" w:color="auto"/>
        <w:right w:val="none" w:sz="0" w:space="0" w:color="auto"/>
      </w:divBdr>
      <w:divsChild>
        <w:div w:id="163709727">
          <w:marLeft w:val="0"/>
          <w:marRight w:val="0"/>
          <w:marTop w:val="0"/>
          <w:marBottom w:val="0"/>
          <w:divBdr>
            <w:top w:val="none" w:sz="0" w:space="0" w:color="auto"/>
            <w:left w:val="none" w:sz="0" w:space="0" w:color="auto"/>
            <w:bottom w:val="none" w:sz="0" w:space="0" w:color="auto"/>
            <w:right w:val="none" w:sz="0" w:space="0" w:color="auto"/>
          </w:divBdr>
        </w:div>
      </w:divsChild>
    </w:div>
    <w:div w:id="911626704">
      <w:marLeft w:val="0"/>
      <w:marRight w:val="0"/>
      <w:marTop w:val="0"/>
      <w:marBottom w:val="0"/>
      <w:divBdr>
        <w:top w:val="none" w:sz="0" w:space="0" w:color="auto"/>
        <w:left w:val="none" w:sz="0" w:space="0" w:color="auto"/>
        <w:bottom w:val="none" w:sz="0" w:space="0" w:color="auto"/>
        <w:right w:val="none" w:sz="0" w:space="0" w:color="auto"/>
      </w:divBdr>
      <w:divsChild>
        <w:div w:id="942496726">
          <w:marLeft w:val="0"/>
          <w:marRight w:val="0"/>
          <w:marTop w:val="0"/>
          <w:marBottom w:val="0"/>
          <w:divBdr>
            <w:top w:val="none" w:sz="0" w:space="0" w:color="auto"/>
            <w:left w:val="none" w:sz="0" w:space="0" w:color="auto"/>
            <w:bottom w:val="none" w:sz="0" w:space="0" w:color="auto"/>
            <w:right w:val="none" w:sz="0" w:space="0" w:color="auto"/>
          </w:divBdr>
        </w:div>
      </w:divsChild>
    </w:div>
    <w:div w:id="912012780">
      <w:marLeft w:val="0"/>
      <w:marRight w:val="0"/>
      <w:marTop w:val="100"/>
      <w:marBottom w:val="0"/>
      <w:divBdr>
        <w:top w:val="none" w:sz="0" w:space="0" w:color="auto"/>
        <w:left w:val="none" w:sz="0" w:space="0" w:color="auto"/>
        <w:bottom w:val="none" w:sz="0" w:space="0" w:color="auto"/>
        <w:right w:val="none" w:sz="0" w:space="0" w:color="auto"/>
      </w:divBdr>
    </w:div>
    <w:div w:id="920288729">
      <w:marLeft w:val="0"/>
      <w:marRight w:val="0"/>
      <w:marTop w:val="0"/>
      <w:marBottom w:val="200"/>
      <w:divBdr>
        <w:top w:val="none" w:sz="0" w:space="0" w:color="auto"/>
        <w:left w:val="none" w:sz="0" w:space="0" w:color="auto"/>
        <w:bottom w:val="none" w:sz="0" w:space="0" w:color="auto"/>
        <w:right w:val="none" w:sz="0" w:space="0" w:color="auto"/>
      </w:divBdr>
    </w:div>
    <w:div w:id="943458309">
      <w:marLeft w:val="0"/>
      <w:marRight w:val="0"/>
      <w:marTop w:val="0"/>
      <w:marBottom w:val="0"/>
      <w:divBdr>
        <w:top w:val="none" w:sz="0" w:space="0" w:color="auto"/>
        <w:left w:val="none" w:sz="0" w:space="0" w:color="auto"/>
        <w:bottom w:val="none" w:sz="0" w:space="0" w:color="auto"/>
        <w:right w:val="none" w:sz="0" w:space="0" w:color="auto"/>
      </w:divBdr>
    </w:div>
    <w:div w:id="946471748">
      <w:marLeft w:val="0"/>
      <w:marRight w:val="0"/>
      <w:marTop w:val="0"/>
      <w:marBottom w:val="100"/>
      <w:divBdr>
        <w:top w:val="none" w:sz="0" w:space="0" w:color="auto"/>
        <w:left w:val="none" w:sz="0" w:space="0" w:color="auto"/>
        <w:bottom w:val="none" w:sz="0" w:space="0" w:color="auto"/>
        <w:right w:val="none" w:sz="0" w:space="0" w:color="auto"/>
      </w:divBdr>
      <w:divsChild>
        <w:div w:id="711543199">
          <w:marLeft w:val="0"/>
          <w:marRight w:val="0"/>
          <w:marTop w:val="0"/>
          <w:marBottom w:val="0"/>
          <w:divBdr>
            <w:top w:val="none" w:sz="0" w:space="0" w:color="auto"/>
            <w:left w:val="none" w:sz="0" w:space="0" w:color="auto"/>
            <w:bottom w:val="none" w:sz="0" w:space="0" w:color="auto"/>
            <w:right w:val="none" w:sz="0" w:space="0" w:color="auto"/>
          </w:divBdr>
        </w:div>
        <w:div w:id="1863856976">
          <w:marLeft w:val="0"/>
          <w:marRight w:val="0"/>
          <w:marTop w:val="0"/>
          <w:marBottom w:val="0"/>
          <w:divBdr>
            <w:top w:val="none" w:sz="0" w:space="0" w:color="auto"/>
            <w:left w:val="none" w:sz="0" w:space="0" w:color="auto"/>
            <w:bottom w:val="none" w:sz="0" w:space="0" w:color="auto"/>
            <w:right w:val="none" w:sz="0" w:space="0" w:color="auto"/>
          </w:divBdr>
        </w:div>
        <w:div w:id="352193991">
          <w:marLeft w:val="0"/>
          <w:marRight w:val="0"/>
          <w:marTop w:val="0"/>
          <w:marBottom w:val="0"/>
          <w:divBdr>
            <w:top w:val="none" w:sz="0" w:space="0" w:color="auto"/>
            <w:left w:val="none" w:sz="0" w:space="0" w:color="auto"/>
            <w:bottom w:val="none" w:sz="0" w:space="0" w:color="auto"/>
            <w:right w:val="none" w:sz="0" w:space="0" w:color="auto"/>
          </w:divBdr>
        </w:div>
      </w:divsChild>
    </w:div>
    <w:div w:id="955867999">
      <w:marLeft w:val="0"/>
      <w:marRight w:val="0"/>
      <w:marTop w:val="0"/>
      <w:marBottom w:val="0"/>
      <w:divBdr>
        <w:top w:val="none" w:sz="0" w:space="0" w:color="auto"/>
        <w:left w:val="none" w:sz="0" w:space="0" w:color="auto"/>
        <w:bottom w:val="none" w:sz="0" w:space="0" w:color="auto"/>
        <w:right w:val="none" w:sz="0" w:space="0" w:color="auto"/>
      </w:divBdr>
      <w:divsChild>
        <w:div w:id="1120611942">
          <w:marLeft w:val="0"/>
          <w:marRight w:val="0"/>
          <w:marTop w:val="0"/>
          <w:marBottom w:val="0"/>
          <w:divBdr>
            <w:top w:val="none" w:sz="0" w:space="0" w:color="auto"/>
            <w:left w:val="none" w:sz="0" w:space="0" w:color="auto"/>
            <w:bottom w:val="none" w:sz="0" w:space="0" w:color="auto"/>
            <w:right w:val="none" w:sz="0" w:space="0" w:color="auto"/>
          </w:divBdr>
        </w:div>
        <w:div w:id="79716473">
          <w:marLeft w:val="0"/>
          <w:marRight w:val="0"/>
          <w:marTop w:val="180"/>
          <w:marBottom w:val="0"/>
          <w:divBdr>
            <w:top w:val="none" w:sz="0" w:space="0" w:color="auto"/>
            <w:left w:val="none" w:sz="0" w:space="0" w:color="auto"/>
            <w:bottom w:val="none" w:sz="0" w:space="0" w:color="auto"/>
            <w:right w:val="none" w:sz="0" w:space="0" w:color="auto"/>
          </w:divBdr>
        </w:div>
      </w:divsChild>
    </w:div>
    <w:div w:id="966550384">
      <w:marLeft w:val="0"/>
      <w:marRight w:val="0"/>
      <w:marTop w:val="0"/>
      <w:marBottom w:val="0"/>
      <w:divBdr>
        <w:top w:val="none" w:sz="0" w:space="0" w:color="auto"/>
        <w:left w:val="none" w:sz="0" w:space="0" w:color="auto"/>
        <w:bottom w:val="none" w:sz="0" w:space="0" w:color="auto"/>
        <w:right w:val="none" w:sz="0" w:space="0" w:color="auto"/>
      </w:divBdr>
      <w:divsChild>
        <w:div w:id="69736147">
          <w:marLeft w:val="0"/>
          <w:marRight w:val="0"/>
          <w:marTop w:val="0"/>
          <w:marBottom w:val="0"/>
          <w:divBdr>
            <w:top w:val="none" w:sz="0" w:space="0" w:color="auto"/>
            <w:left w:val="none" w:sz="0" w:space="0" w:color="auto"/>
            <w:bottom w:val="none" w:sz="0" w:space="0" w:color="auto"/>
            <w:right w:val="none" w:sz="0" w:space="0" w:color="auto"/>
          </w:divBdr>
        </w:div>
      </w:divsChild>
    </w:div>
    <w:div w:id="974066089">
      <w:marLeft w:val="0"/>
      <w:marRight w:val="0"/>
      <w:marTop w:val="0"/>
      <w:marBottom w:val="200"/>
      <w:divBdr>
        <w:top w:val="none" w:sz="0" w:space="0" w:color="auto"/>
        <w:left w:val="none" w:sz="0" w:space="0" w:color="auto"/>
        <w:bottom w:val="none" w:sz="0" w:space="0" w:color="auto"/>
        <w:right w:val="none" w:sz="0" w:space="0" w:color="auto"/>
      </w:divBdr>
    </w:div>
    <w:div w:id="987129486">
      <w:marLeft w:val="0"/>
      <w:marRight w:val="0"/>
      <w:marTop w:val="0"/>
      <w:marBottom w:val="0"/>
      <w:divBdr>
        <w:top w:val="none" w:sz="0" w:space="0" w:color="auto"/>
        <w:left w:val="none" w:sz="0" w:space="0" w:color="auto"/>
        <w:bottom w:val="none" w:sz="0" w:space="0" w:color="auto"/>
        <w:right w:val="none" w:sz="0" w:space="0" w:color="auto"/>
      </w:divBdr>
    </w:div>
    <w:div w:id="992488426">
      <w:marLeft w:val="0"/>
      <w:marRight w:val="0"/>
      <w:marTop w:val="0"/>
      <w:marBottom w:val="200"/>
      <w:divBdr>
        <w:top w:val="none" w:sz="0" w:space="0" w:color="auto"/>
        <w:left w:val="none" w:sz="0" w:space="0" w:color="auto"/>
        <w:bottom w:val="none" w:sz="0" w:space="0" w:color="auto"/>
        <w:right w:val="none" w:sz="0" w:space="0" w:color="auto"/>
      </w:divBdr>
    </w:div>
    <w:div w:id="992831687">
      <w:marLeft w:val="0"/>
      <w:marRight w:val="0"/>
      <w:marTop w:val="0"/>
      <w:marBottom w:val="0"/>
      <w:divBdr>
        <w:top w:val="none" w:sz="0" w:space="0" w:color="auto"/>
        <w:left w:val="none" w:sz="0" w:space="0" w:color="auto"/>
        <w:bottom w:val="none" w:sz="0" w:space="0" w:color="auto"/>
        <w:right w:val="none" w:sz="0" w:space="0" w:color="auto"/>
      </w:divBdr>
      <w:divsChild>
        <w:div w:id="1051229671">
          <w:marLeft w:val="0"/>
          <w:marRight w:val="0"/>
          <w:marTop w:val="0"/>
          <w:marBottom w:val="0"/>
          <w:divBdr>
            <w:top w:val="none" w:sz="0" w:space="0" w:color="auto"/>
            <w:left w:val="none" w:sz="0" w:space="0" w:color="auto"/>
            <w:bottom w:val="none" w:sz="0" w:space="0" w:color="auto"/>
            <w:right w:val="none" w:sz="0" w:space="0" w:color="auto"/>
          </w:divBdr>
        </w:div>
      </w:divsChild>
    </w:div>
    <w:div w:id="994450191">
      <w:marLeft w:val="0"/>
      <w:marRight w:val="0"/>
      <w:marTop w:val="0"/>
      <w:marBottom w:val="0"/>
      <w:divBdr>
        <w:top w:val="none" w:sz="0" w:space="0" w:color="auto"/>
        <w:left w:val="none" w:sz="0" w:space="0" w:color="auto"/>
        <w:bottom w:val="none" w:sz="0" w:space="0" w:color="auto"/>
        <w:right w:val="none" w:sz="0" w:space="0" w:color="auto"/>
      </w:divBdr>
      <w:divsChild>
        <w:div w:id="1632008896">
          <w:marLeft w:val="0"/>
          <w:marRight w:val="0"/>
          <w:marTop w:val="0"/>
          <w:marBottom w:val="0"/>
          <w:divBdr>
            <w:top w:val="none" w:sz="0" w:space="0" w:color="auto"/>
            <w:left w:val="none" w:sz="0" w:space="0" w:color="auto"/>
            <w:bottom w:val="none" w:sz="0" w:space="0" w:color="auto"/>
            <w:right w:val="none" w:sz="0" w:space="0" w:color="auto"/>
          </w:divBdr>
        </w:div>
      </w:divsChild>
    </w:div>
    <w:div w:id="998071818">
      <w:marLeft w:val="0"/>
      <w:marRight w:val="0"/>
      <w:marTop w:val="0"/>
      <w:marBottom w:val="0"/>
      <w:divBdr>
        <w:top w:val="none" w:sz="0" w:space="0" w:color="auto"/>
        <w:left w:val="none" w:sz="0" w:space="0" w:color="auto"/>
        <w:bottom w:val="none" w:sz="0" w:space="0" w:color="auto"/>
        <w:right w:val="none" w:sz="0" w:space="0" w:color="auto"/>
      </w:divBdr>
      <w:divsChild>
        <w:div w:id="2014642421">
          <w:marLeft w:val="0"/>
          <w:marRight w:val="0"/>
          <w:marTop w:val="0"/>
          <w:marBottom w:val="0"/>
          <w:divBdr>
            <w:top w:val="none" w:sz="0" w:space="0" w:color="auto"/>
            <w:left w:val="none" w:sz="0" w:space="0" w:color="auto"/>
            <w:bottom w:val="none" w:sz="0" w:space="0" w:color="auto"/>
            <w:right w:val="none" w:sz="0" w:space="0" w:color="auto"/>
          </w:divBdr>
        </w:div>
      </w:divsChild>
    </w:div>
    <w:div w:id="1001590230">
      <w:marLeft w:val="0"/>
      <w:marRight w:val="0"/>
      <w:marTop w:val="0"/>
      <w:marBottom w:val="0"/>
      <w:divBdr>
        <w:top w:val="none" w:sz="0" w:space="0" w:color="auto"/>
        <w:left w:val="none" w:sz="0" w:space="0" w:color="auto"/>
        <w:bottom w:val="none" w:sz="0" w:space="0" w:color="auto"/>
        <w:right w:val="none" w:sz="0" w:space="0" w:color="auto"/>
      </w:divBdr>
      <w:divsChild>
        <w:div w:id="281234398">
          <w:marLeft w:val="0"/>
          <w:marRight w:val="0"/>
          <w:marTop w:val="0"/>
          <w:marBottom w:val="0"/>
          <w:divBdr>
            <w:top w:val="none" w:sz="0" w:space="0" w:color="auto"/>
            <w:left w:val="none" w:sz="0" w:space="0" w:color="auto"/>
            <w:bottom w:val="none" w:sz="0" w:space="0" w:color="auto"/>
            <w:right w:val="none" w:sz="0" w:space="0" w:color="auto"/>
          </w:divBdr>
        </w:div>
        <w:div w:id="758909374">
          <w:marLeft w:val="0"/>
          <w:marRight w:val="0"/>
          <w:marTop w:val="0"/>
          <w:marBottom w:val="0"/>
          <w:divBdr>
            <w:top w:val="none" w:sz="0" w:space="0" w:color="auto"/>
            <w:left w:val="none" w:sz="0" w:space="0" w:color="auto"/>
            <w:bottom w:val="none" w:sz="0" w:space="0" w:color="auto"/>
            <w:right w:val="none" w:sz="0" w:space="0" w:color="auto"/>
          </w:divBdr>
        </w:div>
      </w:divsChild>
    </w:div>
    <w:div w:id="1014265911">
      <w:marLeft w:val="0"/>
      <w:marRight w:val="0"/>
      <w:marTop w:val="100"/>
      <w:marBottom w:val="0"/>
      <w:divBdr>
        <w:top w:val="none" w:sz="0" w:space="0" w:color="auto"/>
        <w:left w:val="none" w:sz="0" w:space="0" w:color="auto"/>
        <w:bottom w:val="none" w:sz="0" w:space="0" w:color="auto"/>
        <w:right w:val="none" w:sz="0" w:space="0" w:color="auto"/>
      </w:divBdr>
      <w:divsChild>
        <w:div w:id="642467836">
          <w:marLeft w:val="0"/>
          <w:marRight w:val="0"/>
          <w:marTop w:val="0"/>
          <w:marBottom w:val="0"/>
          <w:divBdr>
            <w:top w:val="none" w:sz="0" w:space="0" w:color="auto"/>
            <w:left w:val="none" w:sz="0" w:space="0" w:color="auto"/>
            <w:bottom w:val="none" w:sz="0" w:space="0" w:color="auto"/>
            <w:right w:val="none" w:sz="0" w:space="0" w:color="auto"/>
          </w:divBdr>
        </w:div>
        <w:div w:id="868184886">
          <w:marLeft w:val="0"/>
          <w:marRight w:val="0"/>
          <w:marTop w:val="0"/>
          <w:marBottom w:val="0"/>
          <w:divBdr>
            <w:top w:val="none" w:sz="0" w:space="0" w:color="auto"/>
            <w:left w:val="none" w:sz="0" w:space="0" w:color="auto"/>
            <w:bottom w:val="none" w:sz="0" w:space="0" w:color="auto"/>
            <w:right w:val="none" w:sz="0" w:space="0" w:color="auto"/>
          </w:divBdr>
        </w:div>
        <w:div w:id="207575670">
          <w:marLeft w:val="0"/>
          <w:marRight w:val="0"/>
          <w:marTop w:val="0"/>
          <w:marBottom w:val="0"/>
          <w:divBdr>
            <w:top w:val="none" w:sz="0" w:space="0" w:color="auto"/>
            <w:left w:val="none" w:sz="0" w:space="0" w:color="auto"/>
            <w:bottom w:val="none" w:sz="0" w:space="0" w:color="auto"/>
            <w:right w:val="none" w:sz="0" w:space="0" w:color="auto"/>
          </w:divBdr>
        </w:div>
        <w:div w:id="1948653377">
          <w:marLeft w:val="0"/>
          <w:marRight w:val="0"/>
          <w:marTop w:val="0"/>
          <w:marBottom w:val="0"/>
          <w:divBdr>
            <w:top w:val="none" w:sz="0" w:space="0" w:color="auto"/>
            <w:left w:val="none" w:sz="0" w:space="0" w:color="auto"/>
            <w:bottom w:val="none" w:sz="0" w:space="0" w:color="auto"/>
            <w:right w:val="none" w:sz="0" w:space="0" w:color="auto"/>
          </w:divBdr>
        </w:div>
        <w:div w:id="876359385">
          <w:marLeft w:val="0"/>
          <w:marRight w:val="0"/>
          <w:marTop w:val="0"/>
          <w:marBottom w:val="0"/>
          <w:divBdr>
            <w:top w:val="none" w:sz="0" w:space="0" w:color="auto"/>
            <w:left w:val="none" w:sz="0" w:space="0" w:color="auto"/>
            <w:bottom w:val="none" w:sz="0" w:space="0" w:color="auto"/>
            <w:right w:val="none" w:sz="0" w:space="0" w:color="auto"/>
          </w:divBdr>
        </w:div>
        <w:div w:id="1516767972">
          <w:marLeft w:val="0"/>
          <w:marRight w:val="0"/>
          <w:marTop w:val="0"/>
          <w:marBottom w:val="0"/>
          <w:divBdr>
            <w:top w:val="none" w:sz="0" w:space="0" w:color="auto"/>
            <w:left w:val="none" w:sz="0" w:space="0" w:color="auto"/>
            <w:bottom w:val="none" w:sz="0" w:space="0" w:color="auto"/>
            <w:right w:val="none" w:sz="0" w:space="0" w:color="auto"/>
          </w:divBdr>
        </w:div>
        <w:div w:id="1490517572">
          <w:marLeft w:val="0"/>
          <w:marRight w:val="0"/>
          <w:marTop w:val="0"/>
          <w:marBottom w:val="0"/>
          <w:divBdr>
            <w:top w:val="none" w:sz="0" w:space="0" w:color="auto"/>
            <w:left w:val="none" w:sz="0" w:space="0" w:color="auto"/>
            <w:bottom w:val="none" w:sz="0" w:space="0" w:color="auto"/>
            <w:right w:val="none" w:sz="0" w:space="0" w:color="auto"/>
          </w:divBdr>
        </w:div>
      </w:divsChild>
    </w:div>
    <w:div w:id="1016224449">
      <w:marLeft w:val="0"/>
      <w:marRight w:val="0"/>
      <w:marTop w:val="100"/>
      <w:marBottom w:val="0"/>
      <w:divBdr>
        <w:top w:val="none" w:sz="0" w:space="0" w:color="auto"/>
        <w:left w:val="none" w:sz="0" w:space="0" w:color="auto"/>
        <w:bottom w:val="none" w:sz="0" w:space="0" w:color="auto"/>
        <w:right w:val="none" w:sz="0" w:space="0" w:color="auto"/>
      </w:divBdr>
    </w:div>
    <w:div w:id="1021778007">
      <w:marLeft w:val="0"/>
      <w:marRight w:val="0"/>
      <w:marTop w:val="100"/>
      <w:marBottom w:val="0"/>
      <w:divBdr>
        <w:top w:val="none" w:sz="0" w:space="0" w:color="auto"/>
        <w:left w:val="none" w:sz="0" w:space="0" w:color="auto"/>
        <w:bottom w:val="none" w:sz="0" w:space="0" w:color="auto"/>
        <w:right w:val="none" w:sz="0" w:space="0" w:color="auto"/>
      </w:divBdr>
    </w:div>
    <w:div w:id="1023744116">
      <w:marLeft w:val="0"/>
      <w:marRight w:val="0"/>
      <w:marTop w:val="0"/>
      <w:marBottom w:val="0"/>
      <w:divBdr>
        <w:top w:val="none" w:sz="0" w:space="0" w:color="auto"/>
        <w:left w:val="none" w:sz="0" w:space="0" w:color="auto"/>
        <w:bottom w:val="none" w:sz="0" w:space="0" w:color="auto"/>
        <w:right w:val="none" w:sz="0" w:space="0" w:color="auto"/>
      </w:divBdr>
    </w:div>
    <w:div w:id="1035347310">
      <w:marLeft w:val="0"/>
      <w:marRight w:val="0"/>
      <w:marTop w:val="0"/>
      <w:marBottom w:val="0"/>
      <w:divBdr>
        <w:top w:val="none" w:sz="0" w:space="0" w:color="auto"/>
        <w:left w:val="none" w:sz="0" w:space="0" w:color="auto"/>
        <w:bottom w:val="none" w:sz="0" w:space="0" w:color="auto"/>
        <w:right w:val="none" w:sz="0" w:space="0" w:color="auto"/>
      </w:divBdr>
    </w:div>
    <w:div w:id="1048919672">
      <w:marLeft w:val="0"/>
      <w:marRight w:val="0"/>
      <w:marTop w:val="0"/>
      <w:marBottom w:val="0"/>
      <w:divBdr>
        <w:top w:val="none" w:sz="0" w:space="0" w:color="auto"/>
        <w:left w:val="none" w:sz="0" w:space="0" w:color="auto"/>
        <w:bottom w:val="none" w:sz="0" w:space="0" w:color="auto"/>
        <w:right w:val="none" w:sz="0" w:space="0" w:color="auto"/>
      </w:divBdr>
    </w:div>
    <w:div w:id="1066880257">
      <w:marLeft w:val="0"/>
      <w:marRight w:val="0"/>
      <w:marTop w:val="0"/>
      <w:marBottom w:val="0"/>
      <w:divBdr>
        <w:top w:val="none" w:sz="0" w:space="0" w:color="auto"/>
        <w:left w:val="none" w:sz="0" w:space="0" w:color="auto"/>
        <w:bottom w:val="none" w:sz="0" w:space="0" w:color="auto"/>
        <w:right w:val="none" w:sz="0" w:space="0" w:color="auto"/>
      </w:divBdr>
    </w:div>
    <w:div w:id="1081370558">
      <w:marLeft w:val="0"/>
      <w:marRight w:val="0"/>
      <w:marTop w:val="0"/>
      <w:marBottom w:val="0"/>
      <w:divBdr>
        <w:top w:val="none" w:sz="0" w:space="0" w:color="auto"/>
        <w:left w:val="none" w:sz="0" w:space="0" w:color="auto"/>
        <w:bottom w:val="none" w:sz="0" w:space="0" w:color="auto"/>
        <w:right w:val="none" w:sz="0" w:space="0" w:color="auto"/>
      </w:divBdr>
      <w:divsChild>
        <w:div w:id="1550455124">
          <w:marLeft w:val="0"/>
          <w:marRight w:val="0"/>
          <w:marTop w:val="0"/>
          <w:marBottom w:val="0"/>
          <w:divBdr>
            <w:top w:val="none" w:sz="0" w:space="0" w:color="auto"/>
            <w:left w:val="none" w:sz="0" w:space="0" w:color="auto"/>
            <w:bottom w:val="none" w:sz="0" w:space="0" w:color="auto"/>
            <w:right w:val="none" w:sz="0" w:space="0" w:color="auto"/>
          </w:divBdr>
        </w:div>
      </w:divsChild>
    </w:div>
    <w:div w:id="1083724816">
      <w:marLeft w:val="0"/>
      <w:marRight w:val="0"/>
      <w:marTop w:val="100"/>
      <w:marBottom w:val="0"/>
      <w:divBdr>
        <w:top w:val="none" w:sz="0" w:space="0" w:color="auto"/>
        <w:left w:val="none" w:sz="0" w:space="0" w:color="auto"/>
        <w:bottom w:val="none" w:sz="0" w:space="0" w:color="auto"/>
        <w:right w:val="none" w:sz="0" w:space="0" w:color="auto"/>
      </w:divBdr>
    </w:div>
    <w:div w:id="1090932154">
      <w:marLeft w:val="0"/>
      <w:marRight w:val="0"/>
      <w:marTop w:val="100"/>
      <w:marBottom w:val="0"/>
      <w:divBdr>
        <w:top w:val="none" w:sz="0" w:space="0" w:color="auto"/>
        <w:left w:val="none" w:sz="0" w:space="0" w:color="auto"/>
        <w:bottom w:val="none" w:sz="0" w:space="0" w:color="auto"/>
        <w:right w:val="none" w:sz="0" w:space="0" w:color="auto"/>
      </w:divBdr>
      <w:divsChild>
        <w:div w:id="570773727">
          <w:marLeft w:val="0"/>
          <w:marRight w:val="0"/>
          <w:marTop w:val="0"/>
          <w:marBottom w:val="0"/>
          <w:divBdr>
            <w:top w:val="none" w:sz="0" w:space="0" w:color="auto"/>
            <w:left w:val="none" w:sz="0" w:space="0" w:color="auto"/>
            <w:bottom w:val="none" w:sz="0" w:space="0" w:color="auto"/>
            <w:right w:val="none" w:sz="0" w:space="0" w:color="auto"/>
          </w:divBdr>
        </w:div>
        <w:div w:id="635843371">
          <w:marLeft w:val="0"/>
          <w:marRight w:val="0"/>
          <w:marTop w:val="0"/>
          <w:marBottom w:val="0"/>
          <w:divBdr>
            <w:top w:val="none" w:sz="0" w:space="0" w:color="auto"/>
            <w:left w:val="none" w:sz="0" w:space="0" w:color="auto"/>
            <w:bottom w:val="none" w:sz="0" w:space="0" w:color="auto"/>
            <w:right w:val="none" w:sz="0" w:space="0" w:color="auto"/>
          </w:divBdr>
        </w:div>
        <w:div w:id="274024036">
          <w:marLeft w:val="0"/>
          <w:marRight w:val="0"/>
          <w:marTop w:val="0"/>
          <w:marBottom w:val="0"/>
          <w:divBdr>
            <w:top w:val="none" w:sz="0" w:space="0" w:color="auto"/>
            <w:left w:val="none" w:sz="0" w:space="0" w:color="auto"/>
            <w:bottom w:val="none" w:sz="0" w:space="0" w:color="auto"/>
            <w:right w:val="none" w:sz="0" w:space="0" w:color="auto"/>
          </w:divBdr>
        </w:div>
        <w:div w:id="311250504">
          <w:marLeft w:val="0"/>
          <w:marRight w:val="0"/>
          <w:marTop w:val="0"/>
          <w:marBottom w:val="0"/>
          <w:divBdr>
            <w:top w:val="none" w:sz="0" w:space="0" w:color="auto"/>
            <w:left w:val="none" w:sz="0" w:space="0" w:color="auto"/>
            <w:bottom w:val="none" w:sz="0" w:space="0" w:color="auto"/>
            <w:right w:val="none" w:sz="0" w:space="0" w:color="auto"/>
          </w:divBdr>
        </w:div>
        <w:div w:id="1200123521">
          <w:marLeft w:val="0"/>
          <w:marRight w:val="0"/>
          <w:marTop w:val="0"/>
          <w:marBottom w:val="0"/>
          <w:divBdr>
            <w:top w:val="none" w:sz="0" w:space="0" w:color="auto"/>
            <w:left w:val="none" w:sz="0" w:space="0" w:color="auto"/>
            <w:bottom w:val="none" w:sz="0" w:space="0" w:color="auto"/>
            <w:right w:val="none" w:sz="0" w:space="0" w:color="auto"/>
          </w:divBdr>
        </w:div>
        <w:div w:id="1848710796">
          <w:marLeft w:val="0"/>
          <w:marRight w:val="0"/>
          <w:marTop w:val="0"/>
          <w:marBottom w:val="0"/>
          <w:divBdr>
            <w:top w:val="none" w:sz="0" w:space="0" w:color="auto"/>
            <w:left w:val="none" w:sz="0" w:space="0" w:color="auto"/>
            <w:bottom w:val="none" w:sz="0" w:space="0" w:color="auto"/>
            <w:right w:val="none" w:sz="0" w:space="0" w:color="auto"/>
          </w:divBdr>
        </w:div>
        <w:div w:id="204372278">
          <w:marLeft w:val="0"/>
          <w:marRight w:val="0"/>
          <w:marTop w:val="0"/>
          <w:marBottom w:val="0"/>
          <w:divBdr>
            <w:top w:val="none" w:sz="0" w:space="0" w:color="auto"/>
            <w:left w:val="none" w:sz="0" w:space="0" w:color="auto"/>
            <w:bottom w:val="none" w:sz="0" w:space="0" w:color="auto"/>
            <w:right w:val="none" w:sz="0" w:space="0" w:color="auto"/>
          </w:divBdr>
        </w:div>
        <w:div w:id="686521614">
          <w:marLeft w:val="0"/>
          <w:marRight w:val="0"/>
          <w:marTop w:val="0"/>
          <w:marBottom w:val="0"/>
          <w:divBdr>
            <w:top w:val="none" w:sz="0" w:space="0" w:color="auto"/>
            <w:left w:val="none" w:sz="0" w:space="0" w:color="auto"/>
            <w:bottom w:val="none" w:sz="0" w:space="0" w:color="auto"/>
            <w:right w:val="none" w:sz="0" w:space="0" w:color="auto"/>
          </w:divBdr>
        </w:div>
        <w:div w:id="801852811">
          <w:marLeft w:val="0"/>
          <w:marRight w:val="0"/>
          <w:marTop w:val="0"/>
          <w:marBottom w:val="0"/>
          <w:divBdr>
            <w:top w:val="none" w:sz="0" w:space="0" w:color="auto"/>
            <w:left w:val="none" w:sz="0" w:space="0" w:color="auto"/>
            <w:bottom w:val="none" w:sz="0" w:space="0" w:color="auto"/>
            <w:right w:val="none" w:sz="0" w:space="0" w:color="auto"/>
          </w:divBdr>
        </w:div>
        <w:div w:id="1629168793">
          <w:marLeft w:val="0"/>
          <w:marRight w:val="0"/>
          <w:marTop w:val="0"/>
          <w:marBottom w:val="0"/>
          <w:divBdr>
            <w:top w:val="none" w:sz="0" w:space="0" w:color="auto"/>
            <w:left w:val="none" w:sz="0" w:space="0" w:color="auto"/>
            <w:bottom w:val="none" w:sz="0" w:space="0" w:color="auto"/>
            <w:right w:val="none" w:sz="0" w:space="0" w:color="auto"/>
          </w:divBdr>
        </w:div>
        <w:div w:id="59717091">
          <w:marLeft w:val="0"/>
          <w:marRight w:val="0"/>
          <w:marTop w:val="0"/>
          <w:marBottom w:val="0"/>
          <w:divBdr>
            <w:top w:val="none" w:sz="0" w:space="0" w:color="auto"/>
            <w:left w:val="none" w:sz="0" w:space="0" w:color="auto"/>
            <w:bottom w:val="none" w:sz="0" w:space="0" w:color="auto"/>
            <w:right w:val="none" w:sz="0" w:space="0" w:color="auto"/>
          </w:divBdr>
        </w:div>
        <w:div w:id="1726754800">
          <w:marLeft w:val="0"/>
          <w:marRight w:val="0"/>
          <w:marTop w:val="0"/>
          <w:marBottom w:val="0"/>
          <w:divBdr>
            <w:top w:val="none" w:sz="0" w:space="0" w:color="auto"/>
            <w:left w:val="none" w:sz="0" w:space="0" w:color="auto"/>
            <w:bottom w:val="none" w:sz="0" w:space="0" w:color="auto"/>
            <w:right w:val="none" w:sz="0" w:space="0" w:color="auto"/>
          </w:divBdr>
        </w:div>
        <w:div w:id="788207371">
          <w:marLeft w:val="0"/>
          <w:marRight w:val="0"/>
          <w:marTop w:val="0"/>
          <w:marBottom w:val="0"/>
          <w:divBdr>
            <w:top w:val="none" w:sz="0" w:space="0" w:color="auto"/>
            <w:left w:val="none" w:sz="0" w:space="0" w:color="auto"/>
            <w:bottom w:val="none" w:sz="0" w:space="0" w:color="auto"/>
            <w:right w:val="none" w:sz="0" w:space="0" w:color="auto"/>
          </w:divBdr>
        </w:div>
        <w:div w:id="483089722">
          <w:marLeft w:val="0"/>
          <w:marRight w:val="0"/>
          <w:marTop w:val="0"/>
          <w:marBottom w:val="0"/>
          <w:divBdr>
            <w:top w:val="none" w:sz="0" w:space="0" w:color="auto"/>
            <w:left w:val="none" w:sz="0" w:space="0" w:color="auto"/>
            <w:bottom w:val="none" w:sz="0" w:space="0" w:color="auto"/>
            <w:right w:val="none" w:sz="0" w:space="0" w:color="auto"/>
          </w:divBdr>
        </w:div>
        <w:div w:id="781530798">
          <w:marLeft w:val="0"/>
          <w:marRight w:val="0"/>
          <w:marTop w:val="0"/>
          <w:marBottom w:val="0"/>
          <w:divBdr>
            <w:top w:val="none" w:sz="0" w:space="0" w:color="auto"/>
            <w:left w:val="none" w:sz="0" w:space="0" w:color="auto"/>
            <w:bottom w:val="none" w:sz="0" w:space="0" w:color="auto"/>
            <w:right w:val="none" w:sz="0" w:space="0" w:color="auto"/>
          </w:divBdr>
        </w:div>
        <w:div w:id="1384332107">
          <w:marLeft w:val="0"/>
          <w:marRight w:val="0"/>
          <w:marTop w:val="0"/>
          <w:marBottom w:val="0"/>
          <w:divBdr>
            <w:top w:val="none" w:sz="0" w:space="0" w:color="auto"/>
            <w:left w:val="none" w:sz="0" w:space="0" w:color="auto"/>
            <w:bottom w:val="none" w:sz="0" w:space="0" w:color="auto"/>
            <w:right w:val="none" w:sz="0" w:space="0" w:color="auto"/>
          </w:divBdr>
        </w:div>
      </w:divsChild>
    </w:div>
    <w:div w:id="1091243044">
      <w:marLeft w:val="0"/>
      <w:marRight w:val="0"/>
      <w:marTop w:val="0"/>
      <w:marBottom w:val="0"/>
      <w:divBdr>
        <w:top w:val="none" w:sz="0" w:space="0" w:color="auto"/>
        <w:left w:val="none" w:sz="0" w:space="0" w:color="auto"/>
        <w:bottom w:val="none" w:sz="0" w:space="0" w:color="auto"/>
        <w:right w:val="none" w:sz="0" w:space="0" w:color="auto"/>
      </w:divBdr>
      <w:divsChild>
        <w:div w:id="1796749481">
          <w:marLeft w:val="0"/>
          <w:marRight w:val="0"/>
          <w:marTop w:val="0"/>
          <w:marBottom w:val="0"/>
          <w:divBdr>
            <w:top w:val="none" w:sz="0" w:space="0" w:color="auto"/>
            <w:left w:val="none" w:sz="0" w:space="0" w:color="auto"/>
            <w:bottom w:val="none" w:sz="0" w:space="0" w:color="auto"/>
            <w:right w:val="none" w:sz="0" w:space="0" w:color="auto"/>
          </w:divBdr>
        </w:div>
      </w:divsChild>
    </w:div>
    <w:div w:id="1093168802">
      <w:marLeft w:val="0"/>
      <w:marRight w:val="0"/>
      <w:marTop w:val="200"/>
      <w:marBottom w:val="0"/>
      <w:divBdr>
        <w:top w:val="none" w:sz="0" w:space="0" w:color="auto"/>
        <w:left w:val="none" w:sz="0" w:space="0" w:color="auto"/>
        <w:bottom w:val="none" w:sz="0" w:space="0" w:color="auto"/>
        <w:right w:val="none" w:sz="0" w:space="0" w:color="auto"/>
      </w:divBdr>
    </w:div>
    <w:div w:id="1099640142">
      <w:marLeft w:val="0"/>
      <w:marRight w:val="0"/>
      <w:marTop w:val="0"/>
      <w:marBottom w:val="0"/>
      <w:divBdr>
        <w:top w:val="none" w:sz="0" w:space="0" w:color="auto"/>
        <w:left w:val="none" w:sz="0" w:space="0" w:color="auto"/>
        <w:bottom w:val="none" w:sz="0" w:space="0" w:color="auto"/>
        <w:right w:val="none" w:sz="0" w:space="0" w:color="auto"/>
      </w:divBdr>
      <w:divsChild>
        <w:div w:id="1282300958">
          <w:marLeft w:val="0"/>
          <w:marRight w:val="0"/>
          <w:marTop w:val="0"/>
          <w:marBottom w:val="0"/>
          <w:divBdr>
            <w:top w:val="none" w:sz="0" w:space="0" w:color="auto"/>
            <w:left w:val="none" w:sz="0" w:space="0" w:color="auto"/>
            <w:bottom w:val="none" w:sz="0" w:space="0" w:color="auto"/>
            <w:right w:val="none" w:sz="0" w:space="0" w:color="auto"/>
          </w:divBdr>
        </w:div>
        <w:div w:id="375398741">
          <w:marLeft w:val="0"/>
          <w:marRight w:val="0"/>
          <w:marTop w:val="180"/>
          <w:marBottom w:val="0"/>
          <w:divBdr>
            <w:top w:val="none" w:sz="0" w:space="0" w:color="auto"/>
            <w:left w:val="none" w:sz="0" w:space="0" w:color="auto"/>
            <w:bottom w:val="none" w:sz="0" w:space="0" w:color="auto"/>
            <w:right w:val="none" w:sz="0" w:space="0" w:color="auto"/>
          </w:divBdr>
        </w:div>
      </w:divsChild>
    </w:div>
    <w:div w:id="1129084563">
      <w:marLeft w:val="0"/>
      <w:marRight w:val="0"/>
      <w:marTop w:val="0"/>
      <w:marBottom w:val="0"/>
      <w:divBdr>
        <w:top w:val="none" w:sz="0" w:space="0" w:color="auto"/>
        <w:left w:val="none" w:sz="0" w:space="0" w:color="auto"/>
        <w:bottom w:val="none" w:sz="0" w:space="0" w:color="auto"/>
        <w:right w:val="none" w:sz="0" w:space="0" w:color="auto"/>
      </w:divBdr>
      <w:divsChild>
        <w:div w:id="162819285">
          <w:marLeft w:val="0"/>
          <w:marRight w:val="0"/>
          <w:marTop w:val="0"/>
          <w:marBottom w:val="0"/>
          <w:divBdr>
            <w:top w:val="none" w:sz="0" w:space="0" w:color="auto"/>
            <w:left w:val="none" w:sz="0" w:space="0" w:color="auto"/>
            <w:bottom w:val="none" w:sz="0" w:space="0" w:color="auto"/>
            <w:right w:val="none" w:sz="0" w:space="0" w:color="auto"/>
          </w:divBdr>
        </w:div>
      </w:divsChild>
    </w:div>
    <w:div w:id="1129712357">
      <w:marLeft w:val="0"/>
      <w:marRight w:val="0"/>
      <w:marTop w:val="0"/>
      <w:marBottom w:val="200"/>
      <w:divBdr>
        <w:top w:val="none" w:sz="0" w:space="0" w:color="auto"/>
        <w:left w:val="none" w:sz="0" w:space="0" w:color="auto"/>
        <w:bottom w:val="none" w:sz="0" w:space="0" w:color="auto"/>
        <w:right w:val="none" w:sz="0" w:space="0" w:color="auto"/>
      </w:divBdr>
    </w:div>
    <w:div w:id="1131283160">
      <w:marLeft w:val="0"/>
      <w:marRight w:val="0"/>
      <w:marTop w:val="100"/>
      <w:marBottom w:val="0"/>
      <w:divBdr>
        <w:top w:val="none" w:sz="0" w:space="0" w:color="auto"/>
        <w:left w:val="none" w:sz="0" w:space="0" w:color="auto"/>
        <w:bottom w:val="none" w:sz="0" w:space="0" w:color="auto"/>
        <w:right w:val="none" w:sz="0" w:space="0" w:color="auto"/>
      </w:divBdr>
    </w:div>
    <w:div w:id="1131633264">
      <w:marLeft w:val="0"/>
      <w:marRight w:val="0"/>
      <w:marTop w:val="0"/>
      <w:marBottom w:val="200"/>
      <w:divBdr>
        <w:top w:val="none" w:sz="0" w:space="0" w:color="auto"/>
        <w:left w:val="none" w:sz="0" w:space="0" w:color="auto"/>
        <w:bottom w:val="none" w:sz="0" w:space="0" w:color="auto"/>
        <w:right w:val="none" w:sz="0" w:space="0" w:color="auto"/>
      </w:divBdr>
    </w:div>
    <w:div w:id="1140733606">
      <w:marLeft w:val="0"/>
      <w:marRight w:val="0"/>
      <w:marTop w:val="0"/>
      <w:marBottom w:val="0"/>
      <w:divBdr>
        <w:top w:val="none" w:sz="0" w:space="0" w:color="auto"/>
        <w:left w:val="none" w:sz="0" w:space="0" w:color="auto"/>
        <w:bottom w:val="none" w:sz="0" w:space="0" w:color="auto"/>
        <w:right w:val="none" w:sz="0" w:space="0" w:color="auto"/>
      </w:divBdr>
    </w:div>
    <w:div w:id="1141574297">
      <w:marLeft w:val="0"/>
      <w:marRight w:val="0"/>
      <w:marTop w:val="0"/>
      <w:marBottom w:val="0"/>
      <w:divBdr>
        <w:top w:val="none" w:sz="0" w:space="0" w:color="auto"/>
        <w:left w:val="none" w:sz="0" w:space="0" w:color="auto"/>
        <w:bottom w:val="none" w:sz="0" w:space="0" w:color="auto"/>
        <w:right w:val="none" w:sz="0" w:space="0" w:color="auto"/>
      </w:divBdr>
      <w:divsChild>
        <w:div w:id="1441685239">
          <w:marLeft w:val="0"/>
          <w:marRight w:val="0"/>
          <w:marTop w:val="0"/>
          <w:marBottom w:val="0"/>
          <w:divBdr>
            <w:top w:val="none" w:sz="0" w:space="0" w:color="auto"/>
            <w:left w:val="none" w:sz="0" w:space="0" w:color="auto"/>
            <w:bottom w:val="none" w:sz="0" w:space="0" w:color="auto"/>
            <w:right w:val="none" w:sz="0" w:space="0" w:color="auto"/>
          </w:divBdr>
        </w:div>
      </w:divsChild>
    </w:div>
    <w:div w:id="1143039046">
      <w:marLeft w:val="0"/>
      <w:marRight w:val="0"/>
      <w:marTop w:val="0"/>
      <w:marBottom w:val="200"/>
      <w:divBdr>
        <w:top w:val="none" w:sz="0" w:space="0" w:color="auto"/>
        <w:left w:val="none" w:sz="0" w:space="0" w:color="auto"/>
        <w:bottom w:val="none" w:sz="0" w:space="0" w:color="auto"/>
        <w:right w:val="none" w:sz="0" w:space="0" w:color="auto"/>
      </w:divBdr>
    </w:div>
    <w:div w:id="1144540943">
      <w:marLeft w:val="0"/>
      <w:marRight w:val="0"/>
      <w:marTop w:val="0"/>
      <w:marBottom w:val="0"/>
      <w:divBdr>
        <w:top w:val="none" w:sz="0" w:space="0" w:color="auto"/>
        <w:left w:val="none" w:sz="0" w:space="0" w:color="auto"/>
        <w:bottom w:val="none" w:sz="0" w:space="0" w:color="auto"/>
        <w:right w:val="none" w:sz="0" w:space="0" w:color="auto"/>
      </w:divBdr>
    </w:div>
    <w:div w:id="1148478473">
      <w:marLeft w:val="0"/>
      <w:marRight w:val="0"/>
      <w:marTop w:val="0"/>
      <w:marBottom w:val="0"/>
      <w:divBdr>
        <w:top w:val="none" w:sz="0" w:space="0" w:color="auto"/>
        <w:left w:val="none" w:sz="0" w:space="0" w:color="auto"/>
        <w:bottom w:val="none" w:sz="0" w:space="0" w:color="auto"/>
        <w:right w:val="none" w:sz="0" w:space="0" w:color="auto"/>
      </w:divBdr>
    </w:div>
    <w:div w:id="1156216763">
      <w:marLeft w:val="0"/>
      <w:marRight w:val="0"/>
      <w:marTop w:val="0"/>
      <w:marBottom w:val="0"/>
      <w:divBdr>
        <w:top w:val="none" w:sz="0" w:space="0" w:color="auto"/>
        <w:left w:val="none" w:sz="0" w:space="0" w:color="auto"/>
        <w:bottom w:val="none" w:sz="0" w:space="0" w:color="auto"/>
        <w:right w:val="none" w:sz="0" w:space="0" w:color="auto"/>
      </w:divBdr>
    </w:div>
    <w:div w:id="1158573329">
      <w:marLeft w:val="0"/>
      <w:marRight w:val="0"/>
      <w:marTop w:val="0"/>
      <w:marBottom w:val="200"/>
      <w:divBdr>
        <w:top w:val="none" w:sz="0" w:space="0" w:color="auto"/>
        <w:left w:val="none" w:sz="0" w:space="0" w:color="auto"/>
        <w:bottom w:val="none" w:sz="0" w:space="0" w:color="auto"/>
        <w:right w:val="none" w:sz="0" w:space="0" w:color="auto"/>
      </w:divBdr>
    </w:div>
    <w:div w:id="1159420468">
      <w:marLeft w:val="0"/>
      <w:marRight w:val="0"/>
      <w:marTop w:val="0"/>
      <w:marBottom w:val="0"/>
      <w:divBdr>
        <w:top w:val="none" w:sz="0" w:space="0" w:color="auto"/>
        <w:left w:val="none" w:sz="0" w:space="0" w:color="auto"/>
        <w:bottom w:val="none" w:sz="0" w:space="0" w:color="auto"/>
        <w:right w:val="none" w:sz="0" w:space="0" w:color="auto"/>
      </w:divBdr>
      <w:divsChild>
        <w:div w:id="847914065">
          <w:marLeft w:val="0"/>
          <w:marRight w:val="0"/>
          <w:marTop w:val="0"/>
          <w:marBottom w:val="0"/>
          <w:divBdr>
            <w:top w:val="none" w:sz="0" w:space="0" w:color="auto"/>
            <w:left w:val="none" w:sz="0" w:space="0" w:color="auto"/>
            <w:bottom w:val="none" w:sz="0" w:space="0" w:color="auto"/>
            <w:right w:val="none" w:sz="0" w:space="0" w:color="auto"/>
          </w:divBdr>
        </w:div>
      </w:divsChild>
    </w:div>
    <w:div w:id="1161896118">
      <w:marLeft w:val="0"/>
      <w:marRight w:val="0"/>
      <w:marTop w:val="0"/>
      <w:marBottom w:val="0"/>
      <w:divBdr>
        <w:top w:val="none" w:sz="0" w:space="0" w:color="auto"/>
        <w:left w:val="none" w:sz="0" w:space="0" w:color="auto"/>
        <w:bottom w:val="none" w:sz="0" w:space="0" w:color="auto"/>
        <w:right w:val="none" w:sz="0" w:space="0" w:color="auto"/>
      </w:divBdr>
    </w:div>
    <w:div w:id="1164082324">
      <w:marLeft w:val="0"/>
      <w:marRight w:val="0"/>
      <w:marTop w:val="100"/>
      <w:marBottom w:val="0"/>
      <w:divBdr>
        <w:top w:val="none" w:sz="0" w:space="0" w:color="auto"/>
        <w:left w:val="none" w:sz="0" w:space="0" w:color="auto"/>
        <w:bottom w:val="none" w:sz="0" w:space="0" w:color="auto"/>
        <w:right w:val="none" w:sz="0" w:space="0" w:color="auto"/>
      </w:divBdr>
    </w:div>
    <w:div w:id="1165052037">
      <w:marLeft w:val="0"/>
      <w:marRight w:val="0"/>
      <w:marTop w:val="0"/>
      <w:marBottom w:val="200"/>
      <w:divBdr>
        <w:top w:val="none" w:sz="0" w:space="0" w:color="auto"/>
        <w:left w:val="none" w:sz="0" w:space="0" w:color="auto"/>
        <w:bottom w:val="none" w:sz="0" w:space="0" w:color="auto"/>
        <w:right w:val="none" w:sz="0" w:space="0" w:color="auto"/>
      </w:divBdr>
    </w:div>
    <w:div w:id="1169373610">
      <w:marLeft w:val="0"/>
      <w:marRight w:val="0"/>
      <w:marTop w:val="0"/>
      <w:marBottom w:val="200"/>
      <w:divBdr>
        <w:top w:val="none" w:sz="0" w:space="0" w:color="auto"/>
        <w:left w:val="none" w:sz="0" w:space="0" w:color="auto"/>
        <w:bottom w:val="none" w:sz="0" w:space="0" w:color="auto"/>
        <w:right w:val="none" w:sz="0" w:space="0" w:color="auto"/>
      </w:divBdr>
    </w:div>
    <w:div w:id="1200819343">
      <w:marLeft w:val="0"/>
      <w:marRight w:val="0"/>
      <w:marTop w:val="0"/>
      <w:marBottom w:val="200"/>
      <w:divBdr>
        <w:top w:val="none" w:sz="0" w:space="0" w:color="auto"/>
        <w:left w:val="none" w:sz="0" w:space="0" w:color="auto"/>
        <w:bottom w:val="none" w:sz="0" w:space="0" w:color="auto"/>
        <w:right w:val="none" w:sz="0" w:space="0" w:color="auto"/>
      </w:divBdr>
    </w:div>
    <w:div w:id="1202599049">
      <w:marLeft w:val="0"/>
      <w:marRight w:val="0"/>
      <w:marTop w:val="0"/>
      <w:marBottom w:val="0"/>
      <w:divBdr>
        <w:top w:val="none" w:sz="0" w:space="0" w:color="auto"/>
        <w:left w:val="none" w:sz="0" w:space="0" w:color="auto"/>
        <w:bottom w:val="none" w:sz="0" w:space="0" w:color="auto"/>
        <w:right w:val="none" w:sz="0" w:space="0" w:color="auto"/>
      </w:divBdr>
    </w:div>
    <w:div w:id="1203133259">
      <w:marLeft w:val="0"/>
      <w:marRight w:val="0"/>
      <w:marTop w:val="100"/>
      <w:marBottom w:val="0"/>
      <w:divBdr>
        <w:top w:val="none" w:sz="0" w:space="0" w:color="auto"/>
        <w:left w:val="none" w:sz="0" w:space="0" w:color="auto"/>
        <w:bottom w:val="none" w:sz="0" w:space="0" w:color="auto"/>
        <w:right w:val="none" w:sz="0" w:space="0" w:color="auto"/>
      </w:divBdr>
    </w:div>
    <w:div w:id="1204563181">
      <w:marLeft w:val="0"/>
      <w:marRight w:val="0"/>
      <w:marTop w:val="0"/>
      <w:marBottom w:val="0"/>
      <w:divBdr>
        <w:top w:val="none" w:sz="0" w:space="0" w:color="auto"/>
        <w:left w:val="none" w:sz="0" w:space="0" w:color="auto"/>
        <w:bottom w:val="none" w:sz="0" w:space="0" w:color="auto"/>
        <w:right w:val="none" w:sz="0" w:space="0" w:color="auto"/>
      </w:divBdr>
    </w:div>
    <w:div w:id="1206797824">
      <w:marLeft w:val="0"/>
      <w:marRight w:val="0"/>
      <w:marTop w:val="0"/>
      <w:marBottom w:val="200"/>
      <w:divBdr>
        <w:top w:val="none" w:sz="0" w:space="0" w:color="auto"/>
        <w:left w:val="none" w:sz="0" w:space="0" w:color="auto"/>
        <w:bottom w:val="none" w:sz="0" w:space="0" w:color="auto"/>
        <w:right w:val="none" w:sz="0" w:space="0" w:color="auto"/>
      </w:divBdr>
    </w:div>
    <w:div w:id="1207645594">
      <w:marLeft w:val="0"/>
      <w:marRight w:val="0"/>
      <w:marTop w:val="0"/>
      <w:marBottom w:val="200"/>
      <w:divBdr>
        <w:top w:val="none" w:sz="0" w:space="0" w:color="auto"/>
        <w:left w:val="none" w:sz="0" w:space="0" w:color="auto"/>
        <w:bottom w:val="none" w:sz="0" w:space="0" w:color="auto"/>
        <w:right w:val="none" w:sz="0" w:space="0" w:color="auto"/>
      </w:divBdr>
    </w:div>
    <w:div w:id="1216314064">
      <w:marLeft w:val="0"/>
      <w:marRight w:val="0"/>
      <w:marTop w:val="0"/>
      <w:marBottom w:val="200"/>
      <w:divBdr>
        <w:top w:val="none" w:sz="0" w:space="0" w:color="auto"/>
        <w:left w:val="none" w:sz="0" w:space="0" w:color="auto"/>
        <w:bottom w:val="none" w:sz="0" w:space="0" w:color="auto"/>
        <w:right w:val="none" w:sz="0" w:space="0" w:color="auto"/>
      </w:divBdr>
    </w:div>
    <w:div w:id="1221984377">
      <w:marLeft w:val="0"/>
      <w:marRight w:val="0"/>
      <w:marTop w:val="0"/>
      <w:marBottom w:val="0"/>
      <w:divBdr>
        <w:top w:val="none" w:sz="0" w:space="0" w:color="auto"/>
        <w:left w:val="none" w:sz="0" w:space="0" w:color="auto"/>
        <w:bottom w:val="none" w:sz="0" w:space="0" w:color="auto"/>
        <w:right w:val="none" w:sz="0" w:space="0" w:color="auto"/>
      </w:divBdr>
      <w:divsChild>
        <w:div w:id="158232162">
          <w:marLeft w:val="0"/>
          <w:marRight w:val="0"/>
          <w:marTop w:val="0"/>
          <w:marBottom w:val="0"/>
          <w:divBdr>
            <w:top w:val="none" w:sz="0" w:space="0" w:color="auto"/>
            <w:left w:val="none" w:sz="0" w:space="0" w:color="auto"/>
            <w:bottom w:val="none" w:sz="0" w:space="0" w:color="auto"/>
            <w:right w:val="none" w:sz="0" w:space="0" w:color="auto"/>
          </w:divBdr>
        </w:div>
      </w:divsChild>
    </w:div>
    <w:div w:id="1222448870">
      <w:marLeft w:val="0"/>
      <w:marRight w:val="0"/>
      <w:marTop w:val="0"/>
      <w:marBottom w:val="0"/>
      <w:divBdr>
        <w:top w:val="none" w:sz="0" w:space="0" w:color="auto"/>
        <w:left w:val="none" w:sz="0" w:space="0" w:color="auto"/>
        <w:bottom w:val="none" w:sz="0" w:space="0" w:color="auto"/>
        <w:right w:val="none" w:sz="0" w:space="0" w:color="auto"/>
      </w:divBdr>
    </w:div>
    <w:div w:id="1233663407">
      <w:marLeft w:val="0"/>
      <w:marRight w:val="0"/>
      <w:marTop w:val="100"/>
      <w:marBottom w:val="60"/>
      <w:divBdr>
        <w:top w:val="none" w:sz="0" w:space="0" w:color="auto"/>
        <w:left w:val="none" w:sz="0" w:space="0" w:color="auto"/>
        <w:bottom w:val="none" w:sz="0" w:space="0" w:color="auto"/>
        <w:right w:val="none" w:sz="0" w:space="0" w:color="auto"/>
      </w:divBdr>
    </w:div>
    <w:div w:id="1248270936">
      <w:marLeft w:val="0"/>
      <w:marRight w:val="0"/>
      <w:marTop w:val="100"/>
      <w:marBottom w:val="0"/>
      <w:divBdr>
        <w:top w:val="none" w:sz="0" w:space="0" w:color="auto"/>
        <w:left w:val="none" w:sz="0" w:space="0" w:color="auto"/>
        <w:bottom w:val="none" w:sz="0" w:space="0" w:color="auto"/>
        <w:right w:val="none" w:sz="0" w:space="0" w:color="auto"/>
      </w:divBdr>
    </w:div>
    <w:div w:id="1249078335">
      <w:marLeft w:val="0"/>
      <w:marRight w:val="0"/>
      <w:marTop w:val="0"/>
      <w:marBottom w:val="0"/>
      <w:divBdr>
        <w:top w:val="none" w:sz="0" w:space="0" w:color="auto"/>
        <w:left w:val="none" w:sz="0" w:space="0" w:color="auto"/>
        <w:bottom w:val="none" w:sz="0" w:space="0" w:color="auto"/>
        <w:right w:val="none" w:sz="0" w:space="0" w:color="auto"/>
      </w:divBdr>
      <w:divsChild>
        <w:div w:id="1902672316">
          <w:marLeft w:val="0"/>
          <w:marRight w:val="0"/>
          <w:marTop w:val="0"/>
          <w:marBottom w:val="0"/>
          <w:divBdr>
            <w:top w:val="none" w:sz="0" w:space="0" w:color="auto"/>
            <w:left w:val="none" w:sz="0" w:space="0" w:color="auto"/>
            <w:bottom w:val="none" w:sz="0" w:space="0" w:color="auto"/>
            <w:right w:val="none" w:sz="0" w:space="0" w:color="auto"/>
          </w:divBdr>
        </w:div>
      </w:divsChild>
    </w:div>
    <w:div w:id="1250962222">
      <w:marLeft w:val="0"/>
      <w:marRight w:val="0"/>
      <w:marTop w:val="0"/>
      <w:marBottom w:val="200"/>
      <w:divBdr>
        <w:top w:val="none" w:sz="0" w:space="0" w:color="auto"/>
        <w:left w:val="none" w:sz="0" w:space="0" w:color="auto"/>
        <w:bottom w:val="none" w:sz="0" w:space="0" w:color="auto"/>
        <w:right w:val="none" w:sz="0" w:space="0" w:color="auto"/>
      </w:divBdr>
    </w:div>
    <w:div w:id="1257976348">
      <w:marLeft w:val="0"/>
      <w:marRight w:val="0"/>
      <w:marTop w:val="0"/>
      <w:marBottom w:val="200"/>
      <w:divBdr>
        <w:top w:val="none" w:sz="0" w:space="0" w:color="auto"/>
        <w:left w:val="none" w:sz="0" w:space="0" w:color="auto"/>
        <w:bottom w:val="none" w:sz="0" w:space="0" w:color="auto"/>
        <w:right w:val="none" w:sz="0" w:space="0" w:color="auto"/>
      </w:divBdr>
    </w:div>
    <w:div w:id="1259411662">
      <w:marLeft w:val="0"/>
      <w:marRight w:val="0"/>
      <w:marTop w:val="0"/>
      <w:marBottom w:val="0"/>
      <w:divBdr>
        <w:top w:val="none" w:sz="0" w:space="0" w:color="auto"/>
        <w:left w:val="none" w:sz="0" w:space="0" w:color="auto"/>
        <w:bottom w:val="none" w:sz="0" w:space="0" w:color="auto"/>
        <w:right w:val="none" w:sz="0" w:space="0" w:color="auto"/>
      </w:divBdr>
    </w:div>
    <w:div w:id="1265381683">
      <w:marLeft w:val="0"/>
      <w:marRight w:val="0"/>
      <w:marTop w:val="0"/>
      <w:marBottom w:val="0"/>
      <w:divBdr>
        <w:top w:val="none" w:sz="0" w:space="0" w:color="auto"/>
        <w:left w:val="none" w:sz="0" w:space="0" w:color="auto"/>
        <w:bottom w:val="none" w:sz="0" w:space="0" w:color="auto"/>
        <w:right w:val="none" w:sz="0" w:space="0" w:color="auto"/>
      </w:divBdr>
      <w:divsChild>
        <w:div w:id="1451893552">
          <w:marLeft w:val="0"/>
          <w:marRight w:val="0"/>
          <w:marTop w:val="0"/>
          <w:marBottom w:val="0"/>
          <w:divBdr>
            <w:top w:val="none" w:sz="0" w:space="0" w:color="auto"/>
            <w:left w:val="none" w:sz="0" w:space="0" w:color="auto"/>
            <w:bottom w:val="none" w:sz="0" w:space="0" w:color="auto"/>
            <w:right w:val="none" w:sz="0" w:space="0" w:color="auto"/>
          </w:divBdr>
        </w:div>
        <w:div w:id="234240586">
          <w:marLeft w:val="0"/>
          <w:marRight w:val="0"/>
          <w:marTop w:val="0"/>
          <w:marBottom w:val="0"/>
          <w:divBdr>
            <w:top w:val="none" w:sz="0" w:space="0" w:color="auto"/>
            <w:left w:val="none" w:sz="0" w:space="0" w:color="auto"/>
            <w:bottom w:val="none" w:sz="0" w:space="0" w:color="auto"/>
            <w:right w:val="none" w:sz="0" w:space="0" w:color="auto"/>
          </w:divBdr>
        </w:div>
      </w:divsChild>
    </w:div>
    <w:div w:id="1270889588">
      <w:marLeft w:val="0"/>
      <w:marRight w:val="0"/>
      <w:marTop w:val="0"/>
      <w:marBottom w:val="200"/>
      <w:divBdr>
        <w:top w:val="none" w:sz="0" w:space="0" w:color="auto"/>
        <w:left w:val="none" w:sz="0" w:space="0" w:color="auto"/>
        <w:bottom w:val="none" w:sz="0" w:space="0" w:color="auto"/>
        <w:right w:val="none" w:sz="0" w:space="0" w:color="auto"/>
      </w:divBdr>
    </w:div>
    <w:div w:id="1274557198">
      <w:marLeft w:val="0"/>
      <w:marRight w:val="0"/>
      <w:marTop w:val="0"/>
      <w:marBottom w:val="0"/>
      <w:divBdr>
        <w:top w:val="none" w:sz="0" w:space="0" w:color="auto"/>
        <w:left w:val="none" w:sz="0" w:space="0" w:color="auto"/>
        <w:bottom w:val="none" w:sz="0" w:space="0" w:color="auto"/>
        <w:right w:val="none" w:sz="0" w:space="0" w:color="auto"/>
      </w:divBdr>
      <w:divsChild>
        <w:div w:id="1354333328">
          <w:marLeft w:val="0"/>
          <w:marRight w:val="0"/>
          <w:marTop w:val="0"/>
          <w:marBottom w:val="0"/>
          <w:divBdr>
            <w:top w:val="none" w:sz="0" w:space="0" w:color="auto"/>
            <w:left w:val="none" w:sz="0" w:space="0" w:color="auto"/>
            <w:bottom w:val="none" w:sz="0" w:space="0" w:color="auto"/>
            <w:right w:val="none" w:sz="0" w:space="0" w:color="auto"/>
          </w:divBdr>
        </w:div>
      </w:divsChild>
    </w:div>
    <w:div w:id="1275791877">
      <w:marLeft w:val="0"/>
      <w:marRight w:val="0"/>
      <w:marTop w:val="0"/>
      <w:marBottom w:val="200"/>
      <w:divBdr>
        <w:top w:val="none" w:sz="0" w:space="0" w:color="auto"/>
        <w:left w:val="none" w:sz="0" w:space="0" w:color="auto"/>
        <w:bottom w:val="none" w:sz="0" w:space="0" w:color="auto"/>
        <w:right w:val="none" w:sz="0" w:space="0" w:color="auto"/>
      </w:divBdr>
    </w:div>
    <w:div w:id="1277559082">
      <w:marLeft w:val="0"/>
      <w:marRight w:val="0"/>
      <w:marTop w:val="0"/>
      <w:marBottom w:val="0"/>
      <w:divBdr>
        <w:top w:val="none" w:sz="0" w:space="0" w:color="auto"/>
        <w:left w:val="none" w:sz="0" w:space="0" w:color="auto"/>
        <w:bottom w:val="none" w:sz="0" w:space="0" w:color="auto"/>
        <w:right w:val="none" w:sz="0" w:space="0" w:color="auto"/>
      </w:divBdr>
    </w:div>
    <w:div w:id="1284733102">
      <w:marLeft w:val="0"/>
      <w:marRight w:val="0"/>
      <w:marTop w:val="0"/>
      <w:marBottom w:val="200"/>
      <w:divBdr>
        <w:top w:val="none" w:sz="0" w:space="0" w:color="auto"/>
        <w:left w:val="none" w:sz="0" w:space="0" w:color="auto"/>
        <w:bottom w:val="none" w:sz="0" w:space="0" w:color="auto"/>
        <w:right w:val="none" w:sz="0" w:space="0" w:color="auto"/>
      </w:divBdr>
    </w:div>
    <w:div w:id="1289891535">
      <w:marLeft w:val="0"/>
      <w:marRight w:val="0"/>
      <w:marTop w:val="100"/>
      <w:marBottom w:val="60"/>
      <w:divBdr>
        <w:top w:val="none" w:sz="0" w:space="0" w:color="auto"/>
        <w:left w:val="none" w:sz="0" w:space="0" w:color="auto"/>
        <w:bottom w:val="none" w:sz="0" w:space="0" w:color="auto"/>
        <w:right w:val="none" w:sz="0" w:space="0" w:color="auto"/>
      </w:divBdr>
    </w:div>
    <w:div w:id="1291589140">
      <w:marLeft w:val="0"/>
      <w:marRight w:val="0"/>
      <w:marTop w:val="0"/>
      <w:marBottom w:val="0"/>
      <w:divBdr>
        <w:top w:val="none" w:sz="0" w:space="0" w:color="auto"/>
        <w:left w:val="none" w:sz="0" w:space="0" w:color="auto"/>
        <w:bottom w:val="none" w:sz="0" w:space="0" w:color="auto"/>
        <w:right w:val="none" w:sz="0" w:space="0" w:color="auto"/>
      </w:divBdr>
    </w:div>
    <w:div w:id="1300526108">
      <w:marLeft w:val="0"/>
      <w:marRight w:val="0"/>
      <w:marTop w:val="0"/>
      <w:marBottom w:val="0"/>
      <w:divBdr>
        <w:top w:val="none" w:sz="0" w:space="0" w:color="auto"/>
        <w:left w:val="none" w:sz="0" w:space="0" w:color="auto"/>
        <w:bottom w:val="none" w:sz="0" w:space="0" w:color="auto"/>
        <w:right w:val="none" w:sz="0" w:space="0" w:color="auto"/>
      </w:divBdr>
    </w:div>
    <w:div w:id="1303121126">
      <w:marLeft w:val="0"/>
      <w:marRight w:val="0"/>
      <w:marTop w:val="0"/>
      <w:marBottom w:val="0"/>
      <w:divBdr>
        <w:top w:val="none" w:sz="0" w:space="0" w:color="auto"/>
        <w:left w:val="none" w:sz="0" w:space="0" w:color="auto"/>
        <w:bottom w:val="none" w:sz="0" w:space="0" w:color="auto"/>
        <w:right w:val="none" w:sz="0" w:space="0" w:color="auto"/>
      </w:divBdr>
    </w:div>
    <w:div w:id="1303265379">
      <w:marLeft w:val="0"/>
      <w:marRight w:val="0"/>
      <w:marTop w:val="0"/>
      <w:marBottom w:val="0"/>
      <w:divBdr>
        <w:top w:val="none" w:sz="0" w:space="0" w:color="auto"/>
        <w:left w:val="none" w:sz="0" w:space="0" w:color="auto"/>
        <w:bottom w:val="none" w:sz="0" w:space="0" w:color="auto"/>
        <w:right w:val="none" w:sz="0" w:space="0" w:color="auto"/>
      </w:divBdr>
      <w:divsChild>
        <w:div w:id="857693813">
          <w:marLeft w:val="0"/>
          <w:marRight w:val="0"/>
          <w:marTop w:val="0"/>
          <w:marBottom w:val="0"/>
          <w:divBdr>
            <w:top w:val="none" w:sz="0" w:space="0" w:color="auto"/>
            <w:left w:val="none" w:sz="0" w:space="0" w:color="auto"/>
            <w:bottom w:val="none" w:sz="0" w:space="0" w:color="auto"/>
            <w:right w:val="none" w:sz="0" w:space="0" w:color="auto"/>
          </w:divBdr>
        </w:div>
      </w:divsChild>
    </w:div>
    <w:div w:id="1307707994">
      <w:marLeft w:val="0"/>
      <w:marRight w:val="0"/>
      <w:marTop w:val="0"/>
      <w:marBottom w:val="200"/>
      <w:divBdr>
        <w:top w:val="none" w:sz="0" w:space="0" w:color="auto"/>
        <w:left w:val="none" w:sz="0" w:space="0" w:color="auto"/>
        <w:bottom w:val="none" w:sz="0" w:space="0" w:color="auto"/>
        <w:right w:val="none" w:sz="0" w:space="0" w:color="auto"/>
      </w:divBdr>
    </w:div>
    <w:div w:id="1311053956">
      <w:marLeft w:val="0"/>
      <w:marRight w:val="0"/>
      <w:marTop w:val="0"/>
      <w:marBottom w:val="0"/>
      <w:divBdr>
        <w:top w:val="none" w:sz="0" w:space="0" w:color="auto"/>
        <w:left w:val="none" w:sz="0" w:space="0" w:color="auto"/>
        <w:bottom w:val="none" w:sz="0" w:space="0" w:color="auto"/>
        <w:right w:val="none" w:sz="0" w:space="0" w:color="auto"/>
      </w:divBdr>
      <w:divsChild>
        <w:div w:id="979306548">
          <w:marLeft w:val="0"/>
          <w:marRight w:val="0"/>
          <w:marTop w:val="0"/>
          <w:marBottom w:val="0"/>
          <w:divBdr>
            <w:top w:val="none" w:sz="0" w:space="0" w:color="auto"/>
            <w:left w:val="none" w:sz="0" w:space="0" w:color="auto"/>
            <w:bottom w:val="none" w:sz="0" w:space="0" w:color="auto"/>
            <w:right w:val="none" w:sz="0" w:space="0" w:color="auto"/>
          </w:divBdr>
        </w:div>
        <w:div w:id="1286038190">
          <w:marLeft w:val="0"/>
          <w:marRight w:val="0"/>
          <w:marTop w:val="180"/>
          <w:marBottom w:val="0"/>
          <w:divBdr>
            <w:top w:val="none" w:sz="0" w:space="0" w:color="auto"/>
            <w:left w:val="none" w:sz="0" w:space="0" w:color="auto"/>
            <w:bottom w:val="none" w:sz="0" w:space="0" w:color="auto"/>
            <w:right w:val="none" w:sz="0" w:space="0" w:color="auto"/>
          </w:divBdr>
        </w:div>
      </w:divsChild>
    </w:div>
    <w:div w:id="1312098986">
      <w:marLeft w:val="0"/>
      <w:marRight w:val="0"/>
      <w:marTop w:val="100"/>
      <w:marBottom w:val="0"/>
      <w:divBdr>
        <w:top w:val="none" w:sz="0" w:space="0" w:color="auto"/>
        <w:left w:val="none" w:sz="0" w:space="0" w:color="auto"/>
        <w:bottom w:val="none" w:sz="0" w:space="0" w:color="auto"/>
        <w:right w:val="none" w:sz="0" w:space="0" w:color="auto"/>
      </w:divBdr>
    </w:div>
    <w:div w:id="1312179759">
      <w:marLeft w:val="0"/>
      <w:marRight w:val="0"/>
      <w:marTop w:val="0"/>
      <w:marBottom w:val="200"/>
      <w:divBdr>
        <w:top w:val="none" w:sz="0" w:space="0" w:color="auto"/>
        <w:left w:val="none" w:sz="0" w:space="0" w:color="auto"/>
        <w:bottom w:val="none" w:sz="0" w:space="0" w:color="auto"/>
        <w:right w:val="none" w:sz="0" w:space="0" w:color="auto"/>
      </w:divBdr>
    </w:div>
    <w:div w:id="1313677873">
      <w:marLeft w:val="0"/>
      <w:marRight w:val="0"/>
      <w:marTop w:val="0"/>
      <w:marBottom w:val="0"/>
      <w:divBdr>
        <w:top w:val="none" w:sz="0" w:space="0" w:color="auto"/>
        <w:left w:val="none" w:sz="0" w:space="0" w:color="auto"/>
        <w:bottom w:val="none" w:sz="0" w:space="0" w:color="auto"/>
        <w:right w:val="none" w:sz="0" w:space="0" w:color="auto"/>
      </w:divBdr>
      <w:divsChild>
        <w:div w:id="852450196">
          <w:marLeft w:val="0"/>
          <w:marRight w:val="0"/>
          <w:marTop w:val="0"/>
          <w:marBottom w:val="0"/>
          <w:divBdr>
            <w:top w:val="none" w:sz="0" w:space="0" w:color="auto"/>
            <w:left w:val="none" w:sz="0" w:space="0" w:color="auto"/>
            <w:bottom w:val="none" w:sz="0" w:space="0" w:color="auto"/>
            <w:right w:val="none" w:sz="0" w:space="0" w:color="auto"/>
          </w:divBdr>
        </w:div>
        <w:div w:id="1556428739">
          <w:marLeft w:val="0"/>
          <w:marRight w:val="0"/>
          <w:marTop w:val="180"/>
          <w:marBottom w:val="0"/>
          <w:divBdr>
            <w:top w:val="none" w:sz="0" w:space="0" w:color="auto"/>
            <w:left w:val="none" w:sz="0" w:space="0" w:color="auto"/>
            <w:bottom w:val="none" w:sz="0" w:space="0" w:color="auto"/>
            <w:right w:val="none" w:sz="0" w:space="0" w:color="auto"/>
          </w:divBdr>
        </w:div>
      </w:divsChild>
    </w:div>
    <w:div w:id="1326199534">
      <w:marLeft w:val="0"/>
      <w:marRight w:val="0"/>
      <w:marTop w:val="0"/>
      <w:marBottom w:val="200"/>
      <w:divBdr>
        <w:top w:val="none" w:sz="0" w:space="0" w:color="auto"/>
        <w:left w:val="none" w:sz="0" w:space="0" w:color="auto"/>
        <w:bottom w:val="none" w:sz="0" w:space="0" w:color="auto"/>
        <w:right w:val="none" w:sz="0" w:space="0" w:color="auto"/>
      </w:divBdr>
    </w:div>
    <w:div w:id="1327826546">
      <w:marLeft w:val="0"/>
      <w:marRight w:val="0"/>
      <w:marTop w:val="0"/>
      <w:marBottom w:val="200"/>
      <w:divBdr>
        <w:top w:val="none" w:sz="0" w:space="0" w:color="auto"/>
        <w:left w:val="none" w:sz="0" w:space="0" w:color="auto"/>
        <w:bottom w:val="none" w:sz="0" w:space="0" w:color="auto"/>
        <w:right w:val="none" w:sz="0" w:space="0" w:color="auto"/>
      </w:divBdr>
    </w:div>
    <w:div w:id="1331635673">
      <w:marLeft w:val="0"/>
      <w:marRight w:val="0"/>
      <w:marTop w:val="200"/>
      <w:marBottom w:val="0"/>
      <w:divBdr>
        <w:top w:val="none" w:sz="0" w:space="0" w:color="auto"/>
        <w:left w:val="none" w:sz="0" w:space="0" w:color="auto"/>
        <w:bottom w:val="none" w:sz="0" w:space="0" w:color="auto"/>
        <w:right w:val="none" w:sz="0" w:space="0" w:color="auto"/>
      </w:divBdr>
    </w:div>
    <w:div w:id="1334802664">
      <w:marLeft w:val="0"/>
      <w:marRight w:val="0"/>
      <w:marTop w:val="0"/>
      <w:marBottom w:val="0"/>
      <w:divBdr>
        <w:top w:val="none" w:sz="0" w:space="0" w:color="auto"/>
        <w:left w:val="none" w:sz="0" w:space="0" w:color="auto"/>
        <w:bottom w:val="none" w:sz="0" w:space="0" w:color="auto"/>
        <w:right w:val="none" w:sz="0" w:space="0" w:color="auto"/>
      </w:divBdr>
      <w:divsChild>
        <w:div w:id="21638042">
          <w:marLeft w:val="0"/>
          <w:marRight w:val="0"/>
          <w:marTop w:val="0"/>
          <w:marBottom w:val="0"/>
          <w:divBdr>
            <w:top w:val="none" w:sz="0" w:space="0" w:color="auto"/>
            <w:left w:val="none" w:sz="0" w:space="0" w:color="auto"/>
            <w:bottom w:val="none" w:sz="0" w:space="0" w:color="auto"/>
            <w:right w:val="none" w:sz="0" w:space="0" w:color="auto"/>
          </w:divBdr>
        </w:div>
      </w:divsChild>
    </w:div>
    <w:div w:id="1334912931">
      <w:marLeft w:val="0"/>
      <w:marRight w:val="0"/>
      <w:marTop w:val="0"/>
      <w:marBottom w:val="0"/>
      <w:divBdr>
        <w:top w:val="none" w:sz="0" w:space="0" w:color="auto"/>
        <w:left w:val="none" w:sz="0" w:space="0" w:color="auto"/>
        <w:bottom w:val="none" w:sz="0" w:space="0" w:color="auto"/>
        <w:right w:val="none" w:sz="0" w:space="0" w:color="auto"/>
      </w:divBdr>
    </w:div>
    <w:div w:id="1335036607">
      <w:marLeft w:val="0"/>
      <w:marRight w:val="0"/>
      <w:marTop w:val="100"/>
      <w:marBottom w:val="0"/>
      <w:divBdr>
        <w:top w:val="none" w:sz="0" w:space="0" w:color="auto"/>
        <w:left w:val="none" w:sz="0" w:space="0" w:color="auto"/>
        <w:bottom w:val="none" w:sz="0" w:space="0" w:color="auto"/>
        <w:right w:val="none" w:sz="0" w:space="0" w:color="auto"/>
      </w:divBdr>
      <w:divsChild>
        <w:div w:id="341518209">
          <w:marLeft w:val="0"/>
          <w:marRight w:val="0"/>
          <w:marTop w:val="0"/>
          <w:marBottom w:val="44"/>
          <w:divBdr>
            <w:top w:val="none" w:sz="0" w:space="0" w:color="auto"/>
            <w:left w:val="none" w:sz="0" w:space="0" w:color="auto"/>
            <w:bottom w:val="none" w:sz="0" w:space="0" w:color="auto"/>
            <w:right w:val="none" w:sz="0" w:space="0" w:color="auto"/>
          </w:divBdr>
        </w:div>
        <w:div w:id="380981192">
          <w:marLeft w:val="0"/>
          <w:marRight w:val="0"/>
          <w:marTop w:val="0"/>
          <w:marBottom w:val="44"/>
          <w:divBdr>
            <w:top w:val="none" w:sz="0" w:space="0" w:color="auto"/>
            <w:left w:val="none" w:sz="0" w:space="0" w:color="auto"/>
            <w:bottom w:val="none" w:sz="0" w:space="0" w:color="auto"/>
            <w:right w:val="none" w:sz="0" w:space="0" w:color="auto"/>
          </w:divBdr>
        </w:div>
        <w:div w:id="1090393138">
          <w:marLeft w:val="0"/>
          <w:marRight w:val="0"/>
          <w:marTop w:val="0"/>
          <w:marBottom w:val="44"/>
          <w:divBdr>
            <w:top w:val="none" w:sz="0" w:space="0" w:color="auto"/>
            <w:left w:val="none" w:sz="0" w:space="0" w:color="auto"/>
            <w:bottom w:val="none" w:sz="0" w:space="0" w:color="auto"/>
            <w:right w:val="none" w:sz="0" w:space="0" w:color="auto"/>
          </w:divBdr>
        </w:div>
        <w:div w:id="1583225153">
          <w:marLeft w:val="0"/>
          <w:marRight w:val="0"/>
          <w:marTop w:val="0"/>
          <w:marBottom w:val="44"/>
          <w:divBdr>
            <w:top w:val="none" w:sz="0" w:space="0" w:color="auto"/>
            <w:left w:val="none" w:sz="0" w:space="0" w:color="auto"/>
            <w:bottom w:val="none" w:sz="0" w:space="0" w:color="auto"/>
            <w:right w:val="none" w:sz="0" w:space="0" w:color="auto"/>
          </w:divBdr>
        </w:div>
        <w:div w:id="1419865081">
          <w:marLeft w:val="0"/>
          <w:marRight w:val="0"/>
          <w:marTop w:val="0"/>
          <w:marBottom w:val="44"/>
          <w:divBdr>
            <w:top w:val="none" w:sz="0" w:space="0" w:color="auto"/>
            <w:left w:val="none" w:sz="0" w:space="0" w:color="auto"/>
            <w:bottom w:val="none" w:sz="0" w:space="0" w:color="auto"/>
            <w:right w:val="none" w:sz="0" w:space="0" w:color="auto"/>
          </w:divBdr>
        </w:div>
        <w:div w:id="1341853318">
          <w:marLeft w:val="0"/>
          <w:marRight w:val="0"/>
          <w:marTop w:val="0"/>
          <w:marBottom w:val="44"/>
          <w:divBdr>
            <w:top w:val="none" w:sz="0" w:space="0" w:color="auto"/>
            <w:left w:val="none" w:sz="0" w:space="0" w:color="auto"/>
            <w:bottom w:val="none" w:sz="0" w:space="0" w:color="auto"/>
            <w:right w:val="none" w:sz="0" w:space="0" w:color="auto"/>
          </w:divBdr>
        </w:div>
      </w:divsChild>
    </w:div>
    <w:div w:id="1335261141">
      <w:marLeft w:val="0"/>
      <w:marRight w:val="0"/>
      <w:marTop w:val="0"/>
      <w:marBottom w:val="200"/>
      <w:divBdr>
        <w:top w:val="none" w:sz="0" w:space="0" w:color="auto"/>
        <w:left w:val="none" w:sz="0" w:space="0" w:color="auto"/>
        <w:bottom w:val="none" w:sz="0" w:space="0" w:color="auto"/>
        <w:right w:val="none" w:sz="0" w:space="0" w:color="auto"/>
      </w:divBdr>
    </w:div>
    <w:div w:id="1355688371">
      <w:marLeft w:val="0"/>
      <w:marRight w:val="0"/>
      <w:marTop w:val="0"/>
      <w:marBottom w:val="200"/>
      <w:divBdr>
        <w:top w:val="none" w:sz="0" w:space="0" w:color="auto"/>
        <w:left w:val="none" w:sz="0" w:space="0" w:color="auto"/>
        <w:bottom w:val="none" w:sz="0" w:space="0" w:color="auto"/>
        <w:right w:val="none" w:sz="0" w:space="0" w:color="auto"/>
      </w:divBdr>
    </w:div>
    <w:div w:id="1356729830">
      <w:marLeft w:val="0"/>
      <w:marRight w:val="0"/>
      <w:marTop w:val="0"/>
      <w:marBottom w:val="0"/>
      <w:divBdr>
        <w:top w:val="none" w:sz="0" w:space="0" w:color="auto"/>
        <w:left w:val="none" w:sz="0" w:space="0" w:color="auto"/>
        <w:bottom w:val="none" w:sz="0" w:space="0" w:color="auto"/>
        <w:right w:val="none" w:sz="0" w:space="0" w:color="auto"/>
      </w:divBdr>
      <w:divsChild>
        <w:div w:id="743719219">
          <w:marLeft w:val="0"/>
          <w:marRight w:val="0"/>
          <w:marTop w:val="0"/>
          <w:marBottom w:val="0"/>
          <w:divBdr>
            <w:top w:val="none" w:sz="0" w:space="0" w:color="auto"/>
            <w:left w:val="none" w:sz="0" w:space="0" w:color="auto"/>
            <w:bottom w:val="none" w:sz="0" w:space="0" w:color="auto"/>
            <w:right w:val="none" w:sz="0" w:space="0" w:color="auto"/>
          </w:divBdr>
        </w:div>
      </w:divsChild>
    </w:div>
    <w:div w:id="1366758099">
      <w:marLeft w:val="0"/>
      <w:marRight w:val="0"/>
      <w:marTop w:val="0"/>
      <w:marBottom w:val="200"/>
      <w:divBdr>
        <w:top w:val="none" w:sz="0" w:space="0" w:color="auto"/>
        <w:left w:val="none" w:sz="0" w:space="0" w:color="auto"/>
        <w:bottom w:val="none" w:sz="0" w:space="0" w:color="auto"/>
        <w:right w:val="none" w:sz="0" w:space="0" w:color="auto"/>
      </w:divBdr>
    </w:div>
    <w:div w:id="1367834263">
      <w:marLeft w:val="0"/>
      <w:marRight w:val="0"/>
      <w:marTop w:val="100"/>
      <w:marBottom w:val="0"/>
      <w:divBdr>
        <w:top w:val="none" w:sz="0" w:space="0" w:color="auto"/>
        <w:left w:val="none" w:sz="0" w:space="0" w:color="auto"/>
        <w:bottom w:val="none" w:sz="0" w:space="0" w:color="auto"/>
        <w:right w:val="none" w:sz="0" w:space="0" w:color="auto"/>
      </w:divBdr>
    </w:div>
    <w:div w:id="1377196387">
      <w:marLeft w:val="0"/>
      <w:marRight w:val="0"/>
      <w:marTop w:val="0"/>
      <w:marBottom w:val="200"/>
      <w:divBdr>
        <w:top w:val="none" w:sz="0" w:space="0" w:color="auto"/>
        <w:left w:val="none" w:sz="0" w:space="0" w:color="auto"/>
        <w:bottom w:val="none" w:sz="0" w:space="0" w:color="auto"/>
        <w:right w:val="none" w:sz="0" w:space="0" w:color="auto"/>
      </w:divBdr>
    </w:div>
    <w:div w:id="1377775900">
      <w:marLeft w:val="0"/>
      <w:marRight w:val="0"/>
      <w:marTop w:val="0"/>
      <w:marBottom w:val="0"/>
      <w:divBdr>
        <w:top w:val="none" w:sz="0" w:space="0" w:color="auto"/>
        <w:left w:val="none" w:sz="0" w:space="0" w:color="auto"/>
        <w:bottom w:val="none" w:sz="0" w:space="0" w:color="auto"/>
        <w:right w:val="none" w:sz="0" w:space="0" w:color="auto"/>
      </w:divBdr>
      <w:divsChild>
        <w:div w:id="1828085338">
          <w:marLeft w:val="0"/>
          <w:marRight w:val="0"/>
          <w:marTop w:val="0"/>
          <w:marBottom w:val="0"/>
          <w:divBdr>
            <w:top w:val="none" w:sz="0" w:space="0" w:color="auto"/>
            <w:left w:val="none" w:sz="0" w:space="0" w:color="auto"/>
            <w:bottom w:val="none" w:sz="0" w:space="0" w:color="auto"/>
            <w:right w:val="none" w:sz="0" w:space="0" w:color="auto"/>
          </w:divBdr>
        </w:div>
      </w:divsChild>
    </w:div>
    <w:div w:id="1378626695">
      <w:marLeft w:val="0"/>
      <w:marRight w:val="0"/>
      <w:marTop w:val="0"/>
      <w:marBottom w:val="0"/>
      <w:divBdr>
        <w:top w:val="none" w:sz="0" w:space="0" w:color="auto"/>
        <w:left w:val="none" w:sz="0" w:space="0" w:color="auto"/>
        <w:bottom w:val="none" w:sz="0" w:space="0" w:color="auto"/>
        <w:right w:val="none" w:sz="0" w:space="0" w:color="auto"/>
      </w:divBdr>
      <w:divsChild>
        <w:div w:id="955140560">
          <w:marLeft w:val="0"/>
          <w:marRight w:val="0"/>
          <w:marTop w:val="0"/>
          <w:marBottom w:val="0"/>
          <w:divBdr>
            <w:top w:val="none" w:sz="0" w:space="0" w:color="auto"/>
            <w:left w:val="none" w:sz="0" w:space="0" w:color="auto"/>
            <w:bottom w:val="none" w:sz="0" w:space="0" w:color="auto"/>
            <w:right w:val="none" w:sz="0" w:space="0" w:color="auto"/>
          </w:divBdr>
        </w:div>
        <w:div w:id="1190214679">
          <w:marLeft w:val="0"/>
          <w:marRight w:val="0"/>
          <w:marTop w:val="180"/>
          <w:marBottom w:val="0"/>
          <w:divBdr>
            <w:top w:val="none" w:sz="0" w:space="0" w:color="auto"/>
            <w:left w:val="none" w:sz="0" w:space="0" w:color="auto"/>
            <w:bottom w:val="none" w:sz="0" w:space="0" w:color="auto"/>
            <w:right w:val="none" w:sz="0" w:space="0" w:color="auto"/>
          </w:divBdr>
        </w:div>
      </w:divsChild>
    </w:div>
    <w:div w:id="1383942658">
      <w:marLeft w:val="0"/>
      <w:marRight w:val="0"/>
      <w:marTop w:val="0"/>
      <w:marBottom w:val="200"/>
      <w:divBdr>
        <w:top w:val="none" w:sz="0" w:space="0" w:color="auto"/>
        <w:left w:val="none" w:sz="0" w:space="0" w:color="auto"/>
        <w:bottom w:val="none" w:sz="0" w:space="0" w:color="auto"/>
        <w:right w:val="none" w:sz="0" w:space="0" w:color="auto"/>
      </w:divBdr>
    </w:div>
    <w:div w:id="1384675683">
      <w:marLeft w:val="0"/>
      <w:marRight w:val="0"/>
      <w:marTop w:val="0"/>
      <w:marBottom w:val="0"/>
      <w:divBdr>
        <w:top w:val="none" w:sz="0" w:space="0" w:color="auto"/>
        <w:left w:val="none" w:sz="0" w:space="0" w:color="auto"/>
        <w:bottom w:val="none" w:sz="0" w:space="0" w:color="auto"/>
        <w:right w:val="none" w:sz="0" w:space="0" w:color="auto"/>
      </w:divBdr>
      <w:divsChild>
        <w:div w:id="1204640316">
          <w:marLeft w:val="0"/>
          <w:marRight w:val="0"/>
          <w:marTop w:val="0"/>
          <w:marBottom w:val="0"/>
          <w:divBdr>
            <w:top w:val="none" w:sz="0" w:space="0" w:color="auto"/>
            <w:left w:val="none" w:sz="0" w:space="0" w:color="auto"/>
            <w:bottom w:val="none" w:sz="0" w:space="0" w:color="auto"/>
            <w:right w:val="none" w:sz="0" w:space="0" w:color="auto"/>
          </w:divBdr>
        </w:div>
      </w:divsChild>
    </w:div>
    <w:div w:id="1396587771">
      <w:marLeft w:val="0"/>
      <w:marRight w:val="0"/>
      <w:marTop w:val="100"/>
      <w:marBottom w:val="0"/>
      <w:divBdr>
        <w:top w:val="none" w:sz="0" w:space="0" w:color="auto"/>
        <w:left w:val="none" w:sz="0" w:space="0" w:color="auto"/>
        <w:bottom w:val="none" w:sz="0" w:space="0" w:color="auto"/>
        <w:right w:val="none" w:sz="0" w:space="0" w:color="auto"/>
      </w:divBdr>
    </w:div>
    <w:div w:id="1416170980">
      <w:marLeft w:val="0"/>
      <w:marRight w:val="0"/>
      <w:marTop w:val="0"/>
      <w:marBottom w:val="200"/>
      <w:divBdr>
        <w:top w:val="none" w:sz="0" w:space="0" w:color="auto"/>
        <w:left w:val="none" w:sz="0" w:space="0" w:color="auto"/>
        <w:bottom w:val="none" w:sz="0" w:space="0" w:color="auto"/>
        <w:right w:val="none" w:sz="0" w:space="0" w:color="auto"/>
      </w:divBdr>
    </w:div>
    <w:div w:id="1417048213">
      <w:marLeft w:val="0"/>
      <w:marRight w:val="0"/>
      <w:marTop w:val="0"/>
      <w:marBottom w:val="0"/>
      <w:divBdr>
        <w:top w:val="none" w:sz="0" w:space="0" w:color="auto"/>
        <w:left w:val="none" w:sz="0" w:space="0" w:color="auto"/>
        <w:bottom w:val="none" w:sz="0" w:space="0" w:color="auto"/>
        <w:right w:val="none" w:sz="0" w:space="0" w:color="auto"/>
      </w:divBdr>
    </w:div>
    <w:div w:id="1424718190">
      <w:marLeft w:val="0"/>
      <w:marRight w:val="0"/>
      <w:marTop w:val="100"/>
      <w:marBottom w:val="0"/>
      <w:divBdr>
        <w:top w:val="none" w:sz="0" w:space="0" w:color="auto"/>
        <w:left w:val="none" w:sz="0" w:space="0" w:color="auto"/>
        <w:bottom w:val="none" w:sz="0" w:space="0" w:color="auto"/>
        <w:right w:val="none" w:sz="0" w:space="0" w:color="auto"/>
      </w:divBdr>
    </w:div>
    <w:div w:id="1457868584">
      <w:marLeft w:val="0"/>
      <w:marRight w:val="0"/>
      <w:marTop w:val="0"/>
      <w:marBottom w:val="200"/>
      <w:divBdr>
        <w:top w:val="none" w:sz="0" w:space="0" w:color="auto"/>
        <w:left w:val="none" w:sz="0" w:space="0" w:color="auto"/>
        <w:bottom w:val="none" w:sz="0" w:space="0" w:color="auto"/>
        <w:right w:val="none" w:sz="0" w:space="0" w:color="auto"/>
      </w:divBdr>
    </w:div>
    <w:div w:id="1461070605">
      <w:marLeft w:val="0"/>
      <w:marRight w:val="0"/>
      <w:marTop w:val="0"/>
      <w:marBottom w:val="200"/>
      <w:divBdr>
        <w:top w:val="none" w:sz="0" w:space="0" w:color="auto"/>
        <w:left w:val="none" w:sz="0" w:space="0" w:color="auto"/>
        <w:bottom w:val="none" w:sz="0" w:space="0" w:color="auto"/>
        <w:right w:val="none" w:sz="0" w:space="0" w:color="auto"/>
      </w:divBdr>
    </w:div>
    <w:div w:id="1465733877">
      <w:marLeft w:val="0"/>
      <w:marRight w:val="0"/>
      <w:marTop w:val="0"/>
      <w:marBottom w:val="0"/>
      <w:divBdr>
        <w:top w:val="none" w:sz="0" w:space="0" w:color="auto"/>
        <w:left w:val="none" w:sz="0" w:space="0" w:color="auto"/>
        <w:bottom w:val="none" w:sz="0" w:space="0" w:color="auto"/>
        <w:right w:val="none" w:sz="0" w:space="0" w:color="auto"/>
      </w:divBdr>
      <w:divsChild>
        <w:div w:id="146365636">
          <w:marLeft w:val="0"/>
          <w:marRight w:val="0"/>
          <w:marTop w:val="0"/>
          <w:marBottom w:val="0"/>
          <w:divBdr>
            <w:top w:val="none" w:sz="0" w:space="0" w:color="auto"/>
            <w:left w:val="none" w:sz="0" w:space="0" w:color="auto"/>
            <w:bottom w:val="none" w:sz="0" w:space="0" w:color="auto"/>
            <w:right w:val="none" w:sz="0" w:space="0" w:color="auto"/>
          </w:divBdr>
        </w:div>
        <w:div w:id="1955013830">
          <w:marLeft w:val="0"/>
          <w:marRight w:val="0"/>
          <w:marTop w:val="180"/>
          <w:marBottom w:val="0"/>
          <w:divBdr>
            <w:top w:val="none" w:sz="0" w:space="0" w:color="auto"/>
            <w:left w:val="none" w:sz="0" w:space="0" w:color="auto"/>
            <w:bottom w:val="none" w:sz="0" w:space="0" w:color="auto"/>
            <w:right w:val="none" w:sz="0" w:space="0" w:color="auto"/>
          </w:divBdr>
        </w:div>
      </w:divsChild>
    </w:div>
    <w:div w:id="1484661946">
      <w:marLeft w:val="0"/>
      <w:marRight w:val="0"/>
      <w:marTop w:val="0"/>
      <w:marBottom w:val="200"/>
      <w:divBdr>
        <w:top w:val="none" w:sz="0" w:space="0" w:color="auto"/>
        <w:left w:val="none" w:sz="0" w:space="0" w:color="auto"/>
        <w:bottom w:val="none" w:sz="0" w:space="0" w:color="auto"/>
        <w:right w:val="none" w:sz="0" w:space="0" w:color="auto"/>
      </w:divBdr>
    </w:div>
    <w:div w:id="1494830113">
      <w:marLeft w:val="0"/>
      <w:marRight w:val="0"/>
      <w:marTop w:val="0"/>
      <w:marBottom w:val="0"/>
      <w:divBdr>
        <w:top w:val="none" w:sz="0" w:space="0" w:color="auto"/>
        <w:left w:val="none" w:sz="0" w:space="0" w:color="auto"/>
        <w:bottom w:val="none" w:sz="0" w:space="0" w:color="auto"/>
        <w:right w:val="none" w:sz="0" w:space="0" w:color="auto"/>
      </w:divBdr>
      <w:divsChild>
        <w:div w:id="708921945">
          <w:marLeft w:val="0"/>
          <w:marRight w:val="0"/>
          <w:marTop w:val="0"/>
          <w:marBottom w:val="0"/>
          <w:divBdr>
            <w:top w:val="none" w:sz="0" w:space="0" w:color="auto"/>
            <w:left w:val="none" w:sz="0" w:space="0" w:color="auto"/>
            <w:bottom w:val="none" w:sz="0" w:space="0" w:color="auto"/>
            <w:right w:val="none" w:sz="0" w:space="0" w:color="auto"/>
          </w:divBdr>
        </w:div>
      </w:divsChild>
    </w:div>
    <w:div w:id="1495145898">
      <w:marLeft w:val="0"/>
      <w:marRight w:val="0"/>
      <w:marTop w:val="0"/>
      <w:marBottom w:val="0"/>
      <w:divBdr>
        <w:top w:val="none" w:sz="0" w:space="0" w:color="auto"/>
        <w:left w:val="none" w:sz="0" w:space="0" w:color="auto"/>
        <w:bottom w:val="none" w:sz="0" w:space="0" w:color="auto"/>
        <w:right w:val="none" w:sz="0" w:space="0" w:color="auto"/>
      </w:divBdr>
      <w:divsChild>
        <w:div w:id="925455692">
          <w:marLeft w:val="0"/>
          <w:marRight w:val="0"/>
          <w:marTop w:val="0"/>
          <w:marBottom w:val="0"/>
          <w:divBdr>
            <w:top w:val="none" w:sz="0" w:space="0" w:color="auto"/>
            <w:left w:val="none" w:sz="0" w:space="0" w:color="auto"/>
            <w:bottom w:val="none" w:sz="0" w:space="0" w:color="auto"/>
            <w:right w:val="none" w:sz="0" w:space="0" w:color="auto"/>
          </w:divBdr>
        </w:div>
      </w:divsChild>
    </w:div>
    <w:div w:id="1498880767">
      <w:marLeft w:val="0"/>
      <w:marRight w:val="0"/>
      <w:marTop w:val="0"/>
      <w:marBottom w:val="200"/>
      <w:divBdr>
        <w:top w:val="none" w:sz="0" w:space="0" w:color="auto"/>
        <w:left w:val="none" w:sz="0" w:space="0" w:color="auto"/>
        <w:bottom w:val="none" w:sz="0" w:space="0" w:color="auto"/>
        <w:right w:val="none" w:sz="0" w:space="0" w:color="auto"/>
      </w:divBdr>
    </w:div>
    <w:div w:id="1500971092">
      <w:marLeft w:val="0"/>
      <w:marRight w:val="0"/>
      <w:marTop w:val="0"/>
      <w:marBottom w:val="200"/>
      <w:divBdr>
        <w:top w:val="none" w:sz="0" w:space="0" w:color="auto"/>
        <w:left w:val="none" w:sz="0" w:space="0" w:color="auto"/>
        <w:bottom w:val="none" w:sz="0" w:space="0" w:color="auto"/>
        <w:right w:val="none" w:sz="0" w:space="0" w:color="auto"/>
      </w:divBdr>
    </w:div>
    <w:div w:id="1507358322">
      <w:marLeft w:val="0"/>
      <w:marRight w:val="0"/>
      <w:marTop w:val="0"/>
      <w:marBottom w:val="0"/>
      <w:divBdr>
        <w:top w:val="none" w:sz="0" w:space="0" w:color="auto"/>
        <w:left w:val="none" w:sz="0" w:space="0" w:color="auto"/>
        <w:bottom w:val="none" w:sz="0" w:space="0" w:color="auto"/>
        <w:right w:val="none" w:sz="0" w:space="0" w:color="auto"/>
      </w:divBdr>
    </w:div>
    <w:div w:id="1509903700">
      <w:marLeft w:val="0"/>
      <w:marRight w:val="0"/>
      <w:marTop w:val="0"/>
      <w:marBottom w:val="0"/>
      <w:divBdr>
        <w:top w:val="none" w:sz="0" w:space="0" w:color="auto"/>
        <w:left w:val="none" w:sz="0" w:space="0" w:color="auto"/>
        <w:bottom w:val="none" w:sz="0" w:space="0" w:color="auto"/>
        <w:right w:val="none" w:sz="0" w:space="0" w:color="auto"/>
      </w:divBdr>
      <w:divsChild>
        <w:div w:id="260920235">
          <w:marLeft w:val="0"/>
          <w:marRight w:val="0"/>
          <w:marTop w:val="0"/>
          <w:marBottom w:val="0"/>
          <w:divBdr>
            <w:top w:val="none" w:sz="0" w:space="0" w:color="auto"/>
            <w:left w:val="none" w:sz="0" w:space="0" w:color="auto"/>
            <w:bottom w:val="none" w:sz="0" w:space="0" w:color="auto"/>
            <w:right w:val="none" w:sz="0" w:space="0" w:color="auto"/>
          </w:divBdr>
        </w:div>
      </w:divsChild>
    </w:div>
    <w:div w:id="1516916370">
      <w:marLeft w:val="0"/>
      <w:marRight w:val="0"/>
      <w:marTop w:val="0"/>
      <w:marBottom w:val="200"/>
      <w:divBdr>
        <w:top w:val="none" w:sz="0" w:space="0" w:color="auto"/>
        <w:left w:val="none" w:sz="0" w:space="0" w:color="auto"/>
        <w:bottom w:val="none" w:sz="0" w:space="0" w:color="auto"/>
        <w:right w:val="none" w:sz="0" w:space="0" w:color="auto"/>
      </w:divBdr>
    </w:div>
    <w:div w:id="1528981404">
      <w:marLeft w:val="0"/>
      <w:marRight w:val="0"/>
      <w:marTop w:val="0"/>
      <w:marBottom w:val="0"/>
      <w:divBdr>
        <w:top w:val="none" w:sz="0" w:space="0" w:color="auto"/>
        <w:left w:val="none" w:sz="0" w:space="0" w:color="auto"/>
        <w:bottom w:val="none" w:sz="0" w:space="0" w:color="auto"/>
        <w:right w:val="none" w:sz="0" w:space="0" w:color="auto"/>
      </w:divBdr>
      <w:divsChild>
        <w:div w:id="405298962">
          <w:marLeft w:val="0"/>
          <w:marRight w:val="0"/>
          <w:marTop w:val="0"/>
          <w:marBottom w:val="0"/>
          <w:divBdr>
            <w:top w:val="none" w:sz="0" w:space="0" w:color="auto"/>
            <w:left w:val="none" w:sz="0" w:space="0" w:color="auto"/>
            <w:bottom w:val="none" w:sz="0" w:space="0" w:color="auto"/>
            <w:right w:val="none" w:sz="0" w:space="0" w:color="auto"/>
          </w:divBdr>
        </w:div>
        <w:div w:id="1529567991">
          <w:marLeft w:val="0"/>
          <w:marRight w:val="0"/>
          <w:marTop w:val="180"/>
          <w:marBottom w:val="0"/>
          <w:divBdr>
            <w:top w:val="none" w:sz="0" w:space="0" w:color="auto"/>
            <w:left w:val="none" w:sz="0" w:space="0" w:color="auto"/>
            <w:bottom w:val="none" w:sz="0" w:space="0" w:color="auto"/>
            <w:right w:val="none" w:sz="0" w:space="0" w:color="auto"/>
          </w:divBdr>
        </w:div>
      </w:divsChild>
    </w:div>
    <w:div w:id="1529635401">
      <w:marLeft w:val="0"/>
      <w:marRight w:val="0"/>
      <w:marTop w:val="0"/>
      <w:marBottom w:val="0"/>
      <w:divBdr>
        <w:top w:val="none" w:sz="0" w:space="0" w:color="auto"/>
        <w:left w:val="none" w:sz="0" w:space="0" w:color="auto"/>
        <w:bottom w:val="none" w:sz="0" w:space="0" w:color="auto"/>
        <w:right w:val="none" w:sz="0" w:space="0" w:color="auto"/>
      </w:divBdr>
      <w:divsChild>
        <w:div w:id="66002872">
          <w:marLeft w:val="0"/>
          <w:marRight w:val="0"/>
          <w:marTop w:val="0"/>
          <w:marBottom w:val="0"/>
          <w:divBdr>
            <w:top w:val="none" w:sz="0" w:space="0" w:color="auto"/>
            <w:left w:val="none" w:sz="0" w:space="0" w:color="auto"/>
            <w:bottom w:val="none" w:sz="0" w:space="0" w:color="auto"/>
            <w:right w:val="none" w:sz="0" w:space="0" w:color="auto"/>
          </w:divBdr>
        </w:div>
      </w:divsChild>
    </w:div>
    <w:div w:id="1534228353">
      <w:marLeft w:val="0"/>
      <w:marRight w:val="0"/>
      <w:marTop w:val="0"/>
      <w:marBottom w:val="0"/>
      <w:divBdr>
        <w:top w:val="none" w:sz="0" w:space="0" w:color="auto"/>
        <w:left w:val="none" w:sz="0" w:space="0" w:color="auto"/>
        <w:bottom w:val="none" w:sz="0" w:space="0" w:color="auto"/>
        <w:right w:val="none" w:sz="0" w:space="0" w:color="auto"/>
      </w:divBdr>
      <w:divsChild>
        <w:div w:id="451562158">
          <w:marLeft w:val="0"/>
          <w:marRight w:val="0"/>
          <w:marTop w:val="0"/>
          <w:marBottom w:val="0"/>
          <w:divBdr>
            <w:top w:val="none" w:sz="0" w:space="0" w:color="auto"/>
            <w:left w:val="none" w:sz="0" w:space="0" w:color="auto"/>
            <w:bottom w:val="none" w:sz="0" w:space="0" w:color="auto"/>
            <w:right w:val="none" w:sz="0" w:space="0" w:color="auto"/>
          </w:divBdr>
        </w:div>
        <w:div w:id="344749747">
          <w:marLeft w:val="0"/>
          <w:marRight w:val="0"/>
          <w:marTop w:val="180"/>
          <w:marBottom w:val="0"/>
          <w:divBdr>
            <w:top w:val="none" w:sz="0" w:space="0" w:color="auto"/>
            <w:left w:val="none" w:sz="0" w:space="0" w:color="auto"/>
            <w:bottom w:val="none" w:sz="0" w:space="0" w:color="auto"/>
            <w:right w:val="none" w:sz="0" w:space="0" w:color="auto"/>
          </w:divBdr>
        </w:div>
      </w:divsChild>
    </w:div>
    <w:div w:id="1539590790">
      <w:marLeft w:val="0"/>
      <w:marRight w:val="0"/>
      <w:marTop w:val="0"/>
      <w:marBottom w:val="0"/>
      <w:divBdr>
        <w:top w:val="none" w:sz="0" w:space="0" w:color="auto"/>
        <w:left w:val="none" w:sz="0" w:space="0" w:color="auto"/>
        <w:bottom w:val="none" w:sz="0" w:space="0" w:color="auto"/>
        <w:right w:val="none" w:sz="0" w:space="0" w:color="auto"/>
      </w:divBdr>
    </w:div>
    <w:div w:id="1541865985">
      <w:marLeft w:val="0"/>
      <w:marRight w:val="0"/>
      <w:marTop w:val="0"/>
      <w:marBottom w:val="200"/>
      <w:divBdr>
        <w:top w:val="none" w:sz="0" w:space="0" w:color="auto"/>
        <w:left w:val="none" w:sz="0" w:space="0" w:color="auto"/>
        <w:bottom w:val="none" w:sz="0" w:space="0" w:color="auto"/>
        <w:right w:val="none" w:sz="0" w:space="0" w:color="auto"/>
      </w:divBdr>
    </w:div>
    <w:div w:id="1543711490">
      <w:marLeft w:val="0"/>
      <w:marRight w:val="0"/>
      <w:marTop w:val="0"/>
      <w:marBottom w:val="0"/>
      <w:divBdr>
        <w:top w:val="none" w:sz="0" w:space="0" w:color="auto"/>
        <w:left w:val="none" w:sz="0" w:space="0" w:color="auto"/>
        <w:bottom w:val="none" w:sz="0" w:space="0" w:color="auto"/>
        <w:right w:val="none" w:sz="0" w:space="0" w:color="auto"/>
      </w:divBdr>
      <w:divsChild>
        <w:div w:id="731469649">
          <w:marLeft w:val="0"/>
          <w:marRight w:val="0"/>
          <w:marTop w:val="0"/>
          <w:marBottom w:val="0"/>
          <w:divBdr>
            <w:top w:val="none" w:sz="0" w:space="0" w:color="auto"/>
            <w:left w:val="none" w:sz="0" w:space="0" w:color="auto"/>
            <w:bottom w:val="none" w:sz="0" w:space="0" w:color="auto"/>
            <w:right w:val="none" w:sz="0" w:space="0" w:color="auto"/>
          </w:divBdr>
        </w:div>
      </w:divsChild>
    </w:div>
    <w:div w:id="1547058611">
      <w:marLeft w:val="0"/>
      <w:marRight w:val="0"/>
      <w:marTop w:val="100"/>
      <w:marBottom w:val="60"/>
      <w:divBdr>
        <w:top w:val="none" w:sz="0" w:space="0" w:color="auto"/>
        <w:left w:val="none" w:sz="0" w:space="0" w:color="auto"/>
        <w:bottom w:val="none" w:sz="0" w:space="0" w:color="auto"/>
        <w:right w:val="none" w:sz="0" w:space="0" w:color="auto"/>
      </w:divBdr>
    </w:div>
    <w:div w:id="1554199574">
      <w:marLeft w:val="0"/>
      <w:marRight w:val="0"/>
      <w:marTop w:val="0"/>
      <w:marBottom w:val="0"/>
      <w:divBdr>
        <w:top w:val="none" w:sz="0" w:space="0" w:color="auto"/>
        <w:left w:val="none" w:sz="0" w:space="0" w:color="auto"/>
        <w:bottom w:val="none" w:sz="0" w:space="0" w:color="auto"/>
        <w:right w:val="none" w:sz="0" w:space="0" w:color="auto"/>
      </w:divBdr>
      <w:divsChild>
        <w:div w:id="236325387">
          <w:marLeft w:val="0"/>
          <w:marRight w:val="0"/>
          <w:marTop w:val="0"/>
          <w:marBottom w:val="0"/>
          <w:divBdr>
            <w:top w:val="none" w:sz="0" w:space="0" w:color="auto"/>
            <w:left w:val="none" w:sz="0" w:space="0" w:color="auto"/>
            <w:bottom w:val="none" w:sz="0" w:space="0" w:color="auto"/>
            <w:right w:val="none" w:sz="0" w:space="0" w:color="auto"/>
          </w:divBdr>
        </w:div>
      </w:divsChild>
    </w:div>
    <w:div w:id="1558978136">
      <w:marLeft w:val="0"/>
      <w:marRight w:val="0"/>
      <w:marTop w:val="0"/>
      <w:marBottom w:val="200"/>
      <w:divBdr>
        <w:top w:val="none" w:sz="0" w:space="0" w:color="auto"/>
        <w:left w:val="none" w:sz="0" w:space="0" w:color="auto"/>
        <w:bottom w:val="none" w:sz="0" w:space="0" w:color="auto"/>
        <w:right w:val="none" w:sz="0" w:space="0" w:color="auto"/>
      </w:divBdr>
    </w:div>
    <w:div w:id="1573000010">
      <w:marLeft w:val="0"/>
      <w:marRight w:val="0"/>
      <w:marTop w:val="0"/>
      <w:marBottom w:val="200"/>
      <w:divBdr>
        <w:top w:val="none" w:sz="0" w:space="0" w:color="auto"/>
        <w:left w:val="none" w:sz="0" w:space="0" w:color="auto"/>
        <w:bottom w:val="none" w:sz="0" w:space="0" w:color="auto"/>
        <w:right w:val="none" w:sz="0" w:space="0" w:color="auto"/>
      </w:divBdr>
    </w:div>
    <w:div w:id="1580402256">
      <w:marLeft w:val="0"/>
      <w:marRight w:val="0"/>
      <w:marTop w:val="0"/>
      <w:marBottom w:val="200"/>
      <w:divBdr>
        <w:top w:val="none" w:sz="0" w:space="0" w:color="auto"/>
        <w:left w:val="none" w:sz="0" w:space="0" w:color="auto"/>
        <w:bottom w:val="none" w:sz="0" w:space="0" w:color="auto"/>
        <w:right w:val="none" w:sz="0" w:space="0" w:color="auto"/>
      </w:divBdr>
    </w:div>
    <w:div w:id="1600261640">
      <w:marLeft w:val="0"/>
      <w:marRight w:val="0"/>
      <w:marTop w:val="0"/>
      <w:marBottom w:val="200"/>
      <w:divBdr>
        <w:top w:val="none" w:sz="0" w:space="0" w:color="auto"/>
        <w:left w:val="none" w:sz="0" w:space="0" w:color="auto"/>
        <w:bottom w:val="none" w:sz="0" w:space="0" w:color="auto"/>
        <w:right w:val="none" w:sz="0" w:space="0" w:color="auto"/>
      </w:divBdr>
    </w:div>
    <w:div w:id="1600942762">
      <w:marLeft w:val="0"/>
      <w:marRight w:val="0"/>
      <w:marTop w:val="20"/>
      <w:marBottom w:val="0"/>
      <w:divBdr>
        <w:top w:val="none" w:sz="0" w:space="0" w:color="auto"/>
        <w:left w:val="none" w:sz="0" w:space="0" w:color="auto"/>
        <w:bottom w:val="none" w:sz="0" w:space="0" w:color="auto"/>
        <w:right w:val="none" w:sz="0" w:space="0" w:color="auto"/>
      </w:divBdr>
    </w:div>
    <w:div w:id="1601331811">
      <w:marLeft w:val="0"/>
      <w:marRight w:val="0"/>
      <w:marTop w:val="0"/>
      <w:marBottom w:val="0"/>
      <w:divBdr>
        <w:top w:val="none" w:sz="0" w:space="0" w:color="auto"/>
        <w:left w:val="none" w:sz="0" w:space="0" w:color="auto"/>
        <w:bottom w:val="none" w:sz="0" w:space="0" w:color="auto"/>
        <w:right w:val="none" w:sz="0" w:space="0" w:color="auto"/>
      </w:divBdr>
      <w:divsChild>
        <w:div w:id="1204371580">
          <w:marLeft w:val="0"/>
          <w:marRight w:val="0"/>
          <w:marTop w:val="0"/>
          <w:marBottom w:val="0"/>
          <w:divBdr>
            <w:top w:val="none" w:sz="0" w:space="0" w:color="auto"/>
            <w:left w:val="none" w:sz="0" w:space="0" w:color="auto"/>
            <w:bottom w:val="none" w:sz="0" w:space="0" w:color="auto"/>
            <w:right w:val="none" w:sz="0" w:space="0" w:color="auto"/>
          </w:divBdr>
        </w:div>
      </w:divsChild>
    </w:div>
    <w:div w:id="1602033608">
      <w:marLeft w:val="0"/>
      <w:marRight w:val="0"/>
      <w:marTop w:val="0"/>
      <w:marBottom w:val="200"/>
      <w:divBdr>
        <w:top w:val="none" w:sz="0" w:space="0" w:color="auto"/>
        <w:left w:val="none" w:sz="0" w:space="0" w:color="auto"/>
        <w:bottom w:val="none" w:sz="0" w:space="0" w:color="auto"/>
        <w:right w:val="none" w:sz="0" w:space="0" w:color="auto"/>
      </w:divBdr>
    </w:div>
    <w:div w:id="1609043454">
      <w:marLeft w:val="0"/>
      <w:marRight w:val="0"/>
      <w:marTop w:val="0"/>
      <w:marBottom w:val="200"/>
      <w:divBdr>
        <w:top w:val="none" w:sz="0" w:space="0" w:color="auto"/>
        <w:left w:val="none" w:sz="0" w:space="0" w:color="auto"/>
        <w:bottom w:val="none" w:sz="0" w:space="0" w:color="auto"/>
        <w:right w:val="none" w:sz="0" w:space="0" w:color="auto"/>
      </w:divBdr>
    </w:div>
    <w:div w:id="1614558278">
      <w:marLeft w:val="0"/>
      <w:marRight w:val="0"/>
      <w:marTop w:val="100"/>
      <w:marBottom w:val="0"/>
      <w:divBdr>
        <w:top w:val="none" w:sz="0" w:space="0" w:color="auto"/>
        <w:left w:val="none" w:sz="0" w:space="0" w:color="auto"/>
        <w:bottom w:val="none" w:sz="0" w:space="0" w:color="auto"/>
        <w:right w:val="none" w:sz="0" w:space="0" w:color="auto"/>
      </w:divBdr>
      <w:divsChild>
        <w:div w:id="97339814">
          <w:marLeft w:val="0"/>
          <w:marRight w:val="0"/>
          <w:marTop w:val="0"/>
          <w:marBottom w:val="0"/>
          <w:divBdr>
            <w:top w:val="none" w:sz="0" w:space="0" w:color="auto"/>
            <w:left w:val="none" w:sz="0" w:space="0" w:color="auto"/>
            <w:bottom w:val="none" w:sz="0" w:space="0" w:color="auto"/>
            <w:right w:val="none" w:sz="0" w:space="0" w:color="auto"/>
          </w:divBdr>
        </w:div>
        <w:div w:id="1928071292">
          <w:marLeft w:val="0"/>
          <w:marRight w:val="0"/>
          <w:marTop w:val="0"/>
          <w:marBottom w:val="0"/>
          <w:divBdr>
            <w:top w:val="none" w:sz="0" w:space="0" w:color="auto"/>
            <w:left w:val="none" w:sz="0" w:space="0" w:color="auto"/>
            <w:bottom w:val="none" w:sz="0" w:space="0" w:color="auto"/>
            <w:right w:val="none" w:sz="0" w:space="0" w:color="auto"/>
          </w:divBdr>
        </w:div>
        <w:div w:id="2142843120">
          <w:marLeft w:val="0"/>
          <w:marRight w:val="0"/>
          <w:marTop w:val="0"/>
          <w:marBottom w:val="0"/>
          <w:divBdr>
            <w:top w:val="none" w:sz="0" w:space="0" w:color="auto"/>
            <w:left w:val="none" w:sz="0" w:space="0" w:color="auto"/>
            <w:bottom w:val="none" w:sz="0" w:space="0" w:color="auto"/>
            <w:right w:val="none" w:sz="0" w:space="0" w:color="auto"/>
          </w:divBdr>
        </w:div>
        <w:div w:id="2010325300">
          <w:marLeft w:val="0"/>
          <w:marRight w:val="0"/>
          <w:marTop w:val="0"/>
          <w:marBottom w:val="0"/>
          <w:divBdr>
            <w:top w:val="none" w:sz="0" w:space="0" w:color="auto"/>
            <w:left w:val="none" w:sz="0" w:space="0" w:color="auto"/>
            <w:bottom w:val="none" w:sz="0" w:space="0" w:color="auto"/>
            <w:right w:val="none" w:sz="0" w:space="0" w:color="auto"/>
          </w:divBdr>
        </w:div>
      </w:divsChild>
    </w:div>
    <w:div w:id="1617369506">
      <w:marLeft w:val="0"/>
      <w:marRight w:val="0"/>
      <w:marTop w:val="0"/>
      <w:marBottom w:val="0"/>
      <w:divBdr>
        <w:top w:val="none" w:sz="0" w:space="0" w:color="auto"/>
        <w:left w:val="none" w:sz="0" w:space="0" w:color="auto"/>
        <w:bottom w:val="none" w:sz="0" w:space="0" w:color="auto"/>
        <w:right w:val="none" w:sz="0" w:space="0" w:color="auto"/>
      </w:divBdr>
    </w:div>
    <w:div w:id="1619676636">
      <w:marLeft w:val="0"/>
      <w:marRight w:val="0"/>
      <w:marTop w:val="0"/>
      <w:marBottom w:val="0"/>
      <w:divBdr>
        <w:top w:val="none" w:sz="0" w:space="0" w:color="auto"/>
        <w:left w:val="none" w:sz="0" w:space="0" w:color="auto"/>
        <w:bottom w:val="none" w:sz="0" w:space="0" w:color="auto"/>
        <w:right w:val="none" w:sz="0" w:space="0" w:color="auto"/>
      </w:divBdr>
      <w:divsChild>
        <w:div w:id="1560286869">
          <w:marLeft w:val="0"/>
          <w:marRight w:val="0"/>
          <w:marTop w:val="0"/>
          <w:marBottom w:val="0"/>
          <w:divBdr>
            <w:top w:val="none" w:sz="0" w:space="0" w:color="auto"/>
            <w:left w:val="none" w:sz="0" w:space="0" w:color="auto"/>
            <w:bottom w:val="none" w:sz="0" w:space="0" w:color="auto"/>
            <w:right w:val="none" w:sz="0" w:space="0" w:color="auto"/>
          </w:divBdr>
        </w:div>
      </w:divsChild>
    </w:div>
    <w:div w:id="1623027819">
      <w:marLeft w:val="0"/>
      <w:marRight w:val="0"/>
      <w:marTop w:val="0"/>
      <w:marBottom w:val="200"/>
      <w:divBdr>
        <w:top w:val="none" w:sz="0" w:space="0" w:color="auto"/>
        <w:left w:val="none" w:sz="0" w:space="0" w:color="auto"/>
        <w:bottom w:val="none" w:sz="0" w:space="0" w:color="auto"/>
        <w:right w:val="none" w:sz="0" w:space="0" w:color="auto"/>
      </w:divBdr>
    </w:div>
    <w:div w:id="1624116663">
      <w:marLeft w:val="0"/>
      <w:marRight w:val="0"/>
      <w:marTop w:val="100"/>
      <w:marBottom w:val="0"/>
      <w:divBdr>
        <w:top w:val="none" w:sz="0" w:space="0" w:color="auto"/>
        <w:left w:val="none" w:sz="0" w:space="0" w:color="auto"/>
        <w:bottom w:val="none" w:sz="0" w:space="0" w:color="auto"/>
        <w:right w:val="none" w:sz="0" w:space="0" w:color="auto"/>
      </w:divBdr>
    </w:div>
    <w:div w:id="1630940441">
      <w:marLeft w:val="0"/>
      <w:marRight w:val="0"/>
      <w:marTop w:val="0"/>
      <w:marBottom w:val="0"/>
      <w:divBdr>
        <w:top w:val="none" w:sz="0" w:space="0" w:color="auto"/>
        <w:left w:val="none" w:sz="0" w:space="0" w:color="auto"/>
        <w:bottom w:val="none" w:sz="0" w:space="0" w:color="auto"/>
        <w:right w:val="none" w:sz="0" w:space="0" w:color="auto"/>
      </w:divBdr>
      <w:divsChild>
        <w:div w:id="620040580">
          <w:marLeft w:val="0"/>
          <w:marRight w:val="0"/>
          <w:marTop w:val="0"/>
          <w:marBottom w:val="0"/>
          <w:divBdr>
            <w:top w:val="none" w:sz="0" w:space="0" w:color="auto"/>
            <w:left w:val="none" w:sz="0" w:space="0" w:color="auto"/>
            <w:bottom w:val="none" w:sz="0" w:space="0" w:color="auto"/>
            <w:right w:val="none" w:sz="0" w:space="0" w:color="auto"/>
          </w:divBdr>
        </w:div>
        <w:div w:id="2083797025">
          <w:marLeft w:val="0"/>
          <w:marRight w:val="0"/>
          <w:marTop w:val="180"/>
          <w:marBottom w:val="0"/>
          <w:divBdr>
            <w:top w:val="none" w:sz="0" w:space="0" w:color="auto"/>
            <w:left w:val="none" w:sz="0" w:space="0" w:color="auto"/>
            <w:bottom w:val="none" w:sz="0" w:space="0" w:color="auto"/>
            <w:right w:val="none" w:sz="0" w:space="0" w:color="auto"/>
          </w:divBdr>
        </w:div>
      </w:divsChild>
    </w:div>
    <w:div w:id="1636058736">
      <w:marLeft w:val="0"/>
      <w:marRight w:val="0"/>
      <w:marTop w:val="200"/>
      <w:marBottom w:val="0"/>
      <w:divBdr>
        <w:top w:val="none" w:sz="0" w:space="0" w:color="auto"/>
        <w:left w:val="none" w:sz="0" w:space="0" w:color="auto"/>
        <w:bottom w:val="none" w:sz="0" w:space="0" w:color="auto"/>
        <w:right w:val="none" w:sz="0" w:space="0" w:color="auto"/>
      </w:divBdr>
    </w:div>
    <w:div w:id="1639146920">
      <w:marLeft w:val="0"/>
      <w:marRight w:val="0"/>
      <w:marTop w:val="100"/>
      <w:marBottom w:val="0"/>
      <w:divBdr>
        <w:top w:val="none" w:sz="0" w:space="0" w:color="auto"/>
        <w:left w:val="none" w:sz="0" w:space="0" w:color="auto"/>
        <w:bottom w:val="none" w:sz="0" w:space="0" w:color="auto"/>
        <w:right w:val="none" w:sz="0" w:space="0" w:color="auto"/>
      </w:divBdr>
    </w:div>
    <w:div w:id="1641494001">
      <w:marLeft w:val="0"/>
      <w:marRight w:val="0"/>
      <w:marTop w:val="200"/>
      <w:marBottom w:val="0"/>
      <w:divBdr>
        <w:top w:val="none" w:sz="0" w:space="0" w:color="auto"/>
        <w:left w:val="none" w:sz="0" w:space="0" w:color="auto"/>
        <w:bottom w:val="none" w:sz="0" w:space="0" w:color="auto"/>
        <w:right w:val="none" w:sz="0" w:space="0" w:color="auto"/>
      </w:divBdr>
    </w:div>
    <w:div w:id="1661809156">
      <w:marLeft w:val="0"/>
      <w:marRight w:val="0"/>
      <w:marTop w:val="200"/>
      <w:marBottom w:val="0"/>
      <w:divBdr>
        <w:top w:val="none" w:sz="0" w:space="0" w:color="auto"/>
        <w:left w:val="none" w:sz="0" w:space="0" w:color="auto"/>
        <w:bottom w:val="none" w:sz="0" w:space="0" w:color="auto"/>
        <w:right w:val="none" w:sz="0" w:space="0" w:color="auto"/>
      </w:divBdr>
    </w:div>
    <w:div w:id="1664623847">
      <w:marLeft w:val="0"/>
      <w:marRight w:val="0"/>
      <w:marTop w:val="0"/>
      <w:marBottom w:val="0"/>
      <w:divBdr>
        <w:top w:val="none" w:sz="0" w:space="0" w:color="auto"/>
        <w:left w:val="none" w:sz="0" w:space="0" w:color="auto"/>
        <w:bottom w:val="none" w:sz="0" w:space="0" w:color="auto"/>
        <w:right w:val="none" w:sz="0" w:space="0" w:color="auto"/>
      </w:divBdr>
      <w:divsChild>
        <w:div w:id="1494183702">
          <w:marLeft w:val="0"/>
          <w:marRight w:val="0"/>
          <w:marTop w:val="0"/>
          <w:marBottom w:val="0"/>
          <w:divBdr>
            <w:top w:val="none" w:sz="0" w:space="0" w:color="auto"/>
            <w:left w:val="none" w:sz="0" w:space="0" w:color="auto"/>
            <w:bottom w:val="none" w:sz="0" w:space="0" w:color="auto"/>
            <w:right w:val="none" w:sz="0" w:space="0" w:color="auto"/>
          </w:divBdr>
        </w:div>
        <w:div w:id="1091511398">
          <w:marLeft w:val="0"/>
          <w:marRight w:val="0"/>
          <w:marTop w:val="0"/>
          <w:marBottom w:val="0"/>
          <w:divBdr>
            <w:top w:val="none" w:sz="0" w:space="0" w:color="auto"/>
            <w:left w:val="none" w:sz="0" w:space="0" w:color="auto"/>
            <w:bottom w:val="none" w:sz="0" w:space="0" w:color="auto"/>
            <w:right w:val="none" w:sz="0" w:space="0" w:color="auto"/>
          </w:divBdr>
        </w:div>
      </w:divsChild>
    </w:div>
    <w:div w:id="1667318790">
      <w:marLeft w:val="0"/>
      <w:marRight w:val="0"/>
      <w:marTop w:val="0"/>
      <w:marBottom w:val="0"/>
      <w:divBdr>
        <w:top w:val="none" w:sz="0" w:space="0" w:color="auto"/>
        <w:left w:val="none" w:sz="0" w:space="0" w:color="auto"/>
        <w:bottom w:val="none" w:sz="0" w:space="0" w:color="auto"/>
        <w:right w:val="none" w:sz="0" w:space="0" w:color="auto"/>
      </w:divBdr>
      <w:divsChild>
        <w:div w:id="1454248887">
          <w:marLeft w:val="0"/>
          <w:marRight w:val="0"/>
          <w:marTop w:val="0"/>
          <w:marBottom w:val="0"/>
          <w:divBdr>
            <w:top w:val="none" w:sz="0" w:space="0" w:color="auto"/>
            <w:left w:val="none" w:sz="0" w:space="0" w:color="auto"/>
            <w:bottom w:val="none" w:sz="0" w:space="0" w:color="auto"/>
            <w:right w:val="none" w:sz="0" w:space="0" w:color="auto"/>
          </w:divBdr>
        </w:div>
      </w:divsChild>
    </w:div>
    <w:div w:id="1671061256">
      <w:marLeft w:val="0"/>
      <w:marRight w:val="0"/>
      <w:marTop w:val="0"/>
      <w:marBottom w:val="200"/>
      <w:divBdr>
        <w:top w:val="none" w:sz="0" w:space="0" w:color="auto"/>
        <w:left w:val="none" w:sz="0" w:space="0" w:color="auto"/>
        <w:bottom w:val="none" w:sz="0" w:space="0" w:color="auto"/>
        <w:right w:val="none" w:sz="0" w:space="0" w:color="auto"/>
      </w:divBdr>
    </w:div>
    <w:div w:id="1673340455">
      <w:marLeft w:val="0"/>
      <w:marRight w:val="0"/>
      <w:marTop w:val="0"/>
      <w:marBottom w:val="200"/>
      <w:divBdr>
        <w:top w:val="none" w:sz="0" w:space="0" w:color="auto"/>
        <w:left w:val="none" w:sz="0" w:space="0" w:color="auto"/>
        <w:bottom w:val="none" w:sz="0" w:space="0" w:color="auto"/>
        <w:right w:val="none" w:sz="0" w:space="0" w:color="auto"/>
      </w:divBdr>
    </w:div>
    <w:div w:id="1675110871">
      <w:marLeft w:val="0"/>
      <w:marRight w:val="0"/>
      <w:marTop w:val="100"/>
      <w:marBottom w:val="0"/>
      <w:divBdr>
        <w:top w:val="none" w:sz="0" w:space="0" w:color="auto"/>
        <w:left w:val="none" w:sz="0" w:space="0" w:color="auto"/>
        <w:bottom w:val="none" w:sz="0" w:space="0" w:color="auto"/>
        <w:right w:val="none" w:sz="0" w:space="0" w:color="auto"/>
      </w:divBdr>
    </w:div>
    <w:div w:id="1676345660">
      <w:marLeft w:val="0"/>
      <w:marRight w:val="0"/>
      <w:marTop w:val="0"/>
      <w:marBottom w:val="200"/>
      <w:divBdr>
        <w:top w:val="none" w:sz="0" w:space="0" w:color="auto"/>
        <w:left w:val="none" w:sz="0" w:space="0" w:color="auto"/>
        <w:bottom w:val="none" w:sz="0" w:space="0" w:color="auto"/>
        <w:right w:val="none" w:sz="0" w:space="0" w:color="auto"/>
      </w:divBdr>
    </w:div>
    <w:div w:id="1680156404">
      <w:marLeft w:val="0"/>
      <w:marRight w:val="0"/>
      <w:marTop w:val="0"/>
      <w:marBottom w:val="200"/>
      <w:divBdr>
        <w:top w:val="none" w:sz="0" w:space="0" w:color="auto"/>
        <w:left w:val="none" w:sz="0" w:space="0" w:color="auto"/>
        <w:bottom w:val="none" w:sz="0" w:space="0" w:color="auto"/>
        <w:right w:val="none" w:sz="0" w:space="0" w:color="auto"/>
      </w:divBdr>
    </w:div>
    <w:div w:id="1695224499">
      <w:marLeft w:val="0"/>
      <w:marRight w:val="0"/>
      <w:marTop w:val="0"/>
      <w:marBottom w:val="0"/>
      <w:divBdr>
        <w:top w:val="none" w:sz="0" w:space="0" w:color="auto"/>
        <w:left w:val="none" w:sz="0" w:space="0" w:color="auto"/>
        <w:bottom w:val="none" w:sz="0" w:space="0" w:color="auto"/>
        <w:right w:val="none" w:sz="0" w:space="0" w:color="auto"/>
      </w:divBdr>
      <w:divsChild>
        <w:div w:id="206912822">
          <w:marLeft w:val="0"/>
          <w:marRight w:val="0"/>
          <w:marTop w:val="0"/>
          <w:marBottom w:val="0"/>
          <w:divBdr>
            <w:top w:val="none" w:sz="0" w:space="0" w:color="auto"/>
            <w:left w:val="none" w:sz="0" w:space="0" w:color="auto"/>
            <w:bottom w:val="none" w:sz="0" w:space="0" w:color="auto"/>
            <w:right w:val="none" w:sz="0" w:space="0" w:color="auto"/>
          </w:divBdr>
        </w:div>
      </w:divsChild>
    </w:div>
    <w:div w:id="1698922063">
      <w:marLeft w:val="0"/>
      <w:marRight w:val="0"/>
      <w:marTop w:val="0"/>
      <w:marBottom w:val="0"/>
      <w:divBdr>
        <w:top w:val="none" w:sz="0" w:space="0" w:color="auto"/>
        <w:left w:val="none" w:sz="0" w:space="0" w:color="auto"/>
        <w:bottom w:val="none" w:sz="0" w:space="0" w:color="auto"/>
        <w:right w:val="none" w:sz="0" w:space="0" w:color="auto"/>
      </w:divBdr>
      <w:divsChild>
        <w:div w:id="777214224">
          <w:marLeft w:val="0"/>
          <w:marRight w:val="0"/>
          <w:marTop w:val="0"/>
          <w:marBottom w:val="0"/>
          <w:divBdr>
            <w:top w:val="none" w:sz="0" w:space="0" w:color="auto"/>
            <w:left w:val="none" w:sz="0" w:space="0" w:color="auto"/>
            <w:bottom w:val="none" w:sz="0" w:space="0" w:color="auto"/>
            <w:right w:val="none" w:sz="0" w:space="0" w:color="auto"/>
          </w:divBdr>
        </w:div>
      </w:divsChild>
    </w:div>
    <w:div w:id="1708603744">
      <w:marLeft w:val="0"/>
      <w:marRight w:val="0"/>
      <w:marTop w:val="0"/>
      <w:marBottom w:val="0"/>
      <w:divBdr>
        <w:top w:val="none" w:sz="0" w:space="0" w:color="auto"/>
        <w:left w:val="none" w:sz="0" w:space="0" w:color="auto"/>
        <w:bottom w:val="none" w:sz="0" w:space="0" w:color="auto"/>
        <w:right w:val="none" w:sz="0" w:space="0" w:color="auto"/>
      </w:divBdr>
      <w:divsChild>
        <w:div w:id="476461710">
          <w:marLeft w:val="0"/>
          <w:marRight w:val="0"/>
          <w:marTop w:val="0"/>
          <w:marBottom w:val="0"/>
          <w:divBdr>
            <w:top w:val="none" w:sz="0" w:space="0" w:color="auto"/>
            <w:left w:val="none" w:sz="0" w:space="0" w:color="auto"/>
            <w:bottom w:val="none" w:sz="0" w:space="0" w:color="auto"/>
            <w:right w:val="none" w:sz="0" w:space="0" w:color="auto"/>
          </w:divBdr>
        </w:div>
      </w:divsChild>
    </w:div>
    <w:div w:id="1716156952">
      <w:marLeft w:val="0"/>
      <w:marRight w:val="0"/>
      <w:marTop w:val="0"/>
      <w:marBottom w:val="200"/>
      <w:divBdr>
        <w:top w:val="none" w:sz="0" w:space="0" w:color="auto"/>
        <w:left w:val="none" w:sz="0" w:space="0" w:color="auto"/>
        <w:bottom w:val="none" w:sz="0" w:space="0" w:color="auto"/>
        <w:right w:val="none" w:sz="0" w:space="0" w:color="auto"/>
      </w:divBdr>
    </w:div>
    <w:div w:id="1726181050">
      <w:marLeft w:val="0"/>
      <w:marRight w:val="0"/>
      <w:marTop w:val="100"/>
      <w:marBottom w:val="0"/>
      <w:divBdr>
        <w:top w:val="none" w:sz="0" w:space="0" w:color="auto"/>
        <w:left w:val="none" w:sz="0" w:space="0" w:color="auto"/>
        <w:bottom w:val="none" w:sz="0" w:space="0" w:color="auto"/>
        <w:right w:val="none" w:sz="0" w:space="0" w:color="auto"/>
      </w:divBdr>
    </w:div>
    <w:div w:id="1729183998">
      <w:marLeft w:val="0"/>
      <w:marRight w:val="0"/>
      <w:marTop w:val="0"/>
      <w:marBottom w:val="200"/>
      <w:divBdr>
        <w:top w:val="none" w:sz="0" w:space="0" w:color="auto"/>
        <w:left w:val="none" w:sz="0" w:space="0" w:color="auto"/>
        <w:bottom w:val="none" w:sz="0" w:space="0" w:color="auto"/>
        <w:right w:val="none" w:sz="0" w:space="0" w:color="auto"/>
      </w:divBdr>
    </w:div>
    <w:div w:id="1736393644">
      <w:marLeft w:val="0"/>
      <w:marRight w:val="0"/>
      <w:marTop w:val="0"/>
      <w:marBottom w:val="200"/>
      <w:divBdr>
        <w:top w:val="none" w:sz="0" w:space="0" w:color="auto"/>
        <w:left w:val="none" w:sz="0" w:space="0" w:color="auto"/>
        <w:bottom w:val="none" w:sz="0" w:space="0" w:color="auto"/>
        <w:right w:val="none" w:sz="0" w:space="0" w:color="auto"/>
      </w:divBdr>
    </w:div>
    <w:div w:id="1761291194">
      <w:marLeft w:val="0"/>
      <w:marRight w:val="0"/>
      <w:marTop w:val="0"/>
      <w:marBottom w:val="0"/>
      <w:divBdr>
        <w:top w:val="none" w:sz="0" w:space="0" w:color="auto"/>
        <w:left w:val="none" w:sz="0" w:space="0" w:color="auto"/>
        <w:bottom w:val="none" w:sz="0" w:space="0" w:color="auto"/>
        <w:right w:val="none" w:sz="0" w:space="0" w:color="auto"/>
      </w:divBdr>
    </w:div>
    <w:div w:id="1824925070">
      <w:marLeft w:val="0"/>
      <w:marRight w:val="0"/>
      <w:marTop w:val="0"/>
      <w:marBottom w:val="200"/>
      <w:divBdr>
        <w:top w:val="none" w:sz="0" w:space="0" w:color="auto"/>
        <w:left w:val="none" w:sz="0" w:space="0" w:color="auto"/>
        <w:bottom w:val="none" w:sz="0" w:space="0" w:color="auto"/>
        <w:right w:val="none" w:sz="0" w:space="0" w:color="auto"/>
      </w:divBdr>
    </w:div>
    <w:div w:id="1839230122">
      <w:marLeft w:val="0"/>
      <w:marRight w:val="0"/>
      <w:marTop w:val="0"/>
      <w:marBottom w:val="0"/>
      <w:divBdr>
        <w:top w:val="none" w:sz="0" w:space="0" w:color="auto"/>
        <w:left w:val="none" w:sz="0" w:space="0" w:color="auto"/>
        <w:bottom w:val="none" w:sz="0" w:space="0" w:color="auto"/>
        <w:right w:val="none" w:sz="0" w:space="0" w:color="auto"/>
      </w:divBdr>
      <w:divsChild>
        <w:div w:id="1687051540">
          <w:marLeft w:val="0"/>
          <w:marRight w:val="0"/>
          <w:marTop w:val="0"/>
          <w:marBottom w:val="0"/>
          <w:divBdr>
            <w:top w:val="none" w:sz="0" w:space="0" w:color="auto"/>
            <w:left w:val="none" w:sz="0" w:space="0" w:color="auto"/>
            <w:bottom w:val="none" w:sz="0" w:space="0" w:color="auto"/>
            <w:right w:val="none" w:sz="0" w:space="0" w:color="auto"/>
          </w:divBdr>
        </w:div>
      </w:divsChild>
    </w:div>
    <w:div w:id="1858736458">
      <w:marLeft w:val="0"/>
      <w:marRight w:val="0"/>
      <w:marTop w:val="0"/>
      <w:marBottom w:val="200"/>
      <w:divBdr>
        <w:top w:val="none" w:sz="0" w:space="0" w:color="auto"/>
        <w:left w:val="none" w:sz="0" w:space="0" w:color="auto"/>
        <w:bottom w:val="none" w:sz="0" w:space="0" w:color="auto"/>
        <w:right w:val="none" w:sz="0" w:space="0" w:color="auto"/>
      </w:divBdr>
    </w:div>
    <w:div w:id="1861508839">
      <w:marLeft w:val="0"/>
      <w:marRight w:val="0"/>
      <w:marTop w:val="0"/>
      <w:marBottom w:val="0"/>
      <w:divBdr>
        <w:top w:val="none" w:sz="0" w:space="0" w:color="auto"/>
        <w:left w:val="none" w:sz="0" w:space="0" w:color="auto"/>
        <w:bottom w:val="none" w:sz="0" w:space="0" w:color="auto"/>
        <w:right w:val="none" w:sz="0" w:space="0" w:color="auto"/>
      </w:divBdr>
      <w:divsChild>
        <w:div w:id="1188829996">
          <w:marLeft w:val="0"/>
          <w:marRight w:val="0"/>
          <w:marTop w:val="0"/>
          <w:marBottom w:val="0"/>
          <w:divBdr>
            <w:top w:val="none" w:sz="0" w:space="0" w:color="auto"/>
            <w:left w:val="none" w:sz="0" w:space="0" w:color="auto"/>
            <w:bottom w:val="none" w:sz="0" w:space="0" w:color="auto"/>
            <w:right w:val="none" w:sz="0" w:space="0" w:color="auto"/>
          </w:divBdr>
        </w:div>
      </w:divsChild>
    </w:div>
    <w:div w:id="1868564955">
      <w:marLeft w:val="0"/>
      <w:marRight w:val="0"/>
      <w:marTop w:val="100"/>
      <w:marBottom w:val="60"/>
      <w:divBdr>
        <w:top w:val="none" w:sz="0" w:space="0" w:color="auto"/>
        <w:left w:val="none" w:sz="0" w:space="0" w:color="auto"/>
        <w:bottom w:val="none" w:sz="0" w:space="0" w:color="auto"/>
        <w:right w:val="none" w:sz="0" w:space="0" w:color="auto"/>
      </w:divBdr>
    </w:div>
    <w:div w:id="1878276620">
      <w:marLeft w:val="0"/>
      <w:marRight w:val="0"/>
      <w:marTop w:val="100"/>
      <w:marBottom w:val="0"/>
      <w:divBdr>
        <w:top w:val="none" w:sz="0" w:space="0" w:color="auto"/>
        <w:left w:val="none" w:sz="0" w:space="0" w:color="auto"/>
        <w:bottom w:val="none" w:sz="0" w:space="0" w:color="auto"/>
        <w:right w:val="none" w:sz="0" w:space="0" w:color="auto"/>
      </w:divBdr>
      <w:divsChild>
        <w:div w:id="1455714223">
          <w:marLeft w:val="0"/>
          <w:marRight w:val="0"/>
          <w:marTop w:val="0"/>
          <w:marBottom w:val="0"/>
          <w:divBdr>
            <w:top w:val="none" w:sz="0" w:space="0" w:color="auto"/>
            <w:left w:val="none" w:sz="0" w:space="0" w:color="auto"/>
            <w:bottom w:val="none" w:sz="0" w:space="0" w:color="auto"/>
            <w:right w:val="none" w:sz="0" w:space="0" w:color="auto"/>
          </w:divBdr>
        </w:div>
      </w:divsChild>
    </w:div>
    <w:div w:id="1879507658">
      <w:marLeft w:val="0"/>
      <w:marRight w:val="0"/>
      <w:marTop w:val="0"/>
      <w:marBottom w:val="0"/>
      <w:divBdr>
        <w:top w:val="none" w:sz="0" w:space="0" w:color="auto"/>
        <w:left w:val="none" w:sz="0" w:space="0" w:color="auto"/>
        <w:bottom w:val="none" w:sz="0" w:space="0" w:color="auto"/>
        <w:right w:val="none" w:sz="0" w:space="0" w:color="auto"/>
      </w:divBdr>
      <w:divsChild>
        <w:div w:id="404642498">
          <w:marLeft w:val="0"/>
          <w:marRight w:val="0"/>
          <w:marTop w:val="0"/>
          <w:marBottom w:val="0"/>
          <w:divBdr>
            <w:top w:val="none" w:sz="0" w:space="0" w:color="auto"/>
            <w:left w:val="none" w:sz="0" w:space="0" w:color="auto"/>
            <w:bottom w:val="none" w:sz="0" w:space="0" w:color="auto"/>
            <w:right w:val="none" w:sz="0" w:space="0" w:color="auto"/>
          </w:divBdr>
        </w:div>
      </w:divsChild>
    </w:div>
    <w:div w:id="1889223571">
      <w:marLeft w:val="0"/>
      <w:marRight w:val="0"/>
      <w:marTop w:val="0"/>
      <w:marBottom w:val="0"/>
      <w:divBdr>
        <w:top w:val="none" w:sz="0" w:space="0" w:color="auto"/>
        <w:left w:val="none" w:sz="0" w:space="0" w:color="auto"/>
        <w:bottom w:val="none" w:sz="0" w:space="0" w:color="auto"/>
        <w:right w:val="none" w:sz="0" w:space="0" w:color="auto"/>
      </w:divBdr>
      <w:divsChild>
        <w:div w:id="314383378">
          <w:marLeft w:val="0"/>
          <w:marRight w:val="0"/>
          <w:marTop w:val="0"/>
          <w:marBottom w:val="0"/>
          <w:divBdr>
            <w:top w:val="none" w:sz="0" w:space="0" w:color="auto"/>
            <w:left w:val="none" w:sz="0" w:space="0" w:color="auto"/>
            <w:bottom w:val="none" w:sz="0" w:space="0" w:color="auto"/>
            <w:right w:val="none" w:sz="0" w:space="0" w:color="auto"/>
          </w:divBdr>
        </w:div>
        <w:div w:id="2042658237">
          <w:marLeft w:val="0"/>
          <w:marRight w:val="0"/>
          <w:marTop w:val="180"/>
          <w:marBottom w:val="0"/>
          <w:divBdr>
            <w:top w:val="none" w:sz="0" w:space="0" w:color="auto"/>
            <w:left w:val="none" w:sz="0" w:space="0" w:color="auto"/>
            <w:bottom w:val="none" w:sz="0" w:space="0" w:color="auto"/>
            <w:right w:val="none" w:sz="0" w:space="0" w:color="auto"/>
          </w:divBdr>
        </w:div>
      </w:divsChild>
    </w:div>
    <w:div w:id="1898541765">
      <w:marLeft w:val="0"/>
      <w:marRight w:val="0"/>
      <w:marTop w:val="160"/>
      <w:marBottom w:val="0"/>
      <w:divBdr>
        <w:top w:val="none" w:sz="0" w:space="0" w:color="auto"/>
        <w:left w:val="none" w:sz="0" w:space="0" w:color="auto"/>
        <w:bottom w:val="none" w:sz="0" w:space="0" w:color="auto"/>
        <w:right w:val="none" w:sz="0" w:space="0" w:color="auto"/>
      </w:divBdr>
    </w:div>
    <w:div w:id="1908415271">
      <w:marLeft w:val="0"/>
      <w:marRight w:val="0"/>
      <w:marTop w:val="0"/>
      <w:marBottom w:val="200"/>
      <w:divBdr>
        <w:top w:val="none" w:sz="0" w:space="0" w:color="auto"/>
        <w:left w:val="none" w:sz="0" w:space="0" w:color="auto"/>
        <w:bottom w:val="none" w:sz="0" w:space="0" w:color="auto"/>
        <w:right w:val="none" w:sz="0" w:space="0" w:color="auto"/>
      </w:divBdr>
    </w:div>
    <w:div w:id="1912542779">
      <w:marLeft w:val="0"/>
      <w:marRight w:val="0"/>
      <w:marTop w:val="0"/>
      <w:marBottom w:val="200"/>
      <w:divBdr>
        <w:top w:val="none" w:sz="0" w:space="0" w:color="auto"/>
        <w:left w:val="none" w:sz="0" w:space="0" w:color="auto"/>
        <w:bottom w:val="none" w:sz="0" w:space="0" w:color="auto"/>
        <w:right w:val="none" w:sz="0" w:space="0" w:color="auto"/>
      </w:divBdr>
    </w:div>
    <w:div w:id="1913390460">
      <w:marLeft w:val="0"/>
      <w:marRight w:val="0"/>
      <w:marTop w:val="0"/>
      <w:marBottom w:val="0"/>
      <w:divBdr>
        <w:top w:val="none" w:sz="0" w:space="0" w:color="auto"/>
        <w:left w:val="none" w:sz="0" w:space="0" w:color="auto"/>
        <w:bottom w:val="none" w:sz="0" w:space="0" w:color="auto"/>
        <w:right w:val="none" w:sz="0" w:space="0" w:color="auto"/>
      </w:divBdr>
      <w:divsChild>
        <w:div w:id="57898714">
          <w:marLeft w:val="0"/>
          <w:marRight w:val="0"/>
          <w:marTop w:val="0"/>
          <w:marBottom w:val="0"/>
          <w:divBdr>
            <w:top w:val="none" w:sz="0" w:space="0" w:color="auto"/>
            <w:left w:val="none" w:sz="0" w:space="0" w:color="auto"/>
            <w:bottom w:val="none" w:sz="0" w:space="0" w:color="auto"/>
            <w:right w:val="none" w:sz="0" w:space="0" w:color="auto"/>
          </w:divBdr>
        </w:div>
        <w:div w:id="1099332746">
          <w:marLeft w:val="0"/>
          <w:marRight w:val="0"/>
          <w:marTop w:val="180"/>
          <w:marBottom w:val="0"/>
          <w:divBdr>
            <w:top w:val="none" w:sz="0" w:space="0" w:color="auto"/>
            <w:left w:val="none" w:sz="0" w:space="0" w:color="auto"/>
            <w:bottom w:val="none" w:sz="0" w:space="0" w:color="auto"/>
            <w:right w:val="none" w:sz="0" w:space="0" w:color="auto"/>
          </w:divBdr>
        </w:div>
      </w:divsChild>
    </w:div>
    <w:div w:id="1924610488">
      <w:marLeft w:val="0"/>
      <w:marRight w:val="0"/>
      <w:marTop w:val="0"/>
      <w:marBottom w:val="200"/>
      <w:divBdr>
        <w:top w:val="none" w:sz="0" w:space="0" w:color="auto"/>
        <w:left w:val="none" w:sz="0" w:space="0" w:color="auto"/>
        <w:bottom w:val="none" w:sz="0" w:space="0" w:color="auto"/>
        <w:right w:val="none" w:sz="0" w:space="0" w:color="auto"/>
      </w:divBdr>
    </w:div>
    <w:div w:id="1929725045">
      <w:marLeft w:val="0"/>
      <w:marRight w:val="0"/>
      <w:marTop w:val="0"/>
      <w:marBottom w:val="0"/>
      <w:divBdr>
        <w:top w:val="none" w:sz="0" w:space="0" w:color="auto"/>
        <w:left w:val="none" w:sz="0" w:space="0" w:color="auto"/>
        <w:bottom w:val="none" w:sz="0" w:space="0" w:color="auto"/>
        <w:right w:val="none" w:sz="0" w:space="0" w:color="auto"/>
      </w:divBdr>
      <w:divsChild>
        <w:div w:id="641620958">
          <w:marLeft w:val="0"/>
          <w:marRight w:val="0"/>
          <w:marTop w:val="0"/>
          <w:marBottom w:val="0"/>
          <w:divBdr>
            <w:top w:val="none" w:sz="0" w:space="0" w:color="auto"/>
            <w:left w:val="none" w:sz="0" w:space="0" w:color="auto"/>
            <w:bottom w:val="none" w:sz="0" w:space="0" w:color="auto"/>
            <w:right w:val="none" w:sz="0" w:space="0" w:color="auto"/>
          </w:divBdr>
        </w:div>
      </w:divsChild>
    </w:div>
    <w:div w:id="1930313650">
      <w:marLeft w:val="0"/>
      <w:marRight w:val="0"/>
      <w:marTop w:val="280"/>
      <w:marBottom w:val="0"/>
      <w:divBdr>
        <w:top w:val="none" w:sz="0" w:space="0" w:color="auto"/>
        <w:left w:val="none" w:sz="0" w:space="0" w:color="auto"/>
        <w:bottom w:val="none" w:sz="0" w:space="0" w:color="auto"/>
        <w:right w:val="none" w:sz="0" w:space="0" w:color="auto"/>
      </w:divBdr>
    </w:div>
    <w:div w:id="1935746633">
      <w:marLeft w:val="0"/>
      <w:marRight w:val="0"/>
      <w:marTop w:val="0"/>
      <w:marBottom w:val="200"/>
      <w:divBdr>
        <w:top w:val="none" w:sz="0" w:space="0" w:color="auto"/>
        <w:left w:val="none" w:sz="0" w:space="0" w:color="auto"/>
        <w:bottom w:val="none" w:sz="0" w:space="0" w:color="auto"/>
        <w:right w:val="none" w:sz="0" w:space="0" w:color="auto"/>
      </w:divBdr>
    </w:div>
    <w:div w:id="1956715240">
      <w:marLeft w:val="0"/>
      <w:marRight w:val="0"/>
      <w:marTop w:val="0"/>
      <w:marBottom w:val="0"/>
      <w:divBdr>
        <w:top w:val="none" w:sz="0" w:space="0" w:color="auto"/>
        <w:left w:val="none" w:sz="0" w:space="0" w:color="auto"/>
        <w:bottom w:val="none" w:sz="0" w:space="0" w:color="auto"/>
        <w:right w:val="none" w:sz="0" w:space="0" w:color="auto"/>
      </w:divBdr>
    </w:div>
    <w:div w:id="1960531524">
      <w:marLeft w:val="0"/>
      <w:marRight w:val="0"/>
      <w:marTop w:val="0"/>
      <w:marBottom w:val="240"/>
      <w:divBdr>
        <w:top w:val="none" w:sz="0" w:space="0" w:color="auto"/>
        <w:left w:val="none" w:sz="0" w:space="0" w:color="auto"/>
        <w:bottom w:val="none" w:sz="0" w:space="0" w:color="auto"/>
        <w:right w:val="none" w:sz="0" w:space="0" w:color="auto"/>
      </w:divBdr>
    </w:div>
    <w:div w:id="1972859809">
      <w:marLeft w:val="0"/>
      <w:marRight w:val="0"/>
      <w:marTop w:val="0"/>
      <w:marBottom w:val="0"/>
      <w:divBdr>
        <w:top w:val="none" w:sz="0" w:space="0" w:color="auto"/>
        <w:left w:val="none" w:sz="0" w:space="0" w:color="auto"/>
        <w:bottom w:val="none" w:sz="0" w:space="0" w:color="auto"/>
        <w:right w:val="none" w:sz="0" w:space="0" w:color="auto"/>
      </w:divBdr>
    </w:div>
    <w:div w:id="1974601989">
      <w:marLeft w:val="0"/>
      <w:marRight w:val="0"/>
      <w:marTop w:val="0"/>
      <w:marBottom w:val="200"/>
      <w:divBdr>
        <w:top w:val="none" w:sz="0" w:space="0" w:color="auto"/>
        <w:left w:val="none" w:sz="0" w:space="0" w:color="auto"/>
        <w:bottom w:val="none" w:sz="0" w:space="0" w:color="auto"/>
        <w:right w:val="none" w:sz="0" w:space="0" w:color="auto"/>
      </w:divBdr>
    </w:div>
    <w:div w:id="1978341974">
      <w:marLeft w:val="0"/>
      <w:marRight w:val="0"/>
      <w:marTop w:val="0"/>
      <w:marBottom w:val="0"/>
      <w:divBdr>
        <w:top w:val="none" w:sz="0" w:space="0" w:color="auto"/>
        <w:left w:val="none" w:sz="0" w:space="0" w:color="auto"/>
        <w:bottom w:val="none" w:sz="0" w:space="0" w:color="auto"/>
        <w:right w:val="none" w:sz="0" w:space="0" w:color="auto"/>
      </w:divBdr>
      <w:divsChild>
        <w:div w:id="1323268349">
          <w:marLeft w:val="0"/>
          <w:marRight w:val="0"/>
          <w:marTop w:val="0"/>
          <w:marBottom w:val="0"/>
          <w:divBdr>
            <w:top w:val="none" w:sz="0" w:space="0" w:color="auto"/>
            <w:left w:val="none" w:sz="0" w:space="0" w:color="auto"/>
            <w:bottom w:val="none" w:sz="0" w:space="0" w:color="auto"/>
            <w:right w:val="none" w:sz="0" w:space="0" w:color="auto"/>
          </w:divBdr>
        </w:div>
        <w:div w:id="862982241">
          <w:marLeft w:val="0"/>
          <w:marRight w:val="0"/>
          <w:marTop w:val="180"/>
          <w:marBottom w:val="0"/>
          <w:divBdr>
            <w:top w:val="none" w:sz="0" w:space="0" w:color="auto"/>
            <w:left w:val="none" w:sz="0" w:space="0" w:color="auto"/>
            <w:bottom w:val="none" w:sz="0" w:space="0" w:color="auto"/>
            <w:right w:val="none" w:sz="0" w:space="0" w:color="auto"/>
          </w:divBdr>
        </w:div>
      </w:divsChild>
    </w:div>
    <w:div w:id="1984579835">
      <w:marLeft w:val="0"/>
      <w:marRight w:val="0"/>
      <w:marTop w:val="0"/>
      <w:marBottom w:val="200"/>
      <w:divBdr>
        <w:top w:val="none" w:sz="0" w:space="0" w:color="auto"/>
        <w:left w:val="none" w:sz="0" w:space="0" w:color="auto"/>
        <w:bottom w:val="none" w:sz="0" w:space="0" w:color="auto"/>
        <w:right w:val="none" w:sz="0" w:space="0" w:color="auto"/>
      </w:divBdr>
    </w:div>
    <w:div w:id="2002849954">
      <w:marLeft w:val="0"/>
      <w:marRight w:val="0"/>
      <w:marTop w:val="200"/>
      <w:marBottom w:val="0"/>
      <w:divBdr>
        <w:top w:val="none" w:sz="0" w:space="0" w:color="auto"/>
        <w:left w:val="none" w:sz="0" w:space="0" w:color="auto"/>
        <w:bottom w:val="none" w:sz="0" w:space="0" w:color="auto"/>
        <w:right w:val="none" w:sz="0" w:space="0" w:color="auto"/>
      </w:divBdr>
    </w:div>
    <w:div w:id="2003658074">
      <w:marLeft w:val="0"/>
      <w:marRight w:val="0"/>
      <w:marTop w:val="0"/>
      <w:marBottom w:val="0"/>
      <w:divBdr>
        <w:top w:val="none" w:sz="0" w:space="0" w:color="auto"/>
        <w:left w:val="none" w:sz="0" w:space="0" w:color="auto"/>
        <w:bottom w:val="none" w:sz="0" w:space="0" w:color="auto"/>
        <w:right w:val="none" w:sz="0" w:space="0" w:color="auto"/>
      </w:divBdr>
    </w:div>
    <w:div w:id="2004040299">
      <w:marLeft w:val="0"/>
      <w:marRight w:val="0"/>
      <w:marTop w:val="0"/>
      <w:marBottom w:val="200"/>
      <w:divBdr>
        <w:top w:val="none" w:sz="0" w:space="0" w:color="auto"/>
        <w:left w:val="none" w:sz="0" w:space="0" w:color="auto"/>
        <w:bottom w:val="none" w:sz="0" w:space="0" w:color="auto"/>
        <w:right w:val="none" w:sz="0" w:space="0" w:color="auto"/>
      </w:divBdr>
    </w:div>
    <w:div w:id="2012488044">
      <w:marLeft w:val="0"/>
      <w:marRight w:val="0"/>
      <w:marTop w:val="0"/>
      <w:marBottom w:val="200"/>
      <w:divBdr>
        <w:top w:val="none" w:sz="0" w:space="0" w:color="auto"/>
        <w:left w:val="none" w:sz="0" w:space="0" w:color="auto"/>
        <w:bottom w:val="none" w:sz="0" w:space="0" w:color="auto"/>
        <w:right w:val="none" w:sz="0" w:space="0" w:color="auto"/>
      </w:divBdr>
    </w:div>
    <w:div w:id="2012826763">
      <w:marLeft w:val="0"/>
      <w:marRight w:val="0"/>
      <w:marTop w:val="0"/>
      <w:marBottom w:val="0"/>
      <w:divBdr>
        <w:top w:val="none" w:sz="0" w:space="0" w:color="auto"/>
        <w:left w:val="none" w:sz="0" w:space="0" w:color="auto"/>
        <w:bottom w:val="none" w:sz="0" w:space="0" w:color="auto"/>
        <w:right w:val="none" w:sz="0" w:space="0" w:color="auto"/>
      </w:divBdr>
      <w:divsChild>
        <w:div w:id="143593016">
          <w:marLeft w:val="0"/>
          <w:marRight w:val="0"/>
          <w:marTop w:val="0"/>
          <w:marBottom w:val="0"/>
          <w:divBdr>
            <w:top w:val="none" w:sz="0" w:space="0" w:color="auto"/>
            <w:left w:val="none" w:sz="0" w:space="0" w:color="auto"/>
            <w:bottom w:val="none" w:sz="0" w:space="0" w:color="auto"/>
            <w:right w:val="none" w:sz="0" w:space="0" w:color="auto"/>
          </w:divBdr>
        </w:div>
      </w:divsChild>
    </w:div>
    <w:div w:id="2013531883">
      <w:marLeft w:val="0"/>
      <w:marRight w:val="0"/>
      <w:marTop w:val="0"/>
      <w:marBottom w:val="0"/>
      <w:divBdr>
        <w:top w:val="none" w:sz="0" w:space="0" w:color="auto"/>
        <w:left w:val="none" w:sz="0" w:space="0" w:color="auto"/>
        <w:bottom w:val="none" w:sz="0" w:space="0" w:color="auto"/>
        <w:right w:val="none" w:sz="0" w:space="0" w:color="auto"/>
      </w:divBdr>
    </w:div>
    <w:div w:id="2034065161">
      <w:marLeft w:val="0"/>
      <w:marRight w:val="0"/>
      <w:marTop w:val="100"/>
      <w:marBottom w:val="0"/>
      <w:divBdr>
        <w:top w:val="none" w:sz="0" w:space="0" w:color="auto"/>
        <w:left w:val="none" w:sz="0" w:space="0" w:color="auto"/>
        <w:bottom w:val="none" w:sz="0" w:space="0" w:color="auto"/>
        <w:right w:val="none" w:sz="0" w:space="0" w:color="auto"/>
      </w:divBdr>
    </w:div>
    <w:div w:id="2034652655">
      <w:marLeft w:val="0"/>
      <w:marRight w:val="0"/>
      <w:marTop w:val="0"/>
      <w:marBottom w:val="0"/>
      <w:divBdr>
        <w:top w:val="none" w:sz="0" w:space="0" w:color="auto"/>
        <w:left w:val="none" w:sz="0" w:space="0" w:color="auto"/>
        <w:bottom w:val="none" w:sz="0" w:space="0" w:color="auto"/>
        <w:right w:val="none" w:sz="0" w:space="0" w:color="auto"/>
      </w:divBdr>
      <w:divsChild>
        <w:div w:id="520359036">
          <w:marLeft w:val="0"/>
          <w:marRight w:val="0"/>
          <w:marTop w:val="0"/>
          <w:marBottom w:val="0"/>
          <w:divBdr>
            <w:top w:val="none" w:sz="0" w:space="0" w:color="auto"/>
            <w:left w:val="none" w:sz="0" w:space="0" w:color="auto"/>
            <w:bottom w:val="none" w:sz="0" w:space="0" w:color="auto"/>
            <w:right w:val="none" w:sz="0" w:space="0" w:color="auto"/>
          </w:divBdr>
        </w:div>
      </w:divsChild>
    </w:div>
    <w:div w:id="2041660364">
      <w:marLeft w:val="0"/>
      <w:marRight w:val="0"/>
      <w:marTop w:val="100"/>
      <w:marBottom w:val="0"/>
      <w:divBdr>
        <w:top w:val="none" w:sz="0" w:space="0" w:color="auto"/>
        <w:left w:val="none" w:sz="0" w:space="0" w:color="auto"/>
        <w:bottom w:val="none" w:sz="0" w:space="0" w:color="auto"/>
        <w:right w:val="none" w:sz="0" w:space="0" w:color="auto"/>
      </w:divBdr>
    </w:div>
    <w:div w:id="2047218959">
      <w:marLeft w:val="0"/>
      <w:marRight w:val="0"/>
      <w:marTop w:val="0"/>
      <w:marBottom w:val="0"/>
      <w:divBdr>
        <w:top w:val="none" w:sz="0" w:space="0" w:color="auto"/>
        <w:left w:val="none" w:sz="0" w:space="0" w:color="auto"/>
        <w:bottom w:val="none" w:sz="0" w:space="0" w:color="auto"/>
        <w:right w:val="none" w:sz="0" w:space="0" w:color="auto"/>
      </w:divBdr>
      <w:divsChild>
        <w:div w:id="1670251396">
          <w:marLeft w:val="0"/>
          <w:marRight w:val="0"/>
          <w:marTop w:val="0"/>
          <w:marBottom w:val="0"/>
          <w:divBdr>
            <w:top w:val="none" w:sz="0" w:space="0" w:color="auto"/>
            <w:left w:val="none" w:sz="0" w:space="0" w:color="auto"/>
            <w:bottom w:val="none" w:sz="0" w:space="0" w:color="auto"/>
            <w:right w:val="none" w:sz="0" w:space="0" w:color="auto"/>
          </w:divBdr>
        </w:div>
      </w:divsChild>
    </w:div>
    <w:div w:id="2047413090">
      <w:marLeft w:val="0"/>
      <w:marRight w:val="0"/>
      <w:marTop w:val="100"/>
      <w:marBottom w:val="0"/>
      <w:divBdr>
        <w:top w:val="none" w:sz="0" w:space="0" w:color="auto"/>
        <w:left w:val="none" w:sz="0" w:space="0" w:color="auto"/>
        <w:bottom w:val="none" w:sz="0" w:space="0" w:color="auto"/>
        <w:right w:val="none" w:sz="0" w:space="0" w:color="auto"/>
      </w:divBdr>
    </w:div>
    <w:div w:id="2049453404">
      <w:marLeft w:val="0"/>
      <w:marRight w:val="0"/>
      <w:marTop w:val="0"/>
      <w:marBottom w:val="200"/>
      <w:divBdr>
        <w:top w:val="none" w:sz="0" w:space="0" w:color="auto"/>
        <w:left w:val="none" w:sz="0" w:space="0" w:color="auto"/>
        <w:bottom w:val="none" w:sz="0" w:space="0" w:color="auto"/>
        <w:right w:val="none" w:sz="0" w:space="0" w:color="auto"/>
      </w:divBdr>
    </w:div>
    <w:div w:id="2051493360">
      <w:marLeft w:val="0"/>
      <w:marRight w:val="0"/>
      <w:marTop w:val="0"/>
      <w:marBottom w:val="0"/>
      <w:divBdr>
        <w:top w:val="none" w:sz="0" w:space="0" w:color="auto"/>
        <w:left w:val="none" w:sz="0" w:space="0" w:color="auto"/>
        <w:bottom w:val="none" w:sz="0" w:space="0" w:color="auto"/>
        <w:right w:val="none" w:sz="0" w:space="0" w:color="auto"/>
      </w:divBdr>
      <w:divsChild>
        <w:div w:id="660499974">
          <w:marLeft w:val="0"/>
          <w:marRight w:val="0"/>
          <w:marTop w:val="0"/>
          <w:marBottom w:val="0"/>
          <w:divBdr>
            <w:top w:val="none" w:sz="0" w:space="0" w:color="auto"/>
            <w:left w:val="none" w:sz="0" w:space="0" w:color="auto"/>
            <w:bottom w:val="none" w:sz="0" w:space="0" w:color="auto"/>
            <w:right w:val="none" w:sz="0" w:space="0" w:color="auto"/>
          </w:divBdr>
        </w:div>
        <w:div w:id="2147113813">
          <w:marLeft w:val="0"/>
          <w:marRight w:val="0"/>
          <w:marTop w:val="0"/>
          <w:marBottom w:val="0"/>
          <w:divBdr>
            <w:top w:val="none" w:sz="0" w:space="0" w:color="auto"/>
            <w:left w:val="none" w:sz="0" w:space="0" w:color="auto"/>
            <w:bottom w:val="none" w:sz="0" w:space="0" w:color="auto"/>
            <w:right w:val="none" w:sz="0" w:space="0" w:color="auto"/>
          </w:divBdr>
        </w:div>
      </w:divsChild>
    </w:div>
    <w:div w:id="2054846445">
      <w:marLeft w:val="0"/>
      <w:marRight w:val="0"/>
      <w:marTop w:val="0"/>
      <w:marBottom w:val="200"/>
      <w:divBdr>
        <w:top w:val="none" w:sz="0" w:space="0" w:color="auto"/>
        <w:left w:val="none" w:sz="0" w:space="0" w:color="auto"/>
        <w:bottom w:val="none" w:sz="0" w:space="0" w:color="auto"/>
        <w:right w:val="none" w:sz="0" w:space="0" w:color="auto"/>
      </w:divBdr>
    </w:div>
    <w:div w:id="2057852027">
      <w:marLeft w:val="0"/>
      <w:marRight w:val="0"/>
      <w:marTop w:val="0"/>
      <w:marBottom w:val="0"/>
      <w:divBdr>
        <w:top w:val="none" w:sz="0" w:space="0" w:color="auto"/>
        <w:left w:val="none" w:sz="0" w:space="0" w:color="auto"/>
        <w:bottom w:val="none" w:sz="0" w:space="0" w:color="auto"/>
        <w:right w:val="none" w:sz="0" w:space="0" w:color="auto"/>
      </w:divBdr>
      <w:divsChild>
        <w:div w:id="1786805650">
          <w:marLeft w:val="0"/>
          <w:marRight w:val="0"/>
          <w:marTop w:val="0"/>
          <w:marBottom w:val="0"/>
          <w:divBdr>
            <w:top w:val="none" w:sz="0" w:space="0" w:color="auto"/>
            <w:left w:val="none" w:sz="0" w:space="0" w:color="auto"/>
            <w:bottom w:val="none" w:sz="0" w:space="0" w:color="auto"/>
            <w:right w:val="none" w:sz="0" w:space="0" w:color="auto"/>
          </w:divBdr>
        </w:div>
      </w:divsChild>
    </w:div>
    <w:div w:id="2070421458">
      <w:marLeft w:val="0"/>
      <w:marRight w:val="0"/>
      <w:marTop w:val="0"/>
      <w:marBottom w:val="0"/>
      <w:divBdr>
        <w:top w:val="none" w:sz="0" w:space="0" w:color="auto"/>
        <w:left w:val="none" w:sz="0" w:space="0" w:color="auto"/>
        <w:bottom w:val="none" w:sz="0" w:space="0" w:color="auto"/>
        <w:right w:val="none" w:sz="0" w:space="0" w:color="auto"/>
      </w:divBdr>
      <w:divsChild>
        <w:div w:id="66004422">
          <w:marLeft w:val="0"/>
          <w:marRight w:val="0"/>
          <w:marTop w:val="0"/>
          <w:marBottom w:val="0"/>
          <w:divBdr>
            <w:top w:val="none" w:sz="0" w:space="0" w:color="auto"/>
            <w:left w:val="none" w:sz="0" w:space="0" w:color="auto"/>
            <w:bottom w:val="none" w:sz="0" w:space="0" w:color="auto"/>
            <w:right w:val="none" w:sz="0" w:space="0" w:color="auto"/>
          </w:divBdr>
        </w:div>
        <w:div w:id="931278024">
          <w:marLeft w:val="0"/>
          <w:marRight w:val="0"/>
          <w:marTop w:val="0"/>
          <w:marBottom w:val="0"/>
          <w:divBdr>
            <w:top w:val="none" w:sz="0" w:space="0" w:color="auto"/>
            <w:left w:val="none" w:sz="0" w:space="0" w:color="auto"/>
            <w:bottom w:val="none" w:sz="0" w:space="0" w:color="auto"/>
            <w:right w:val="none" w:sz="0" w:space="0" w:color="auto"/>
          </w:divBdr>
        </w:div>
      </w:divsChild>
    </w:div>
    <w:div w:id="2072926322">
      <w:marLeft w:val="0"/>
      <w:marRight w:val="0"/>
      <w:marTop w:val="0"/>
      <w:marBottom w:val="0"/>
      <w:divBdr>
        <w:top w:val="none" w:sz="0" w:space="0" w:color="auto"/>
        <w:left w:val="none" w:sz="0" w:space="0" w:color="auto"/>
        <w:bottom w:val="none" w:sz="0" w:space="0" w:color="auto"/>
        <w:right w:val="none" w:sz="0" w:space="0" w:color="auto"/>
      </w:divBdr>
      <w:divsChild>
        <w:div w:id="917783734">
          <w:marLeft w:val="0"/>
          <w:marRight w:val="0"/>
          <w:marTop w:val="0"/>
          <w:marBottom w:val="0"/>
          <w:divBdr>
            <w:top w:val="none" w:sz="0" w:space="0" w:color="auto"/>
            <w:left w:val="none" w:sz="0" w:space="0" w:color="auto"/>
            <w:bottom w:val="none" w:sz="0" w:space="0" w:color="auto"/>
            <w:right w:val="none" w:sz="0" w:space="0" w:color="auto"/>
          </w:divBdr>
        </w:div>
        <w:div w:id="443041086">
          <w:marLeft w:val="0"/>
          <w:marRight w:val="0"/>
          <w:marTop w:val="180"/>
          <w:marBottom w:val="0"/>
          <w:divBdr>
            <w:top w:val="none" w:sz="0" w:space="0" w:color="auto"/>
            <w:left w:val="none" w:sz="0" w:space="0" w:color="auto"/>
            <w:bottom w:val="none" w:sz="0" w:space="0" w:color="auto"/>
            <w:right w:val="none" w:sz="0" w:space="0" w:color="auto"/>
          </w:divBdr>
        </w:div>
      </w:divsChild>
    </w:div>
    <w:div w:id="2077165153">
      <w:marLeft w:val="0"/>
      <w:marRight w:val="0"/>
      <w:marTop w:val="0"/>
      <w:marBottom w:val="200"/>
      <w:divBdr>
        <w:top w:val="none" w:sz="0" w:space="0" w:color="auto"/>
        <w:left w:val="none" w:sz="0" w:space="0" w:color="auto"/>
        <w:bottom w:val="none" w:sz="0" w:space="0" w:color="auto"/>
        <w:right w:val="none" w:sz="0" w:space="0" w:color="auto"/>
      </w:divBdr>
    </w:div>
    <w:div w:id="2082173927">
      <w:marLeft w:val="0"/>
      <w:marRight w:val="0"/>
      <w:marTop w:val="0"/>
      <w:marBottom w:val="0"/>
      <w:divBdr>
        <w:top w:val="none" w:sz="0" w:space="0" w:color="auto"/>
        <w:left w:val="none" w:sz="0" w:space="0" w:color="auto"/>
        <w:bottom w:val="none" w:sz="0" w:space="0" w:color="auto"/>
        <w:right w:val="none" w:sz="0" w:space="0" w:color="auto"/>
      </w:divBdr>
      <w:divsChild>
        <w:div w:id="1799490117">
          <w:marLeft w:val="0"/>
          <w:marRight w:val="0"/>
          <w:marTop w:val="0"/>
          <w:marBottom w:val="0"/>
          <w:divBdr>
            <w:top w:val="none" w:sz="0" w:space="0" w:color="auto"/>
            <w:left w:val="none" w:sz="0" w:space="0" w:color="auto"/>
            <w:bottom w:val="none" w:sz="0" w:space="0" w:color="auto"/>
            <w:right w:val="none" w:sz="0" w:space="0" w:color="auto"/>
          </w:divBdr>
        </w:div>
      </w:divsChild>
    </w:div>
    <w:div w:id="2084066411">
      <w:marLeft w:val="0"/>
      <w:marRight w:val="0"/>
      <w:marTop w:val="0"/>
      <w:marBottom w:val="60"/>
      <w:divBdr>
        <w:top w:val="none" w:sz="0" w:space="0" w:color="auto"/>
        <w:left w:val="none" w:sz="0" w:space="0" w:color="auto"/>
        <w:bottom w:val="none" w:sz="0" w:space="0" w:color="auto"/>
        <w:right w:val="none" w:sz="0" w:space="0" w:color="auto"/>
      </w:divBdr>
    </w:div>
    <w:div w:id="2085570629">
      <w:marLeft w:val="0"/>
      <w:marRight w:val="0"/>
      <w:marTop w:val="0"/>
      <w:marBottom w:val="200"/>
      <w:divBdr>
        <w:top w:val="none" w:sz="0" w:space="0" w:color="auto"/>
        <w:left w:val="none" w:sz="0" w:space="0" w:color="auto"/>
        <w:bottom w:val="none" w:sz="0" w:space="0" w:color="auto"/>
        <w:right w:val="none" w:sz="0" w:space="0" w:color="auto"/>
      </w:divBdr>
    </w:div>
    <w:div w:id="2092579514">
      <w:marLeft w:val="0"/>
      <w:marRight w:val="0"/>
      <w:marTop w:val="0"/>
      <w:marBottom w:val="120"/>
      <w:divBdr>
        <w:top w:val="none" w:sz="0" w:space="0" w:color="auto"/>
        <w:left w:val="none" w:sz="0" w:space="0" w:color="auto"/>
        <w:bottom w:val="none" w:sz="0" w:space="0" w:color="auto"/>
        <w:right w:val="none" w:sz="0" w:space="0" w:color="auto"/>
      </w:divBdr>
    </w:div>
    <w:div w:id="2096047743">
      <w:marLeft w:val="0"/>
      <w:marRight w:val="0"/>
      <w:marTop w:val="0"/>
      <w:marBottom w:val="200"/>
      <w:divBdr>
        <w:top w:val="none" w:sz="0" w:space="0" w:color="auto"/>
        <w:left w:val="none" w:sz="0" w:space="0" w:color="auto"/>
        <w:bottom w:val="none" w:sz="0" w:space="0" w:color="auto"/>
        <w:right w:val="none" w:sz="0" w:space="0" w:color="auto"/>
      </w:divBdr>
    </w:div>
    <w:div w:id="2100444622">
      <w:marLeft w:val="0"/>
      <w:marRight w:val="0"/>
      <w:marTop w:val="0"/>
      <w:marBottom w:val="0"/>
      <w:divBdr>
        <w:top w:val="none" w:sz="0" w:space="0" w:color="auto"/>
        <w:left w:val="none" w:sz="0" w:space="0" w:color="auto"/>
        <w:bottom w:val="none" w:sz="0" w:space="0" w:color="auto"/>
        <w:right w:val="none" w:sz="0" w:space="0" w:color="auto"/>
      </w:divBdr>
      <w:divsChild>
        <w:div w:id="426077632">
          <w:marLeft w:val="0"/>
          <w:marRight w:val="0"/>
          <w:marTop w:val="0"/>
          <w:marBottom w:val="0"/>
          <w:divBdr>
            <w:top w:val="none" w:sz="0" w:space="0" w:color="auto"/>
            <w:left w:val="none" w:sz="0" w:space="0" w:color="auto"/>
            <w:bottom w:val="none" w:sz="0" w:space="0" w:color="auto"/>
            <w:right w:val="none" w:sz="0" w:space="0" w:color="auto"/>
          </w:divBdr>
        </w:div>
      </w:divsChild>
    </w:div>
    <w:div w:id="2110199091">
      <w:marLeft w:val="0"/>
      <w:marRight w:val="0"/>
      <w:marTop w:val="0"/>
      <w:marBottom w:val="0"/>
      <w:divBdr>
        <w:top w:val="none" w:sz="0" w:space="0" w:color="auto"/>
        <w:left w:val="none" w:sz="0" w:space="0" w:color="auto"/>
        <w:bottom w:val="none" w:sz="0" w:space="0" w:color="auto"/>
        <w:right w:val="none" w:sz="0" w:space="0" w:color="auto"/>
      </w:divBdr>
      <w:divsChild>
        <w:div w:id="532808861">
          <w:marLeft w:val="0"/>
          <w:marRight w:val="0"/>
          <w:marTop w:val="0"/>
          <w:marBottom w:val="0"/>
          <w:divBdr>
            <w:top w:val="none" w:sz="0" w:space="0" w:color="auto"/>
            <w:left w:val="none" w:sz="0" w:space="0" w:color="auto"/>
            <w:bottom w:val="none" w:sz="0" w:space="0" w:color="auto"/>
            <w:right w:val="none" w:sz="0" w:space="0" w:color="auto"/>
          </w:divBdr>
        </w:div>
      </w:divsChild>
    </w:div>
    <w:div w:id="2118137058">
      <w:marLeft w:val="0"/>
      <w:marRight w:val="0"/>
      <w:marTop w:val="0"/>
      <w:marBottom w:val="200"/>
      <w:divBdr>
        <w:top w:val="none" w:sz="0" w:space="0" w:color="auto"/>
        <w:left w:val="none" w:sz="0" w:space="0" w:color="auto"/>
        <w:bottom w:val="none" w:sz="0" w:space="0" w:color="auto"/>
        <w:right w:val="none" w:sz="0" w:space="0" w:color="auto"/>
      </w:divBdr>
    </w:div>
    <w:div w:id="2132967103">
      <w:marLeft w:val="0"/>
      <w:marRight w:val="0"/>
      <w:marTop w:val="0"/>
      <w:marBottom w:val="0"/>
      <w:divBdr>
        <w:top w:val="none" w:sz="0" w:space="0" w:color="auto"/>
        <w:left w:val="none" w:sz="0" w:space="0" w:color="auto"/>
        <w:bottom w:val="none" w:sz="0" w:space="0" w:color="auto"/>
        <w:right w:val="none" w:sz="0" w:space="0" w:color="auto"/>
      </w:divBdr>
    </w:div>
    <w:div w:id="2133284560">
      <w:marLeft w:val="0"/>
      <w:marRight w:val="0"/>
      <w:marTop w:val="0"/>
      <w:marBottom w:val="200"/>
      <w:divBdr>
        <w:top w:val="none" w:sz="0" w:space="0" w:color="auto"/>
        <w:left w:val="none" w:sz="0" w:space="0" w:color="auto"/>
        <w:bottom w:val="none" w:sz="0" w:space="0" w:color="auto"/>
        <w:right w:val="none" w:sz="0" w:space="0" w:color="auto"/>
      </w:divBdr>
    </w:div>
    <w:div w:id="2142838337">
      <w:marLeft w:val="0"/>
      <w:marRight w:val="0"/>
      <w:marTop w:val="180"/>
      <w:marBottom w:val="0"/>
      <w:divBdr>
        <w:top w:val="none" w:sz="0" w:space="0" w:color="auto"/>
        <w:left w:val="none" w:sz="0" w:space="0" w:color="auto"/>
        <w:bottom w:val="none" w:sz="0" w:space="0" w:color="auto"/>
        <w:right w:val="none" w:sz="0" w:space="0" w:color="auto"/>
      </w:divBdr>
    </w:div>
    <w:div w:id="2146698777">
      <w:marLeft w:val="0"/>
      <w:marRight w:val="0"/>
      <w:marTop w:val="0"/>
      <w:marBottom w:val="0"/>
      <w:divBdr>
        <w:top w:val="none" w:sz="0" w:space="0" w:color="auto"/>
        <w:left w:val="none" w:sz="0" w:space="0" w:color="auto"/>
        <w:bottom w:val="none" w:sz="0" w:space="0" w:color="auto"/>
        <w:right w:val="none" w:sz="0" w:space="0" w:color="auto"/>
      </w:divBdr>
      <w:divsChild>
        <w:div w:id="14518967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gicorpq23312022ex312.htm" TargetMode="External"/><Relationship Id="rId3" Type="http://schemas.openxmlformats.org/officeDocument/2006/relationships/webSettings" Target="webSettings.xml"/><Relationship Id="rId7" Type="http://schemas.openxmlformats.org/officeDocument/2006/relationships/hyperlink" Target="ugicorpq23312022ex31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ugicorpq3312022ex32.htm" TargetMode="External"/><Relationship Id="rId11" Type="http://schemas.openxmlformats.org/officeDocument/2006/relationships/theme" Target="theme/theme1.xml"/><Relationship Id="rId5" Type="http://schemas.openxmlformats.org/officeDocument/2006/relationships/hyperlink" Target="ugicorpq23312022ex312.htm" TargetMode="External"/><Relationship Id="rId10" Type="http://schemas.openxmlformats.org/officeDocument/2006/relationships/fontTable" Target="fontTable.xml"/><Relationship Id="rId4" Type="http://schemas.openxmlformats.org/officeDocument/2006/relationships/hyperlink" Target="ugicorpq23312022ex311.htm" TargetMode="External"/><Relationship Id="rId9" Type="http://schemas.openxmlformats.org/officeDocument/2006/relationships/hyperlink" Target="ugicorpq3312022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42456</Words>
  <Characters>242001</Characters>
  <Application>Microsoft Office Word</Application>
  <DocSecurity>0</DocSecurity>
  <Lines>2016</Lines>
  <Paragraphs>567</Paragraphs>
  <ScaleCrop>false</ScaleCrop>
  <Company/>
  <LinksUpToDate>false</LinksUpToDate>
  <CharactersWithSpaces>283890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ugi-20220331</dc:title>
  <dc:subject/>
  <dc:creator>Chongjian.Yue</dc:creator>
  <cp:keywords/>
  <dc:description/>
  <cp:lastModifiedBy>Yue Chongjian</cp:lastModifiedBy>
  <cp:revision>1</cp:revision>
  <dcterms:created xsi:type="dcterms:W3CDTF">2024-01-04T16:03:00Z</dcterms:created>
  <dcterms:modified xsi:type="dcterms:W3CDTF">2024-01-04T16:03:00Z</dcterms:modified>
</cp:coreProperties>
</file>