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BE60E9">
      <w:pPr>
        <w:divId w:val="1871800907"/>
        <w:rPr>
          <w:rFonts w:eastAsia="Times New Roman"/>
          <w:vanish/>
        </w:rPr>
      </w:pPr>
      <w:r>
        <w:rPr>
          <w:rFonts w:eastAsia="Times New Roman"/>
          <w:vanish/>
        </w:rPr>
        <w:t>0000884614FALSE2022Q39/3000008846142021-10-012022-06-300000884614us-gaap:CommonStockMember2021-10-012022-06-300000884614us-gaap:CapitalUnitsMember2021-10-012022-06-3000008846142022-07-31xbrli:shares00008846142022-06-30iso4217:USD0000884614</w:t>
      </w:r>
      <w:r>
        <w:rPr>
          <w:rFonts w:eastAsia="Times New Roman"/>
          <w:vanish/>
        </w:rPr>
        <w:t>2021-09-3000008846142021-06-3000008846142022-04-012022-06-3000008846142021-04-012021-06-3000008846142020-10-012021-06-30iso4217:USDxbrli:shares00008846142020-09-300000884614us-gaap:PreferredStockMember2022-03-310000884614us-gaap:PreferredStockMember2021-03</w:t>
      </w:r>
      <w:r>
        <w:rPr>
          <w:rFonts w:eastAsia="Times New Roman"/>
          <w:vanish/>
        </w:rPr>
        <w:t>-310000884614us-gaap:PreferredStockMember2021-09-300000884614us-gaap:PreferredStockMember2020-09-300000884614us-gaap:PreferredStockMember2021-04-012021-06-300000884614us-gaap:PreferredStockMember2020-10-012021-06-300000884614us-gaap:PreferredStockMember202</w:t>
      </w:r>
      <w:r>
        <w:rPr>
          <w:rFonts w:eastAsia="Times New Roman"/>
          <w:vanish/>
        </w:rPr>
        <w:t>2-04-012022-06-300000884614us-gaap:PreferredStockMember2021-10-012022-06-300000884614us-gaap:PreferredStockMember2022-06-300000884614us-gaap:PreferredStockMember2021-06-300000884614us-gaap:CommonStockIncludingAdditionalPaidInCapitalMember2022-03-3100008846</w:t>
      </w:r>
      <w:r>
        <w:rPr>
          <w:rFonts w:eastAsia="Times New Roman"/>
          <w:vanish/>
        </w:rPr>
        <w:t>14us-gaap:CommonStockIncludingAdditionalPaidInCapitalMember2021-03-310000884614us-gaap:CommonStockIncludingAdditionalPaidInCapitalMember2021-09-300000884614us-gaap:CommonStockIncludingAdditionalPaidInCapitalMember2020-09-300000884614us-gaap:CommonStockIncl</w:t>
      </w:r>
      <w:r>
        <w:rPr>
          <w:rFonts w:eastAsia="Times New Roman"/>
          <w:vanish/>
        </w:rPr>
        <w:t>udingAdditionalPaidInCapitalMember2022-04-012022-06-300000884614us-gaap:CommonStockIncludingAdditionalPaidInCapitalMember2021-04-012021-06-300000884614us-gaap:CommonStockIncludingAdditionalPaidInCapitalMember2021-10-012022-06-300000884614us-gaap:CommonStoc</w:t>
      </w:r>
      <w:r>
        <w:rPr>
          <w:rFonts w:eastAsia="Times New Roman"/>
          <w:vanish/>
        </w:rPr>
        <w:t>kIncludingAdditionalPaidInCapitalMember2020-10-012021-06-300000884614us-gaap:CommonStockIncludingAdditionalPaidInCapitalMember2022-06-300000884614us-gaap:CommonStockIncludingAdditionalPaidInCapitalMember2021-06-300000884614us-gaap:RetainedEarningsMember202</w:t>
      </w:r>
      <w:r>
        <w:rPr>
          <w:rFonts w:eastAsia="Times New Roman"/>
          <w:vanish/>
        </w:rPr>
        <w:t>2-03-310000884614us-gaap:RetainedEarningsMember2021-03-310000884614us-gaap:RetainedEarningsMember2021-09-300000884614us-gaap:RetainedEarningsMember2020-09-300000884614us-gaap:RetainedEarningsMember2021-04-012021-06-300000884614us-gaap:RetainedEarningsMembe</w:t>
      </w:r>
      <w:r>
        <w:rPr>
          <w:rFonts w:eastAsia="Times New Roman"/>
          <w:vanish/>
        </w:rPr>
        <w:t>r2021-10-012022-06-300000884614us-gaap:RetainedEarningsMember2020-10-012021-06-300000884614us-gaap:RetainedEarningsMember2022-04-012022-06-300000884614us-gaap:RetainedEarningsMember2022-06-300000884614us-gaap:RetainedEarningsMember2021-06-300000884614us-ga</w:t>
      </w:r>
      <w:r>
        <w:rPr>
          <w:rFonts w:eastAsia="Times New Roman"/>
          <w:vanish/>
        </w:rPr>
        <w:t>ap:AociIncludingPortionAttributableToNoncontrollingInterestMember2022-03-310000884614us-gaap:AociIncludingPortionAttributableToNoncontrollingInterestMember2021-03-310000884614us-gaap:AociIncludingPortionAttributableToNoncontrollingInterestMember2021-09-300</w:t>
      </w:r>
      <w:r>
        <w:rPr>
          <w:rFonts w:eastAsia="Times New Roman"/>
          <w:vanish/>
        </w:rPr>
        <w:t>000884614us-gaap:AociIncludingPortionAttributableToNoncontrollingInterestMember2020-09-300000884614us-gaap:AociIncludingPortionAttributableToNoncontrollingInterestMember2022-04-012022-06-300000884614us-gaap:AociIncludingPortionAttributableToNoncontrollingI</w:t>
      </w:r>
      <w:r>
        <w:rPr>
          <w:rFonts w:eastAsia="Times New Roman"/>
          <w:vanish/>
        </w:rPr>
        <w:t>nterestMember2021-10-012022-06-300000884614us-gaap:AociIncludingPortionAttributableToNoncontrollingInterestMember2020-10-012021-06-300000884614us-gaap:AociIncludingPortionAttributableToNoncontrollingInterestMember2021-04-012021-06-300000884614us-gaap:AociI</w:t>
      </w:r>
      <w:r>
        <w:rPr>
          <w:rFonts w:eastAsia="Times New Roman"/>
          <w:vanish/>
        </w:rPr>
        <w:t>ncludingPortionAttributableToNoncontrollingInterestMember2022-06-300000884614us-gaap:AociIncludingPortionAttributableToNoncontrollingInterestMember2021-06-300000884614us-gaap:TreasuryStockCommonMember2022-03-310000884614us-gaap:TreasuryStockCommonMember202</w:t>
      </w:r>
      <w:r>
        <w:rPr>
          <w:rFonts w:eastAsia="Times New Roman"/>
          <w:vanish/>
        </w:rPr>
        <w:t>1-03-310000884614us-gaap:TreasuryStockCommonMember2021-09-300000884614us-gaap:TreasuryStockCommonMember2020-09-300000884614us-gaap:TreasuryStockCommonMember2022-04-012022-06-300000884614us-gaap:TreasuryStockCommonMember2021-04-012021-06-300000884614us-gaap</w:t>
      </w:r>
      <w:r>
        <w:rPr>
          <w:rFonts w:eastAsia="Times New Roman"/>
          <w:vanish/>
        </w:rPr>
        <w:t>:TreasuryStockCommonMember2021-10-012022-06-300000884614us-gaap:TreasuryStockCommonMember2020-10-012021-06-300000884614us-gaap:TreasuryStockCommonMember2022-06-300000884614us-gaap:TreasuryStockCommonMember2021-06-300000884614us-gaap:ParentMember2022-06-300</w:t>
      </w:r>
      <w:r>
        <w:rPr>
          <w:rFonts w:eastAsia="Times New Roman"/>
          <w:vanish/>
        </w:rPr>
        <w:t>000884614us-gaap:ParentMember2021-06-300000884614us-gaap:NoncontrollingInterestMember2022-03-310000884614us-gaap:NoncontrollingInterestMember2021-03-310000884614us-gaap:NoncontrollingInterestMember2021-09-300000884614us-gaap:NoncontrollingInterestMember202</w:t>
      </w:r>
      <w:r>
        <w:rPr>
          <w:rFonts w:eastAsia="Times New Roman"/>
          <w:vanish/>
        </w:rPr>
        <w:t>0-09-300000884614us-gaap:NoncontrollingInterestMember2021-10-012022-06-300000884614us-gaap:NoncontrollingInterestMember2022-04-012022-06-300000884614us-gaap:NoncontrollingInterestMember2022-06-300000884614us-gaap:NoncontrollingInterestMember2021-06-3000008</w:t>
      </w:r>
      <w:r>
        <w:rPr>
          <w:rFonts w:eastAsia="Times New Roman"/>
          <w:vanish/>
        </w:rPr>
        <w:t>84614ugi:MountaineerMember2021-09-012021-09-01ugi:customerugi:county0000884614us-gaap:EmployeeStockOptionMember2022-04-012022-06-300000884614us-gaap:EmployeeStockOptionMember2021-10-012022-06-300000884614us-gaap:EmployeeStockOptionMember2021-04-012021-06-3</w:t>
      </w:r>
      <w:r>
        <w:rPr>
          <w:rFonts w:eastAsia="Times New Roman"/>
          <w:vanish/>
        </w:rPr>
        <w:t>00000884614us-gaap:EmployeeStockOptionMember2020-10-012021-06-300000884614ugi:ResidentialMember2022-04-012022-06-300000884614ugi:ResidentialMemberus-gaap:IntersegmentEliminationMember2022-04-012022-06-300000884614ugi:ResidentialMemberus-gaap:OperatingSegme</w:t>
      </w:r>
      <w:r>
        <w:rPr>
          <w:rFonts w:eastAsia="Times New Roman"/>
          <w:vanish/>
        </w:rPr>
        <w:t>ntsMemberugi:AmerigasPropaneMember2022-04-012022-06-300000884614ugi:ResidentialMemberugi:UGIInternationalLLCMemberus-gaap:OperatingSegmentsMember2022-04-012022-06-300000884614ugi:ResidentialMemberugi:MidstreamAndMarketingMemberus-gaap:OperatingSegmentsMemb</w:t>
      </w:r>
      <w:r>
        <w:rPr>
          <w:rFonts w:eastAsia="Times New Roman"/>
          <w:vanish/>
        </w:rPr>
        <w:t>er2022-04-012022-06-300000884614ugi:UGIUtilitiesIncMemberugi:ResidentialMemberus-gaap:OperatingSegmentsMember2022-04-012022-06-300000884614ugi:ResidentialMemberus-gaap:CorporateNonSegmentMember2022-04-012022-06-300000884614ugi:CommercialandIndustrialMember</w:t>
      </w:r>
      <w:r>
        <w:rPr>
          <w:rFonts w:eastAsia="Times New Roman"/>
          <w:vanish/>
        </w:rPr>
        <w:t>2022-04-012022-06-300000884614ugi:CommercialandIndustrialMemberus-gaap:IntersegmentEliminationMember2022-04-012022-06-300000884614ugi:CommercialandIndustrialMemberus-gaap:OperatingSegmentsMemberugi:AmerigasPropaneMember2022-04-012022-06-300000884614ugi:Com</w:t>
      </w:r>
      <w:r>
        <w:rPr>
          <w:rFonts w:eastAsia="Times New Roman"/>
          <w:vanish/>
        </w:rPr>
        <w:t>mercialandIndustrialMemberugi:UGIInternationalLLCMemberus-gaap:OperatingSegmentsMember2022-04-012022-06-300000884614ugi:CommercialandIndustrialMemberugi:MidstreamAndMarketingMemberus-gaap:OperatingSegmentsMember2022-04-012022-06-300000884614ugi:UGIUtilitie</w:t>
      </w:r>
      <w:r>
        <w:rPr>
          <w:rFonts w:eastAsia="Times New Roman"/>
          <w:vanish/>
        </w:rPr>
        <w:t>sIncMemberugi:CommercialandIndustrialMemberus-gaap:OperatingSegmentsMember2022-04-012022-06-300000884614ugi:CommercialandIndustrialMemberus-gaap:CorporateNonSegmentMember2022-04-012022-06-300000884614ugi:LargeDeliveryServiceMember2022-04-012022-06-30000088</w:t>
      </w:r>
      <w:r>
        <w:rPr>
          <w:rFonts w:eastAsia="Times New Roman"/>
          <w:vanish/>
        </w:rPr>
        <w:t>4614us-gaap:IntersegmentEliminationMemberugi:LargeDeliveryServiceMember2022-04-012022-06-300000884614us-gaap:OperatingSegmentsMemberugi:AmerigasPropaneMemberugi:LargeDeliveryServiceMember2022-04-012022-06-300000884614ugi:UGIInternationalLLCMemberus-gaap:Op</w:t>
      </w:r>
      <w:r>
        <w:rPr>
          <w:rFonts w:eastAsia="Times New Roman"/>
          <w:vanish/>
        </w:rPr>
        <w:t>eratingSegmentsMemberugi:LargeDeliveryServiceMember2022-04-012022-06-300000884614ugi:MidstreamAndMarketingMemberus-gaap:OperatingSegmentsMemberugi:LargeDeliveryServiceMember2022-04-012022-06-300000884614ugi:UGIUtilitiesIncMemberus-gaap:OperatingSegmentsMem</w:t>
      </w:r>
      <w:r>
        <w:rPr>
          <w:rFonts w:eastAsia="Times New Roman"/>
          <w:vanish/>
        </w:rPr>
        <w:t>berugi:LargeDeliveryServiceMember2022-04-012022-06-300000884614ugi:LargeDeliveryServiceMemberus-gaap:CorporateNonSegmentMember2022-04-012022-06-300000884614ugi:OffSystemSalesandCapacityReleasesMember2022-04-012022-06-300000884614us-gaap:IntersegmentElimina</w:t>
      </w:r>
      <w:r>
        <w:rPr>
          <w:rFonts w:eastAsia="Times New Roman"/>
          <w:vanish/>
        </w:rPr>
        <w:t>tionMemberugi:OffSystemSalesandCapacityReleasesMember2022-04-012022-06-300000884614us-gaap:OperatingSegmentsMemberugi:AmerigasPropaneMemberugi:OffSystemSalesandCapacityReleasesMember2022-04-012022-06-300000884614ugi:UGIInternationalLLCMemberus-gaap:Operati</w:t>
      </w:r>
      <w:r>
        <w:rPr>
          <w:rFonts w:eastAsia="Times New Roman"/>
          <w:vanish/>
        </w:rPr>
        <w:t>ngSegmentsMemberugi:OffSystemSalesandCapacityReleasesMember2022-04-012022-06-300000884614ugi:MidstreamAndMarketingMemberus-gaap:OperatingSegmentsMemberugi:OffSystemSalesandCapacityReleasesMember2022-04-012022-06-300000884614ugi:UGIUtilitiesIncMemberus-gaap</w:t>
      </w:r>
      <w:r>
        <w:rPr>
          <w:rFonts w:eastAsia="Times New Roman"/>
          <w:vanish/>
        </w:rPr>
        <w:t>:OperatingSegmentsMemberugi:OffSystemSalesandCapacityReleasesMember2022-04-012022-06-300000884614ugi:OffSystemSalesandCapacityReleasesMemberus-gaap:CorporateNonSegmentMember2022-04-012022-06-300000884614ugi:UtilityOtherMember2022-04-012022-06-300000884614u</w:t>
      </w:r>
      <w:r>
        <w:rPr>
          <w:rFonts w:eastAsia="Times New Roman"/>
          <w:vanish/>
        </w:rPr>
        <w:t>gi:UtilityOtherMemberus-gaap:IntersegmentEliminationMember2022-04-012022-06-300000884614ugi:UtilityOtherMemberus-gaap:OperatingSegmentsMemberugi:AmerigasPropaneMember2022-04-012022-06-300000884614ugi:UtilityOtherMemberugi:UGIInternationalLLCMemberus-gaap:O</w:t>
      </w:r>
      <w:r>
        <w:rPr>
          <w:rFonts w:eastAsia="Times New Roman"/>
          <w:vanish/>
        </w:rPr>
        <w:t>peratingSegmentsMember2022-04-012022-06-300000884614ugi:UtilityOtherMemberugi:MidstreamAndMarketingMemberus-gaap:OperatingSegmentsMember2022-04-012022-06-300000884614ugi:UGIUtilitiesIncMemberugi:UtilityOtherMemberus-gaap:OperatingSegmentsMember2022-04-0120</w:t>
      </w:r>
      <w:r>
        <w:rPr>
          <w:rFonts w:eastAsia="Times New Roman"/>
          <w:vanish/>
        </w:rPr>
        <w:t>22-06-300000884614ugi:UtilityOtherMemberus-gaap:CorporateNonSegmentMember2022-04-012022-06-300000884614ugi:UtilityMember2022-04-012022-06-300000884614us-gaap:IntersegmentEliminationMemberugi:UtilityMember2022-04-012022-06-300000884614us-gaap:OperatingSegme</w:t>
      </w:r>
      <w:r>
        <w:rPr>
          <w:rFonts w:eastAsia="Times New Roman"/>
          <w:vanish/>
        </w:rPr>
        <w:t>ntsMemberugi:UtilityMemberugi:AmerigasPropaneMember2022-04-012022-06-300000884614ugi:UGIInternationalLLCMemberus-gaap:OperatingSegmentsMemberugi:UtilityMember2022-04-012022-06-300000884614ugi:MidstreamAndMarketingMemberus-gaap:OperatingSegmentsMemberugi:Ut</w:t>
      </w:r>
      <w:r>
        <w:rPr>
          <w:rFonts w:eastAsia="Times New Roman"/>
          <w:vanish/>
        </w:rPr>
        <w:t>ilityMember2022-04-012022-06-300000884614ugi:UGIUtilitiesIncMemberus-gaap:OperatingSegmentsMemberugi:UtilityMember2022-04-012022-06-300000884614ugi:UtilityMemberus-gaap:CorporateNonSegmentMember2022-04-012022-06-300000884614us-gaap:RetailMember2022-04-0120</w:t>
      </w:r>
      <w:r>
        <w:rPr>
          <w:rFonts w:eastAsia="Times New Roman"/>
          <w:vanish/>
        </w:rPr>
        <w:t>22-06-300000884614us-gaap:RetailMemberus-gaap:IntersegmentEliminationMember2022-04-012022-06-300000884614us-gaap:RetailMemberus-gaap:OperatingSegmentsMemberugi:AmerigasPropaneMember2022-04-012022-06-300000884614us-gaap:RetailMemberugi:UGIInternationalLLCMe</w:t>
      </w:r>
      <w:r>
        <w:rPr>
          <w:rFonts w:eastAsia="Times New Roman"/>
          <w:vanish/>
        </w:rPr>
        <w:t>mberus-gaap:OperatingSegmentsMember2022-04-012022-06-300000884614us-gaap:RetailMemberugi:MidstreamAndMarketingMemberus-gaap:OperatingSegmentsMember2022-04-012022-06-300000884614ugi:UGIUtilitiesIncMemberus-gaap:RetailMemberus-gaap:OperatingSegmentsMember202</w:t>
      </w:r>
      <w:r>
        <w:rPr>
          <w:rFonts w:eastAsia="Times New Roman"/>
          <w:vanish/>
        </w:rPr>
        <w:t>2-04-012022-06-300000884614us-gaap:RetailMemberus-gaap:CorporateNonSegmentMember2022-04-012022-06-300000884614ugi:WholesaleMember2022-04-012022-06-300000884614us-gaap:IntersegmentEliminationMemberugi:WholesaleMember2022-04-012022-06-300000884614ugi:Wholesa</w:t>
      </w:r>
      <w:r>
        <w:rPr>
          <w:rFonts w:eastAsia="Times New Roman"/>
          <w:vanish/>
        </w:rPr>
        <w:t>leMemberus-gaap:OperatingSegmentsMemberugi:AmerigasPropaneMember2022-04-012022-06-300000884614ugi:UGIInternationalLLCMemberugi:WholesaleMemberus-gaap:OperatingSegmentsMember2022-04-012022-06-300000884614ugi:MidstreamAndMarketingMemberugi:WholesaleMemberus-</w:t>
      </w:r>
      <w:r>
        <w:rPr>
          <w:rFonts w:eastAsia="Times New Roman"/>
          <w:vanish/>
        </w:rPr>
        <w:t>gaap:OperatingSegmentsMember2022-04-012022-06-300000884614ugi:UGIUtilitiesIncMemberugi:WholesaleMemberus-gaap:OperatingSegmentsMember2022-04-012022-06-300000884614ugi:WholesaleMemberus-gaap:CorporateNonSegmentMember2022-04-012022-06-300000884614ugi:EnergyM</w:t>
      </w:r>
      <w:r>
        <w:rPr>
          <w:rFonts w:eastAsia="Times New Roman"/>
          <w:vanish/>
        </w:rPr>
        <w:t>arketingMember2022-04-012022-06-300000884614ugi:EnergyMarketingMemberus-gaap:IntersegmentEliminationMember2022-04-012022-06-300000884614ugi:EnergyMarketingMemberus-gaap:OperatingSegmentsMemberugi:AmerigasPropaneMember2022-04-012022-06-300000884614ugi:Energ</w:t>
      </w:r>
      <w:r>
        <w:rPr>
          <w:rFonts w:eastAsia="Times New Roman"/>
          <w:vanish/>
        </w:rPr>
        <w:t>yMarketingMemberugi:UGIInternationalLLCMemberus-gaap:OperatingSegmentsMember2022-04-012022-06-300000884614ugi:EnergyMarketingMemberugi:MidstreamAndMarketingMemberus-gaap:OperatingSegmentsMember2022-04-012022-06-300000884614ugi:UGIUtilitiesIncMemberugi:Ener</w:t>
      </w:r>
      <w:r>
        <w:rPr>
          <w:rFonts w:eastAsia="Times New Roman"/>
          <w:vanish/>
        </w:rPr>
        <w:t>gyMarketingMemberus-gaap:OperatingSegmentsMember2022-04-012022-06-300000884614ugi:EnergyMarketingMemberus-gaap:CorporateNonSegmentMember2022-04-012022-06-300000884614ugi:PipelineMember2022-04-012022-06-300000884614ugi:PipelineMemberus-gaap:IntersegmentElim</w:t>
      </w:r>
      <w:r>
        <w:rPr>
          <w:rFonts w:eastAsia="Times New Roman"/>
          <w:vanish/>
        </w:rPr>
        <w:t>inationMember2022-04-012022-06-300000884614ugi:PipelineMemberus-gaap:OperatingSegmentsMemberugi:AmerigasPropaneMember2022-04-012022-06-300000884614ugi:PipelineMemberugi:UGIInternationalLLCMemberus-gaap:OperatingSegmentsMember2022-04-012022-06-300000884614u</w:t>
      </w:r>
      <w:r>
        <w:rPr>
          <w:rFonts w:eastAsia="Times New Roman"/>
          <w:vanish/>
        </w:rPr>
        <w:t>gi:PipelineMemberugi:MidstreamAndMarketingMemberus-gaap:OperatingSegmentsMember2022-04-012022-06-300000884614ugi:UGIUtilitiesIncMemberugi:PipelineMemberus-gaap:OperatingSegmentsMember2022-04-012022-06-300000884614ugi:PipelineMemberus-gaap:CorporateNonSegme</w:t>
      </w:r>
      <w:r>
        <w:rPr>
          <w:rFonts w:eastAsia="Times New Roman"/>
          <w:vanish/>
        </w:rPr>
        <w:t>ntMember2022-04-012022-06-300000884614ugi:PeakingMember2022-04-012022-06-300000884614ugi:PeakingMemberus-gaap:IntersegmentEliminationMember2022-04-012022-06-300000884614ugi:PeakingMemberus-gaap:OperatingSegmentsMemberugi:AmerigasPropaneMember2022-04-012022</w:t>
      </w:r>
      <w:r>
        <w:rPr>
          <w:rFonts w:eastAsia="Times New Roman"/>
          <w:vanish/>
        </w:rPr>
        <w:t>-06-300000884614ugi:PeakingMemberugi:UGIInternationalLLCMemberus-gaap:OperatingSegmentsMember2022-04-012022-06-300000884614ugi:PeakingMemberugi:MidstreamAndMarketingMemberus-gaap:OperatingSegmentsMember2022-04-012022-06-300000884614ugi:PeakingMemberugi:UGI</w:t>
      </w:r>
      <w:r>
        <w:rPr>
          <w:rFonts w:eastAsia="Times New Roman"/>
          <w:vanish/>
        </w:rPr>
        <w:t>UtilitiesIncMemberus-gaap:OperatingSegmentsMember2022-04-012022-06-300000884614ugi:PeakingMemberus-gaap:CorporateNonSegmentMember2022-04-012022-06-300000884614ugi:MidstreamOtherMember2022-04-012022-06-300000884614us-gaap:IntersegmentEliminationMemberugi:Mi</w:t>
      </w:r>
      <w:r>
        <w:rPr>
          <w:rFonts w:eastAsia="Times New Roman"/>
          <w:vanish/>
        </w:rPr>
        <w:t>dstreamOtherMember2022-04-012022-06-300000884614ugi:MidstreamOtherMemberus-gaap:OperatingSegmentsMemberugi:AmerigasPropaneMember2022-04-012022-06-300000884614ugi:UGIInternationalLLCMemberugi:MidstreamOtherMemberus-gaap:OperatingSegmentsMember2022-04-012022</w:t>
      </w:r>
      <w:r>
        <w:rPr>
          <w:rFonts w:eastAsia="Times New Roman"/>
          <w:vanish/>
        </w:rPr>
        <w:t>-06-300000884614ugi:MidstreamAndMarketingMemberugi:MidstreamOtherMemberus-gaap:OperatingSegmentsMember2022-04-012022-06-300000884614ugi:UGIUtilitiesIncMemberugi:MidstreamOtherMemberus-gaap:OperatingSegmentsMember2022-04-012022-06-300000884614ugi:MidstreamO</w:t>
      </w:r>
      <w:r>
        <w:rPr>
          <w:rFonts w:eastAsia="Times New Roman"/>
          <w:vanish/>
        </w:rPr>
        <w:t>therMemberus-gaap:CorporateNonSegmentMember2022-04-012022-06-300000884614us-gaap:ElectricityGenerationMember2022-04-012022-06-300000884614us-gaap:ElectricityGenerationMemberus-gaap:IntersegmentEliminationMember2022-04-012022-06-300000884614us-gaap:Electric</w:t>
      </w:r>
      <w:r>
        <w:rPr>
          <w:rFonts w:eastAsia="Times New Roman"/>
          <w:vanish/>
        </w:rPr>
        <w:t>ityGenerationMemberus-gaap:OperatingSegmentsMemberugi:AmerigasPropaneMember2022-04-012022-06-300000884614us-gaap:ElectricityGenerationMemberugi:UGIInternationalLLCMemberus-gaap:OperatingSegmentsMember2022-04-012022-06-300000884614us-gaap:ElectricityGenerat</w:t>
      </w:r>
      <w:r>
        <w:rPr>
          <w:rFonts w:eastAsia="Times New Roman"/>
          <w:vanish/>
        </w:rPr>
        <w:t>ionMemberugi:MidstreamAndMarketingMemberus-gaap:OperatingSegmentsMember2022-04-012022-06-300000884614ugi:UGIUtilitiesIncMemberus-gaap:ElectricityGenerationMemberus-gaap:OperatingSegmentsMember2022-04-012022-06-300000884614us-gaap:ElectricityGenerationMembe</w:t>
      </w:r>
      <w:r>
        <w:rPr>
          <w:rFonts w:eastAsia="Times New Roman"/>
          <w:vanish/>
        </w:rPr>
        <w:t>rus-gaap:CorporateNonSegmentMember2022-04-012022-06-300000884614ugi:NonutilityOtherMember2022-04-012022-06-300000884614us-gaap:IntersegmentEliminationMemberugi:NonutilityOtherMember2022-04-012022-06-300000884614ugi:NonutilityOtherMemberus-gaap:OperatingSeg</w:t>
      </w:r>
      <w:r>
        <w:rPr>
          <w:rFonts w:eastAsia="Times New Roman"/>
          <w:vanish/>
        </w:rPr>
        <w:t>mentsMemberugi:AmerigasPropaneMember2022-04-012022-06-300000884614ugi:NonutilityOtherMemberugi:UGIInternationalLLCMemberus-gaap:OperatingSegmentsMember2022-04-012022-06-300000884614ugi:MidstreamAndMarketingMemberugi:NonutilityOtherMemberus-gaap:OperatingSe</w:t>
      </w:r>
      <w:r>
        <w:rPr>
          <w:rFonts w:eastAsia="Times New Roman"/>
          <w:vanish/>
        </w:rPr>
        <w:t>gmentsMember2022-04-012022-06-300000884614ugi:UGIUtilitiesIncMemberugi:NonutilityOtherMemberus-gaap:OperatingSegmentsMember2022-04-012022-06-300000884614ugi:NonutilityOtherMemberus-gaap:CorporateNonSegmentMember2022-04-012022-06-300000884614ugi:NonutilityM</w:t>
      </w:r>
      <w:r>
        <w:rPr>
          <w:rFonts w:eastAsia="Times New Roman"/>
          <w:vanish/>
        </w:rPr>
        <w:t>ember2022-04-012022-06-300000884614us-gaap:IntersegmentEliminationMemberugi:NonutilityMember2022-04-012022-06-300000884614us-gaap:OperatingSegmentsMemberugi:AmerigasPropaneMemberugi:NonutilityMember2022-04-012022-06-300000884614ugi:UGIInternationalLLCMembe</w:t>
      </w:r>
      <w:r>
        <w:rPr>
          <w:rFonts w:eastAsia="Times New Roman"/>
          <w:vanish/>
        </w:rPr>
        <w:t>rus-gaap:OperatingSegmentsMemberugi:NonutilityMember2022-04-012022-06-300000884614ugi:MidstreamAndMarketingMemberus-gaap:OperatingSegmentsMemberugi:NonutilityMember2022-04-012022-06-300000884614ugi:UGIUtilitiesIncMemberus-gaap:OperatingSegmentsMemberugi:No</w:t>
      </w:r>
      <w:r>
        <w:rPr>
          <w:rFonts w:eastAsia="Times New Roman"/>
          <w:vanish/>
        </w:rPr>
        <w:t>nutilityMember2022-04-012022-06-300000884614us-gaap:CorporateNonSegmentMemberugi:NonutilityMember2022-04-012022-06-300000884614us-gaap:IntersegmentEliminationMember2022-04-012022-06-300000884614us-gaap:OperatingSegmentsMemberugi:AmerigasPropaneMember2022-0</w:t>
      </w:r>
      <w:r>
        <w:rPr>
          <w:rFonts w:eastAsia="Times New Roman"/>
          <w:vanish/>
        </w:rPr>
        <w:t>4-012022-06-300000884614ugi:UGIInternationalLLCMemberus-gaap:OperatingSegmentsMember2022-04-012022-06-300000884614ugi:MidstreamAndMarketingMemberus-gaap:OperatingSegmentsMember2022-04-012022-06-300000884614ugi:UGIUtilitiesIncMemberus-gaap:OperatingSegments</w:t>
      </w:r>
      <w:r>
        <w:rPr>
          <w:rFonts w:eastAsia="Times New Roman"/>
          <w:vanish/>
        </w:rPr>
        <w:t>Member2022-04-012022-06-300000884614us-gaap:CorporateNonSegmentMember2022-04-012022-06-300000884614ugi:ResidentialMember2021-04-012021-06-300000884614ugi:ResidentialMemberus-gaap:IntersegmentEliminationMember2021-04-012021-06-300000884614ugi:ResidentialMem</w:t>
      </w:r>
      <w:r>
        <w:rPr>
          <w:rFonts w:eastAsia="Times New Roman"/>
          <w:vanish/>
        </w:rPr>
        <w:t>berus-gaap:OperatingSegmentsMemberugi:AmerigasPropaneMember2021-04-012021-06-300000884614ugi:ResidentialMemberugi:UGIInternationalLLCMemberus-gaap:OperatingSegmentsMember2021-04-012021-06-300000884614ugi:ResidentialMemberugi:MidstreamAndMarketingMemberus-g</w:t>
      </w:r>
      <w:r>
        <w:rPr>
          <w:rFonts w:eastAsia="Times New Roman"/>
          <w:vanish/>
        </w:rPr>
        <w:t>aap:OperatingSegmentsMember2021-04-012021-06-300000884614ugi:UGIUtilitiesIncMemberugi:ResidentialMemberus-gaap:OperatingSegmentsMember2021-04-012021-06-300000884614ugi:ResidentialMemberus-gaap:CorporateNonSegmentMember2021-04-012021-06-300000884614ugi:Comm</w:t>
      </w:r>
      <w:r>
        <w:rPr>
          <w:rFonts w:eastAsia="Times New Roman"/>
          <w:vanish/>
        </w:rPr>
        <w:t>ercialandIndustrialMember2021-04-012021-06-300000884614ugi:CommercialandIndustrialMemberus-gaap:IntersegmentEliminationMember2021-04-012021-06-300000884614ugi:CommercialandIndustrialMemberus-gaap:OperatingSegmentsMemberugi:AmerigasPropaneMember2021-04-0120</w:t>
      </w:r>
      <w:r>
        <w:rPr>
          <w:rFonts w:eastAsia="Times New Roman"/>
          <w:vanish/>
        </w:rPr>
        <w:t>21-06-300000884614ugi:CommercialandIndustrialMemberugi:UGIInternationalLLCMemberus-gaap:OperatingSegmentsMember2021-04-012021-06-300000884614ugi:CommercialandIndustrialMemberugi:MidstreamAndMarketingMemberus-gaap:OperatingSegmentsMember2021-04-012021-06-30</w:t>
      </w:r>
      <w:r>
        <w:rPr>
          <w:rFonts w:eastAsia="Times New Roman"/>
          <w:vanish/>
        </w:rPr>
        <w:t>0000884614ugi:UGIUtilitiesIncMemberugi:CommercialandIndustrialMemberus-gaap:OperatingSegmentsMember2021-04-012021-06-300000884614ugi:CommercialandIndustrialMemberus-gaap:CorporateNonSegmentMember2021-04-012021-06-300000884614ugi:LargeDeliveryServiceMember2</w:t>
      </w:r>
      <w:r>
        <w:rPr>
          <w:rFonts w:eastAsia="Times New Roman"/>
          <w:vanish/>
        </w:rPr>
        <w:t>021-04-012021-06-300000884614us-gaap:IntersegmentEliminationMemberugi:LargeDeliveryServiceMember2021-04-012021-06-300000884614us-gaap:OperatingSegmentsMemberugi:AmerigasPropaneMemberugi:LargeDeliveryServiceMember2021-04-012021-06-300000884614ugi:UGIInterna</w:t>
      </w:r>
      <w:r>
        <w:rPr>
          <w:rFonts w:eastAsia="Times New Roman"/>
          <w:vanish/>
        </w:rPr>
        <w:t>tionalLLCMemberus-gaap:OperatingSegmentsMemberugi:LargeDeliveryServiceMember2021-04-012021-06-300000884614ugi:MidstreamAndMarketingMemberus-gaap:OperatingSegmentsMemberugi:LargeDeliveryServiceMember2021-04-012021-06-300000884614ugi:UGIUtilitiesIncMemberus-</w:t>
      </w:r>
      <w:r>
        <w:rPr>
          <w:rFonts w:eastAsia="Times New Roman"/>
          <w:vanish/>
        </w:rPr>
        <w:t>gaap:OperatingSegmentsMemberugi:LargeDeliveryServiceMember2021-04-012021-06-300000884614ugi:LargeDeliveryServiceMemberus-gaap:CorporateNonSegmentMember2021-04-012021-06-300000884614ugi:OffSystemSalesandCapacityReleasesMember2021-04-012021-06-300000884614us</w:t>
      </w:r>
      <w:r>
        <w:rPr>
          <w:rFonts w:eastAsia="Times New Roman"/>
          <w:vanish/>
        </w:rPr>
        <w:t>-gaap:IntersegmentEliminationMemberugi:OffSystemSalesandCapacityReleasesMember2021-04-012021-06-300000884614us-gaap:OperatingSegmentsMemberugi:AmerigasPropaneMemberugi:OffSystemSalesandCapacityReleasesMember2021-04-012021-06-300000884614ugi:UGIInternationa</w:t>
      </w:r>
      <w:r>
        <w:rPr>
          <w:rFonts w:eastAsia="Times New Roman"/>
          <w:vanish/>
        </w:rPr>
        <w:t>lLLCMemberus-gaap:OperatingSegmentsMemberugi:OffSystemSalesandCapacityReleasesMember2021-04-012021-06-300000884614ugi:MidstreamAndMarketingMemberus-gaap:OperatingSegmentsMemberugi:OffSystemSalesandCapacityReleasesMember2021-04-012021-06-300000884614ugi:UGI</w:t>
      </w:r>
      <w:r>
        <w:rPr>
          <w:rFonts w:eastAsia="Times New Roman"/>
          <w:vanish/>
        </w:rPr>
        <w:t>UtilitiesIncMemberus-gaap:OperatingSegmentsMemberugi:OffSystemSalesandCapacityReleasesMember2021-04-012021-06-300000884614ugi:OffSystemSalesandCapacityReleasesMemberus-gaap:CorporateNonSegmentMember2021-04-012021-06-300000884614ugi:UtilityOtherMember2021-0</w:t>
      </w:r>
      <w:r>
        <w:rPr>
          <w:rFonts w:eastAsia="Times New Roman"/>
          <w:vanish/>
        </w:rPr>
        <w:t>4-012021-06-300000884614ugi:UtilityOtherMemberus-gaap:IntersegmentEliminationMember2021-04-012021-06-300000884614ugi:UtilityOtherMemberus-gaap:OperatingSegmentsMemberugi:AmerigasPropaneMember2021-04-012021-06-300000884614ugi:UtilityOtherMemberugi:UGIIntern</w:t>
      </w:r>
      <w:r>
        <w:rPr>
          <w:rFonts w:eastAsia="Times New Roman"/>
          <w:vanish/>
        </w:rPr>
        <w:t>ationalLLCMemberus-gaap:OperatingSegmentsMember2021-04-012021-06-300000884614ugi:UtilityOtherMemberugi:MidstreamAndMarketingMemberus-gaap:OperatingSegmentsMember2021-04-012021-06-300000884614ugi:UGIUtilitiesIncMemberugi:UtilityOtherMemberus-gaap:OperatingS</w:t>
      </w:r>
      <w:r>
        <w:rPr>
          <w:rFonts w:eastAsia="Times New Roman"/>
          <w:vanish/>
        </w:rPr>
        <w:t>egmentsMember2021-04-012021-06-300000884614ugi:UtilityOtherMemberus-gaap:CorporateNonSegmentMember2021-04-012021-06-300000884614ugi:UtilityMember2021-04-012021-06-300000884614us-gaap:IntersegmentEliminationMemberugi:UtilityMember2021-04-012021-06-300000884</w:t>
      </w:r>
      <w:r>
        <w:rPr>
          <w:rFonts w:eastAsia="Times New Roman"/>
          <w:vanish/>
        </w:rPr>
        <w:t>614us-gaap:OperatingSegmentsMemberugi:UtilityMemberugi:AmerigasPropaneMember2021-04-012021-06-300000884614ugi:UGIInternationalLLCMemberus-gaap:OperatingSegmentsMemberugi:UtilityMember2021-04-012021-06-300000884614ugi:MidstreamAndMarketingMemberus-gaap:Oper</w:t>
      </w:r>
      <w:r>
        <w:rPr>
          <w:rFonts w:eastAsia="Times New Roman"/>
          <w:vanish/>
        </w:rPr>
        <w:t>atingSegmentsMemberugi:UtilityMember2021-04-012021-06-300000884614ugi:UGIUtilitiesIncMemberus-gaap:OperatingSegmentsMemberugi:UtilityMember2021-04-012021-06-300000884614ugi:UtilityMemberus-gaap:CorporateNonSegmentMember2021-04-012021-06-300000884614us-gaap</w:t>
      </w:r>
      <w:r>
        <w:rPr>
          <w:rFonts w:eastAsia="Times New Roman"/>
          <w:vanish/>
        </w:rPr>
        <w:t>:RetailMember2021-04-012021-06-300000884614us-gaap:RetailMemberus-gaap:IntersegmentEliminationMember2021-04-012021-06-300000884614us-gaap:RetailMemberus-gaap:OperatingSegmentsMemberugi:AmerigasPropaneMember2021-04-012021-06-300000884614us-gaap:RetailMember</w:t>
      </w:r>
      <w:r>
        <w:rPr>
          <w:rFonts w:eastAsia="Times New Roman"/>
          <w:vanish/>
        </w:rPr>
        <w:t>ugi:UGIInternationalLLCMemberus-gaap:OperatingSegmentsMember2021-04-012021-06-300000884614us-gaap:RetailMemberugi:MidstreamAndMarketingMemberus-gaap:OperatingSegmentsMember2021-04-012021-06-300000884614ugi:UGIUtilitiesIncMemberus-gaap:RetailMemberus-gaap:O</w:t>
      </w:r>
      <w:r>
        <w:rPr>
          <w:rFonts w:eastAsia="Times New Roman"/>
          <w:vanish/>
        </w:rPr>
        <w:t>peratingSegmentsMember2021-04-012021-06-300000884614us-gaap:RetailMemberus-gaap:CorporateNonSegmentMember2021-04-012021-06-300000884614ugi:WholesaleMember2021-04-012021-06-300000884614us-gaap:IntersegmentEliminationMemberugi:WholesaleMember2021-04-012021-0</w:t>
      </w:r>
      <w:r>
        <w:rPr>
          <w:rFonts w:eastAsia="Times New Roman"/>
          <w:vanish/>
        </w:rPr>
        <w:t>6-300000884614ugi:WholesaleMemberus-gaap:OperatingSegmentsMemberugi:AmerigasPropaneMember2021-04-012021-06-300000884614ugi:UGIInternationalLLCMemberugi:WholesaleMemberus-gaap:OperatingSegmentsMember2021-04-012021-06-300000884614ugi:MidstreamAndMarketingMem</w:t>
      </w:r>
      <w:r>
        <w:rPr>
          <w:rFonts w:eastAsia="Times New Roman"/>
          <w:vanish/>
        </w:rPr>
        <w:t>berugi:WholesaleMemberus-gaap:OperatingSegmentsMember2021-04-012021-06-300000884614ugi:UGIUtilitiesIncMemberugi:WholesaleMemberus-gaap:OperatingSegmentsMember2021-04-012021-06-300000884614ugi:WholesaleMemberus-gaap:CorporateNonSegmentMember2021-04-012021-0</w:t>
      </w:r>
      <w:r>
        <w:rPr>
          <w:rFonts w:eastAsia="Times New Roman"/>
          <w:vanish/>
        </w:rPr>
        <w:t>6-300000884614ugi:EnergyMarketingMember2021-04-012021-06-300000884614ugi:EnergyMarketingMemberus-gaap:IntersegmentEliminationMember2021-04-012021-06-300000884614ugi:EnergyMarketingMemberus-gaap:OperatingSegmentsMemberugi:AmerigasPropaneMember2021-04-012021</w:t>
      </w:r>
      <w:r>
        <w:rPr>
          <w:rFonts w:eastAsia="Times New Roman"/>
          <w:vanish/>
        </w:rPr>
        <w:t>-06-300000884614ugi:EnergyMarketingMemberugi:UGIInternationalLLCMemberus-gaap:OperatingSegmentsMember2021-04-012021-06-300000884614ugi:EnergyMarketingMemberugi:MidstreamAndMarketingMemberus-gaap:OperatingSegmentsMember2021-04-012021-06-300000884614ugi:UGIU</w:t>
      </w:r>
      <w:r>
        <w:rPr>
          <w:rFonts w:eastAsia="Times New Roman"/>
          <w:vanish/>
        </w:rPr>
        <w:t>tilitiesIncMemberugi:EnergyMarketingMemberus-gaap:OperatingSegmentsMember2021-04-012021-06-300000884614ugi:EnergyMarketingMemberus-gaap:CorporateNonSegmentMember2021-04-012021-06-300000884614ugi:PipelineMember2021-04-012021-06-300000884614ugi:PipelineMembe</w:t>
      </w:r>
      <w:r>
        <w:rPr>
          <w:rFonts w:eastAsia="Times New Roman"/>
          <w:vanish/>
        </w:rPr>
        <w:t>rus-gaap:IntersegmentEliminationMember2021-04-012021-06-300000884614ugi:PipelineMemberus-gaap:OperatingSegmentsMemberugi:AmerigasPropaneMember2021-04-012021-06-300000884614ugi:PipelineMemberugi:UGIInternationalLLCMemberus-gaap:OperatingSegmentsMember2021-0</w:t>
      </w:r>
      <w:r>
        <w:rPr>
          <w:rFonts w:eastAsia="Times New Roman"/>
          <w:vanish/>
        </w:rPr>
        <w:t>4-012021-06-300000884614ugi:PipelineMemberugi:MidstreamAndMarketingMemberus-gaap:OperatingSegmentsMember2021-04-012021-06-300000884614ugi:UGIUtilitiesIncMemberugi:PipelineMemberus-gaap:OperatingSegmentsMember2021-04-012021-06-300000884614ugi:PipelineMember</w:t>
      </w:r>
      <w:r>
        <w:rPr>
          <w:rFonts w:eastAsia="Times New Roman"/>
          <w:vanish/>
        </w:rPr>
        <w:t>us-gaap:CorporateNonSegmentMember2021-04-012021-06-300000884614ugi:PeakingMember2021-04-012021-06-300000884614ugi:PeakingMemberus-gaap:IntersegmentEliminationMember2021-04-012021-06-300000884614ugi:PeakingMemberus-gaap:OperatingSegmentsMemberugi:AmerigasPr</w:t>
      </w:r>
      <w:r>
        <w:rPr>
          <w:rFonts w:eastAsia="Times New Roman"/>
          <w:vanish/>
        </w:rPr>
        <w:t>opaneMember2021-04-012021-06-300000884614ugi:PeakingMemberugi:UGIInternationalLLCMemberus-gaap:OperatingSegmentsMember2021-04-012021-06-300000884614ugi:PeakingMemberugi:MidstreamAndMarketingMemberus-gaap:OperatingSegmentsMember2021-04-012021-06-30000088461</w:t>
      </w:r>
      <w:r>
        <w:rPr>
          <w:rFonts w:eastAsia="Times New Roman"/>
          <w:vanish/>
        </w:rPr>
        <w:t>4ugi:PeakingMemberugi:UGIUtilitiesIncMemberus-gaap:OperatingSegmentsMember2021-04-012021-06-300000884614ugi:PeakingMemberus-gaap:CorporateNonSegmentMember2021-04-012021-06-300000884614ugi:MidstreamOtherMember2021-04-012021-06-300000884614us-gaap:Intersegme</w:t>
      </w:r>
      <w:r>
        <w:rPr>
          <w:rFonts w:eastAsia="Times New Roman"/>
          <w:vanish/>
        </w:rPr>
        <w:t>ntEliminationMemberugi:MidstreamOtherMember2021-04-012021-06-300000884614ugi:MidstreamOtherMemberus-gaap:OperatingSegmentsMemberugi:AmerigasPropaneMember2021-04-012021-06-300000884614ugi:UGIInternationalLLCMemberugi:MidstreamOtherMemberus-gaap:OperatingSeg</w:t>
      </w:r>
      <w:r>
        <w:rPr>
          <w:rFonts w:eastAsia="Times New Roman"/>
          <w:vanish/>
        </w:rPr>
        <w:t>mentsMember2021-04-012021-06-300000884614ugi:MidstreamAndMarketingMemberugi:MidstreamOtherMemberus-gaap:OperatingSegmentsMember2021-04-012021-06-300000884614ugi:UGIUtilitiesIncMemberugi:MidstreamOtherMemberus-gaap:OperatingSegmentsMember2021-04-012021-06-3</w:t>
      </w:r>
      <w:r>
        <w:rPr>
          <w:rFonts w:eastAsia="Times New Roman"/>
          <w:vanish/>
        </w:rPr>
        <w:t>00000884614ugi:MidstreamOtherMemberus-gaap:CorporateNonSegmentMember2021-04-012021-06-300000884614us-gaap:ElectricityGenerationMember2021-04-012021-06-300000884614us-gaap:ElectricityGenerationMemberus-gaap:IntersegmentEliminationMember2021-04-012021-06-300</w:t>
      </w:r>
      <w:r>
        <w:rPr>
          <w:rFonts w:eastAsia="Times New Roman"/>
          <w:vanish/>
        </w:rPr>
        <w:t>000884614us-gaap:ElectricityGenerationMemberus-gaap:OperatingSegmentsMemberugi:AmerigasPropaneMember2021-04-012021-06-300000884614us-gaap:ElectricityGenerationMemberugi:UGIInternationalLLCMemberus-gaap:OperatingSegmentsMember2021-04-012021-06-300000884614u</w:t>
      </w:r>
      <w:r>
        <w:rPr>
          <w:rFonts w:eastAsia="Times New Roman"/>
          <w:vanish/>
        </w:rPr>
        <w:t>s-gaap:ElectricityGenerationMemberugi:MidstreamAndMarketingMemberus-gaap:OperatingSegmentsMember2021-04-012021-06-300000884614ugi:UGIUtilitiesIncMemberus-gaap:ElectricityGenerationMemberus-gaap:OperatingSegmentsMember2021-04-012021-06-300000884614us-gaap:E</w:t>
      </w:r>
      <w:r>
        <w:rPr>
          <w:rFonts w:eastAsia="Times New Roman"/>
          <w:vanish/>
        </w:rPr>
        <w:t>lectricityGenerationMemberus-gaap:CorporateNonSegmentMember2021-04-012021-06-300000884614ugi:NonutilityOtherMember2021-04-012021-06-300000884614us-gaap:IntersegmentEliminationMemberugi:NonutilityOtherMember2021-04-012021-06-300000884614ugi:NonutilityOtherM</w:t>
      </w:r>
      <w:r>
        <w:rPr>
          <w:rFonts w:eastAsia="Times New Roman"/>
          <w:vanish/>
        </w:rPr>
        <w:t>emberus-gaap:OperatingSegmentsMemberugi:AmerigasPropaneMember2021-04-012021-06-300000884614ugi:NonutilityOtherMemberugi:UGIInternationalLLCMemberus-gaap:OperatingSegmentsMember2021-04-012021-06-300000884614ugi:MidstreamAndMarketingMemberugi:NonutilityOther</w:t>
      </w:r>
      <w:r>
        <w:rPr>
          <w:rFonts w:eastAsia="Times New Roman"/>
          <w:vanish/>
        </w:rPr>
        <w:t>Memberus-gaap:OperatingSegmentsMember2021-04-012021-06-300000884614ugi:UGIUtilitiesIncMemberugi:NonutilityOtherMemberus-gaap:OperatingSegmentsMember2021-04-012021-06-300000884614ugi:NonutilityOtherMemberus-gaap:CorporateNonSegmentMember2021-04-012021-06-30</w:t>
      </w:r>
      <w:r>
        <w:rPr>
          <w:rFonts w:eastAsia="Times New Roman"/>
          <w:vanish/>
        </w:rPr>
        <w:t>0000884614ugi:NonutilityMember2021-04-012021-06-300000884614us-gaap:IntersegmentEliminationMemberugi:NonutilityMember2021-04-012021-06-300000884614us-gaap:OperatingSegmentsMemberugi:AmerigasPropaneMemberugi:NonutilityMember2021-04-012021-06-300000884614ugi</w:t>
      </w:r>
      <w:r>
        <w:rPr>
          <w:rFonts w:eastAsia="Times New Roman"/>
          <w:vanish/>
        </w:rPr>
        <w:t>:UGIInternationalLLCMemberus-gaap:OperatingSegmentsMemberugi:NonutilityMember2021-04-012021-06-300000884614ugi:MidstreamAndMarketingMemberus-gaap:OperatingSegmentsMemberugi:NonutilityMember2021-04-012021-06-300000884614ugi:UGIUtilitiesIncMemberus-gaap:Oper</w:t>
      </w:r>
      <w:r>
        <w:rPr>
          <w:rFonts w:eastAsia="Times New Roman"/>
          <w:vanish/>
        </w:rPr>
        <w:t>atingSegmentsMemberugi:NonutilityMember2021-04-012021-06-300000884614us-gaap:CorporateNonSegmentMemberugi:NonutilityMember2021-04-012021-06-300000884614us-gaap:IntersegmentEliminationMember2021-04-012021-06-300000884614us-gaap:OperatingSegmentsMemberugi:Am</w:t>
      </w:r>
      <w:r>
        <w:rPr>
          <w:rFonts w:eastAsia="Times New Roman"/>
          <w:vanish/>
        </w:rPr>
        <w:t>erigasPropaneMember2021-04-012021-06-300000884614ugi:UGIInternationalLLCMemberus-gaap:OperatingSegmentsMember2021-04-012021-06-300000884614ugi:MidstreamAndMarketingMemberus-gaap:OperatingSegmentsMember2021-04-012021-06-300000884614ugi:UGIUtilitiesIncMember</w:t>
      </w:r>
      <w:r>
        <w:rPr>
          <w:rFonts w:eastAsia="Times New Roman"/>
          <w:vanish/>
        </w:rPr>
        <w:t>us-gaap:OperatingSegmentsMember2021-04-012021-06-300000884614us-gaap:CorporateNonSegmentMember2021-04-012021-06-300000884614ugi:ResidentialMember2021-10-012022-06-300000884614ugi:ResidentialMemberus-gaap:IntersegmentEliminationMember2021-10-012022-06-30000</w:t>
      </w:r>
      <w:r>
        <w:rPr>
          <w:rFonts w:eastAsia="Times New Roman"/>
          <w:vanish/>
        </w:rPr>
        <w:t>0884614ugi:ResidentialMemberus-gaap:OperatingSegmentsMemberugi:AmerigasPropaneMember2021-10-012022-06-300000884614ugi:ResidentialMemberugi:UGIInternationalLLCMemberus-gaap:OperatingSegmentsMember2021-10-012022-06-300000884614ugi:ResidentialMemberugi:Midstr</w:t>
      </w:r>
      <w:r>
        <w:rPr>
          <w:rFonts w:eastAsia="Times New Roman"/>
          <w:vanish/>
        </w:rPr>
        <w:t>eamAndMarketingMemberus-gaap:OperatingSegmentsMember2021-10-012022-06-300000884614ugi:UGIUtilitiesIncMemberugi:ResidentialMemberus-gaap:OperatingSegmentsMember2021-10-012022-06-300000884614ugi:ResidentialMemberus-gaap:CorporateNonSegmentMember2021-10-01202</w:t>
      </w:r>
      <w:r>
        <w:rPr>
          <w:rFonts w:eastAsia="Times New Roman"/>
          <w:vanish/>
        </w:rPr>
        <w:t>2-06-300000884614ugi:CommercialandIndustrialMember2021-10-012022-06-300000884614ugi:CommercialandIndustrialMemberus-gaap:IntersegmentEliminationMember2021-10-012022-06-300000884614ugi:CommercialandIndustrialMemberus-gaap:OperatingSegmentsMemberugi:Amerigas</w:t>
      </w:r>
      <w:r>
        <w:rPr>
          <w:rFonts w:eastAsia="Times New Roman"/>
          <w:vanish/>
        </w:rPr>
        <w:t>PropaneMember2021-10-012022-06-300000884614ugi:CommercialandIndustrialMemberugi:UGIInternationalLLCMemberus-gaap:OperatingSegmentsMember2021-10-012022-06-300000884614ugi:CommercialandIndustrialMemberugi:MidstreamAndMarketingMemberus-gaap:OperatingSegmentsM</w:t>
      </w:r>
      <w:r>
        <w:rPr>
          <w:rFonts w:eastAsia="Times New Roman"/>
          <w:vanish/>
        </w:rPr>
        <w:t>ember2021-10-012022-06-300000884614ugi:UGIUtilitiesIncMemberugi:CommercialandIndustrialMemberus-gaap:OperatingSegmentsMember2021-10-012022-06-300000884614ugi:CommercialandIndustrialMemberus-gaap:CorporateNonSegmentMember2021-10-012022-06-300000884614ugi:La</w:t>
      </w:r>
      <w:r>
        <w:rPr>
          <w:rFonts w:eastAsia="Times New Roman"/>
          <w:vanish/>
        </w:rPr>
        <w:t>rgeDeliveryServiceMember2021-10-012022-06-300000884614us-gaap:IntersegmentEliminationMemberugi:LargeDeliveryServiceMember2021-10-012022-06-300000884614us-gaap:OperatingSegmentsMemberugi:AmerigasPropaneMemberugi:LargeDeliveryServiceMember2021-10-012022-06-3</w:t>
      </w:r>
      <w:r>
        <w:rPr>
          <w:rFonts w:eastAsia="Times New Roman"/>
          <w:vanish/>
        </w:rPr>
        <w:t>00000884614ugi:UGIInternationalLLCMemberus-gaap:OperatingSegmentsMemberugi:LargeDeliveryServiceMember2021-10-012022-06-300000884614ugi:MidstreamAndMarketingMemberus-gaap:OperatingSegmentsMemberugi:LargeDeliveryServiceMember2021-10-012022-06-300000884614ugi</w:t>
      </w:r>
      <w:r>
        <w:rPr>
          <w:rFonts w:eastAsia="Times New Roman"/>
          <w:vanish/>
        </w:rPr>
        <w:t>:UGIUtilitiesIncMemberus-gaap:OperatingSegmentsMemberugi:LargeDeliveryServiceMember2021-10-012022-06-300000884614ugi:LargeDeliveryServiceMemberus-gaap:CorporateNonSegmentMember2021-10-012022-06-300000884614ugi:OffSystemSalesandCapacityReleasesMember2021-10</w:t>
      </w:r>
      <w:r>
        <w:rPr>
          <w:rFonts w:eastAsia="Times New Roman"/>
          <w:vanish/>
        </w:rPr>
        <w:t>-012022-06-300000884614us-gaap:IntersegmentEliminationMemberugi:OffSystemSalesandCapacityReleasesMember2021-10-012022-06-300000884614us-gaap:OperatingSegmentsMemberugi:AmerigasPropaneMemberugi:OffSystemSalesandCapacityReleasesMember2021-10-012022-06-300000</w:t>
      </w:r>
      <w:r>
        <w:rPr>
          <w:rFonts w:eastAsia="Times New Roman"/>
          <w:vanish/>
        </w:rPr>
        <w:t>884614ugi:UGIInternationalLLCMemberus-gaap:OperatingSegmentsMemberugi:OffSystemSalesandCapacityReleasesMember2021-10-012022-06-300000884614ugi:MidstreamAndMarketingMemberus-gaap:OperatingSegmentsMemberugi:OffSystemSalesandCapacityReleasesMember2021-10-0120</w:t>
      </w:r>
      <w:r>
        <w:rPr>
          <w:rFonts w:eastAsia="Times New Roman"/>
          <w:vanish/>
        </w:rPr>
        <w:t>22-06-300000884614ugi:UGIUtilitiesIncMemberus-gaap:OperatingSegmentsMemberugi:OffSystemSalesandCapacityReleasesMember2021-10-012022-06-300000884614ugi:OffSystemSalesandCapacityReleasesMemberus-gaap:CorporateNonSegmentMember2021-10-012022-06-300000884614ugi</w:t>
      </w:r>
      <w:r>
        <w:rPr>
          <w:rFonts w:eastAsia="Times New Roman"/>
          <w:vanish/>
        </w:rPr>
        <w:t>:UtilityOtherMember2021-10-012022-06-300000884614ugi:UtilityOtherMemberus-gaap:IntersegmentEliminationMember2021-10-012022-06-300000884614ugi:UtilityOtherMemberus-gaap:OperatingSegmentsMemberugi:AmerigasPropaneMember2021-10-012022-06-300000884614ugi:Utilit</w:t>
      </w:r>
      <w:r>
        <w:rPr>
          <w:rFonts w:eastAsia="Times New Roman"/>
          <w:vanish/>
        </w:rPr>
        <w:t>yOtherMemberugi:UGIInternationalLLCMemberus-gaap:OperatingSegmentsMember2021-10-012022-06-300000884614ugi:UtilityOtherMemberugi:MidstreamAndMarketingMemberus-gaap:OperatingSegmentsMember2021-10-012022-06-300000884614ugi:UGIUtilitiesIncMemberugi:UtilityOthe</w:t>
      </w:r>
      <w:r>
        <w:rPr>
          <w:rFonts w:eastAsia="Times New Roman"/>
          <w:vanish/>
        </w:rPr>
        <w:t>rMemberus-gaap:OperatingSegmentsMember2021-10-012022-06-300000884614ugi:UtilityOtherMemberus-gaap:CorporateNonSegmentMember2021-10-012022-06-300000884614ugi:UtilityMember2021-10-012022-06-300000884614us-gaap:IntersegmentEliminationMemberugi:UtilityMember20</w:t>
      </w:r>
      <w:r>
        <w:rPr>
          <w:rFonts w:eastAsia="Times New Roman"/>
          <w:vanish/>
        </w:rPr>
        <w:t>21-10-012022-06-300000884614us-gaap:OperatingSegmentsMemberugi:UtilityMemberugi:AmerigasPropaneMember2021-10-012022-06-300000884614ugi:UGIInternationalLLCMemberus-gaap:OperatingSegmentsMemberugi:UtilityMember2021-10-012022-06-300000884614ugi:MidstreamAndMa</w:t>
      </w:r>
      <w:r>
        <w:rPr>
          <w:rFonts w:eastAsia="Times New Roman"/>
          <w:vanish/>
        </w:rPr>
        <w:t>rketingMemberus-gaap:OperatingSegmentsMemberugi:UtilityMember2021-10-012022-06-300000884614ugi:UGIUtilitiesIncMemberus-gaap:OperatingSegmentsMemberugi:UtilityMember2021-10-012022-06-300000884614ugi:UtilityMemberus-gaap:CorporateNonSegmentMember2021-10-0120</w:t>
      </w:r>
      <w:r>
        <w:rPr>
          <w:rFonts w:eastAsia="Times New Roman"/>
          <w:vanish/>
        </w:rPr>
        <w:t>22-06-300000884614us-gaap:RetailMember2021-10-012022-06-300000884614us-gaap:RetailMemberus-gaap:IntersegmentEliminationMember2021-10-012022-06-300000884614us-gaap:RetailMemberus-gaap:OperatingSegmentsMemberugi:AmerigasPropaneMember2021-10-012022-06-3000008</w:t>
      </w:r>
      <w:r>
        <w:rPr>
          <w:rFonts w:eastAsia="Times New Roman"/>
          <w:vanish/>
        </w:rPr>
        <w:t>84614us-gaap:RetailMemberugi:UGIInternationalLLCMemberus-gaap:OperatingSegmentsMember2021-10-012022-06-300000884614us-gaap:RetailMemberugi:MidstreamAndMarketingMemberus-gaap:OperatingSegmentsMember2021-10-012022-06-300000884614ugi:UGIUtilitiesIncMemberus-g</w:t>
      </w:r>
      <w:r>
        <w:rPr>
          <w:rFonts w:eastAsia="Times New Roman"/>
          <w:vanish/>
        </w:rPr>
        <w:t>aap:RetailMemberus-gaap:OperatingSegmentsMember2021-10-012022-06-300000884614us-gaap:RetailMemberus-gaap:CorporateNonSegmentMember2021-10-012022-06-300000884614ugi:WholesaleMember2021-10-012022-06-300000884614us-gaap:IntersegmentEliminationMemberugi:Wholes</w:t>
      </w:r>
      <w:r>
        <w:rPr>
          <w:rFonts w:eastAsia="Times New Roman"/>
          <w:vanish/>
        </w:rPr>
        <w:t>aleMember2021-10-012022-06-300000884614ugi:WholesaleMemberus-gaap:OperatingSegmentsMemberugi:AmerigasPropaneMember2021-10-012022-06-300000884614ugi:UGIInternationalLLCMemberugi:WholesaleMemberus-gaap:OperatingSegmentsMember2021-10-012022-06-300000884614ugi</w:t>
      </w:r>
      <w:r>
        <w:rPr>
          <w:rFonts w:eastAsia="Times New Roman"/>
          <w:vanish/>
        </w:rPr>
        <w:t>:MidstreamAndMarketingMemberugi:WholesaleMemberus-gaap:OperatingSegmentsMember2021-10-012022-06-300000884614ugi:UGIUtilitiesIncMemberugi:WholesaleMemberus-gaap:OperatingSegmentsMember2021-10-012022-06-300000884614ugi:WholesaleMemberus-gaap:CorporateNonSegm</w:t>
      </w:r>
      <w:r>
        <w:rPr>
          <w:rFonts w:eastAsia="Times New Roman"/>
          <w:vanish/>
        </w:rPr>
        <w:t>entMember2021-10-012022-06-300000884614ugi:EnergyMarketingMember2021-10-012022-06-300000884614ugi:EnergyMarketingMemberus-gaap:IntersegmentEliminationMember2021-10-012022-06-300000884614ugi:EnergyMarketingMemberus-gaap:OperatingSegmentsMemberugi:AmerigasPr</w:t>
      </w:r>
      <w:r>
        <w:rPr>
          <w:rFonts w:eastAsia="Times New Roman"/>
          <w:vanish/>
        </w:rPr>
        <w:t>opaneMember2021-10-012022-06-300000884614ugi:EnergyMarketingMemberugi:UGIInternationalLLCMemberus-gaap:OperatingSegmentsMember2021-10-012022-06-300000884614ugi:EnergyMarketingMemberugi:MidstreamAndMarketingMemberus-gaap:OperatingSegmentsMember2021-10-01202</w:t>
      </w:r>
      <w:r>
        <w:rPr>
          <w:rFonts w:eastAsia="Times New Roman"/>
          <w:vanish/>
        </w:rPr>
        <w:t>2-06-300000884614ugi:UGIUtilitiesIncMemberugi:EnergyMarketingMemberus-gaap:OperatingSegmentsMember2021-10-012022-06-300000884614ugi:EnergyMarketingMemberus-gaap:CorporateNonSegmentMember2021-10-012022-06-300000884614ugi:PipelineMember2021-10-012022-06-3000</w:t>
      </w:r>
      <w:r>
        <w:rPr>
          <w:rFonts w:eastAsia="Times New Roman"/>
          <w:vanish/>
        </w:rPr>
        <w:t>00884614ugi:PipelineMemberus-gaap:IntersegmentEliminationMember2021-10-012022-06-300000884614ugi:PipelineMemberus-gaap:OperatingSegmentsMemberugi:AmerigasPropaneMember2021-10-012022-06-300000884614ugi:PipelineMemberugi:UGIInternationalLLCMemberus-gaap:Oper</w:t>
      </w:r>
      <w:r>
        <w:rPr>
          <w:rFonts w:eastAsia="Times New Roman"/>
          <w:vanish/>
        </w:rPr>
        <w:t>atingSegmentsMember2021-10-012022-06-300000884614ugi:PipelineMemberugi:MidstreamAndMarketingMemberus-gaap:OperatingSegmentsMember2021-10-012022-06-300000884614ugi:UGIUtilitiesIncMemberugi:PipelineMemberus-gaap:OperatingSegmentsMember2021-10-012022-06-30000</w:t>
      </w:r>
      <w:r>
        <w:rPr>
          <w:rFonts w:eastAsia="Times New Roman"/>
          <w:vanish/>
        </w:rPr>
        <w:t>0884614ugi:PipelineMemberus-gaap:CorporateNonSegmentMember2021-10-012022-06-300000884614ugi:PeakingMember2021-10-012022-06-300000884614ugi:PeakingMemberus-gaap:IntersegmentEliminationMember2021-10-012022-06-300000884614ugi:PeakingMemberus-gaap:OperatingSeg</w:t>
      </w:r>
      <w:r>
        <w:rPr>
          <w:rFonts w:eastAsia="Times New Roman"/>
          <w:vanish/>
        </w:rPr>
        <w:t>mentsMemberugi:AmerigasPropaneMember2021-10-012022-06-300000884614ugi:PeakingMemberugi:UGIInternationalLLCMemberus-gaap:OperatingSegmentsMember2021-10-012022-06-300000884614ugi:PeakingMemberugi:MidstreamAndMarketingMemberus-gaap:OperatingSegmentsMember2021</w:t>
      </w:r>
      <w:r>
        <w:rPr>
          <w:rFonts w:eastAsia="Times New Roman"/>
          <w:vanish/>
        </w:rPr>
        <w:t>-10-012022-06-300000884614ugi:PeakingMemberugi:UGIUtilitiesIncMemberus-gaap:OperatingSegmentsMember2021-10-012022-06-300000884614ugi:PeakingMemberus-gaap:CorporateNonSegmentMember2021-10-012022-06-300000884614ugi:MidstreamOtherMember2021-10-012022-06-30000</w:t>
      </w:r>
      <w:r>
        <w:rPr>
          <w:rFonts w:eastAsia="Times New Roman"/>
          <w:vanish/>
        </w:rPr>
        <w:t>0884614us-gaap:IntersegmentEliminationMemberugi:MidstreamOtherMember2021-10-012022-06-300000884614ugi:MidstreamOtherMemberus-gaap:OperatingSegmentsMemberugi:AmerigasPropaneMember2021-10-012022-06-300000884614ugi:UGIInternationalLLCMemberugi:MidstreamOtherM</w:t>
      </w:r>
      <w:r>
        <w:rPr>
          <w:rFonts w:eastAsia="Times New Roman"/>
          <w:vanish/>
        </w:rPr>
        <w:t>emberus-gaap:OperatingSegmentsMember2021-10-012022-06-300000884614ugi:MidstreamAndMarketingMemberugi:MidstreamOtherMemberus-gaap:OperatingSegmentsMember2021-10-012022-06-300000884614ugi:UGIUtilitiesIncMemberugi:MidstreamOtherMemberus-gaap:OperatingSegments</w:t>
      </w:r>
      <w:r>
        <w:rPr>
          <w:rFonts w:eastAsia="Times New Roman"/>
          <w:vanish/>
        </w:rPr>
        <w:t>Member2021-10-012022-06-300000884614ugi:MidstreamOtherMemberus-gaap:CorporateNonSegmentMember2021-10-012022-06-300000884614us-gaap:ElectricityGenerationMember2021-10-012022-06-300000884614us-gaap:ElectricityGenerationMemberus-gaap:IntersegmentEliminationMe</w:t>
      </w:r>
      <w:r>
        <w:rPr>
          <w:rFonts w:eastAsia="Times New Roman"/>
          <w:vanish/>
        </w:rPr>
        <w:t>mber2021-10-012022-06-300000884614us-gaap:ElectricityGenerationMemberus-gaap:OperatingSegmentsMemberugi:AmerigasPropaneMember2021-10-012022-06-300000884614us-gaap:ElectricityGenerationMemberugi:UGIInternationalLLCMemberus-gaap:OperatingSegmentsMember2021-1</w:t>
      </w:r>
      <w:r>
        <w:rPr>
          <w:rFonts w:eastAsia="Times New Roman"/>
          <w:vanish/>
        </w:rPr>
        <w:t>0-012022-06-300000884614us-gaap:ElectricityGenerationMemberugi:MidstreamAndMarketingMemberus-gaap:OperatingSegmentsMember2021-10-012022-06-300000884614ugi:UGIUtilitiesIncMemberus-gaap:ElectricityGenerationMemberus-gaap:OperatingSegmentsMember2021-10-012022</w:t>
      </w:r>
      <w:r>
        <w:rPr>
          <w:rFonts w:eastAsia="Times New Roman"/>
          <w:vanish/>
        </w:rPr>
        <w:t>-06-300000884614us-gaap:ElectricityGenerationMemberus-gaap:CorporateNonSegmentMember2021-10-012022-06-300000884614ugi:NonutilityOtherMember2021-10-012022-06-300000884614us-gaap:IntersegmentEliminationMemberugi:NonutilityOtherMember2021-10-012022-06-3000008</w:t>
      </w:r>
      <w:r>
        <w:rPr>
          <w:rFonts w:eastAsia="Times New Roman"/>
          <w:vanish/>
        </w:rPr>
        <w:t>84614ugi:NonutilityOtherMemberus-gaap:OperatingSegmentsMemberugi:AmerigasPropaneMember2021-10-012022-06-300000884614ugi:NonutilityOtherMemberugi:UGIInternationalLLCMemberus-gaap:OperatingSegmentsMember2021-10-012022-06-300000884614ugi:MidstreamAndMarketing</w:t>
      </w:r>
      <w:r>
        <w:rPr>
          <w:rFonts w:eastAsia="Times New Roman"/>
          <w:vanish/>
        </w:rPr>
        <w:t>Memberugi:NonutilityOtherMemberus-gaap:OperatingSegmentsMember2021-10-012022-06-300000884614ugi:UGIUtilitiesIncMemberugi:NonutilityOtherMemberus-gaap:OperatingSegmentsMember2021-10-012022-06-300000884614ugi:NonutilityOtherMemberus-gaap:CorporateNonSegmentM</w:t>
      </w:r>
      <w:r>
        <w:rPr>
          <w:rFonts w:eastAsia="Times New Roman"/>
          <w:vanish/>
        </w:rPr>
        <w:t>ember2021-10-012022-06-300000884614ugi:NonutilityMember2021-10-012022-06-300000884614us-gaap:IntersegmentEliminationMemberugi:NonutilityMember2021-10-012022-06-300000884614us-gaap:OperatingSegmentsMemberugi:AmerigasPropaneMemberugi:NonutilityMember2021-10-</w:t>
      </w:r>
      <w:r>
        <w:rPr>
          <w:rFonts w:eastAsia="Times New Roman"/>
          <w:vanish/>
        </w:rPr>
        <w:t>012022-06-300000884614ugi:UGIInternationalLLCMemberus-gaap:OperatingSegmentsMemberugi:NonutilityMember2021-10-012022-06-300000884614ugi:MidstreamAndMarketingMemberus-gaap:OperatingSegmentsMemberugi:NonutilityMember2021-10-012022-06-300000884614ugi:UGIUtili</w:t>
      </w:r>
      <w:r>
        <w:rPr>
          <w:rFonts w:eastAsia="Times New Roman"/>
          <w:vanish/>
        </w:rPr>
        <w:t>tiesIncMemberus-gaap:OperatingSegmentsMemberugi:NonutilityMember2021-10-012022-06-300000884614us-gaap:CorporateNonSegmentMemberugi:NonutilityMember2021-10-012022-06-300000884614us-gaap:IntersegmentEliminationMember2021-10-012022-06-300000884614us-gaap:Oper</w:t>
      </w:r>
      <w:r>
        <w:rPr>
          <w:rFonts w:eastAsia="Times New Roman"/>
          <w:vanish/>
        </w:rPr>
        <w:t>atingSegmentsMemberugi:AmerigasPropaneMember2021-10-012022-06-300000884614ugi:UGIInternationalLLCMemberus-gaap:OperatingSegmentsMember2021-10-012022-06-300000884614ugi:MidstreamAndMarketingMemberus-gaap:OperatingSegmentsMember2021-10-012022-06-300000884614</w:t>
      </w:r>
      <w:r>
        <w:rPr>
          <w:rFonts w:eastAsia="Times New Roman"/>
          <w:vanish/>
        </w:rPr>
        <w:t>ugi:UGIUtilitiesIncMemberus-gaap:OperatingSegmentsMember2021-10-012022-06-300000884614us-gaap:CorporateNonSegmentMember2021-10-012022-06-300000884614ugi:ResidentialMember2020-10-012021-06-300000884614ugi:ResidentialMemberus-gaap:IntersegmentEliminationMemb</w:t>
      </w:r>
      <w:r>
        <w:rPr>
          <w:rFonts w:eastAsia="Times New Roman"/>
          <w:vanish/>
        </w:rPr>
        <w:t>er2020-10-012021-06-300000884614ugi:ResidentialMemberus-gaap:OperatingSegmentsMemberugi:AmerigasPropaneMember2020-10-012021-06-300000884614ugi:ResidentialMemberugi:UGIInternationalLLCMemberus-gaap:OperatingSegmentsMember2020-10-012021-06-300000884614ugi:Re</w:t>
      </w:r>
      <w:r>
        <w:rPr>
          <w:rFonts w:eastAsia="Times New Roman"/>
          <w:vanish/>
        </w:rPr>
        <w:t>sidentialMemberugi:MidstreamAndMarketingMemberus-gaap:OperatingSegmentsMember2020-10-012021-06-300000884614ugi:UGIUtilitiesIncMemberugi:ResidentialMemberus-gaap:OperatingSegmentsMember2020-10-012021-06-300000884614ugi:ResidentialMemberus-gaap:CorporateNonS</w:t>
      </w:r>
      <w:r>
        <w:rPr>
          <w:rFonts w:eastAsia="Times New Roman"/>
          <w:vanish/>
        </w:rPr>
        <w:t>egmentMember2020-10-012021-06-300000884614ugi:CommercialandIndustrialMember2020-10-012021-06-300000884614ugi:CommercialandIndustrialMemberus-gaap:IntersegmentEliminationMember2020-10-012021-06-300000884614ugi:CommercialandIndustrialMemberus-gaap:OperatingS</w:t>
      </w:r>
      <w:r>
        <w:rPr>
          <w:rFonts w:eastAsia="Times New Roman"/>
          <w:vanish/>
        </w:rPr>
        <w:t>egmentsMemberugi:AmerigasPropaneMember2020-10-012021-06-300000884614ugi:CommercialandIndustrialMemberugi:UGIInternationalLLCMemberus-gaap:OperatingSegmentsMember2020-10-012021-06-300000884614ugi:CommercialandIndustrialMemberugi:MidstreamAndMarketingMemberu</w:t>
      </w:r>
      <w:r>
        <w:rPr>
          <w:rFonts w:eastAsia="Times New Roman"/>
          <w:vanish/>
        </w:rPr>
        <w:t>s-gaap:OperatingSegmentsMember2020-10-012021-06-300000884614ugi:UGIUtilitiesIncMemberugi:CommercialandIndustrialMemberus-gaap:OperatingSegmentsMember2020-10-012021-06-300000884614ugi:CommercialandIndustrialMemberus-gaap:CorporateNonSegmentMember2020-10-012</w:t>
      </w:r>
      <w:r>
        <w:rPr>
          <w:rFonts w:eastAsia="Times New Roman"/>
          <w:vanish/>
        </w:rPr>
        <w:t>021-06-300000884614ugi:LargeDeliveryServiceMember2020-10-012021-06-300000884614us-gaap:IntersegmentEliminationMemberugi:LargeDeliveryServiceMember2020-10-012021-06-300000884614us-gaap:OperatingSegmentsMemberugi:AmerigasPropaneMemberugi:LargeDeliveryService</w:t>
      </w:r>
      <w:r>
        <w:rPr>
          <w:rFonts w:eastAsia="Times New Roman"/>
          <w:vanish/>
        </w:rPr>
        <w:t>Member2020-10-012021-06-300000884614ugi:UGIInternationalLLCMemberus-gaap:OperatingSegmentsMemberugi:LargeDeliveryServiceMember2020-10-012021-06-300000884614ugi:MidstreamAndMarketingMemberus-gaap:OperatingSegmentsMemberugi:LargeDeliveryServiceMember2020-10-</w:t>
      </w:r>
      <w:r>
        <w:rPr>
          <w:rFonts w:eastAsia="Times New Roman"/>
          <w:vanish/>
        </w:rPr>
        <w:t>012021-06-300000884614ugi:UGIUtilitiesIncMemberus-gaap:OperatingSegmentsMemberugi:LargeDeliveryServiceMember2020-10-012021-06-300000884614ugi:LargeDeliveryServiceMemberus-gaap:CorporateNonSegmentMember2020-10-012021-06-300000884614ugi:OffSystemSalesandCapa</w:t>
      </w:r>
      <w:r>
        <w:rPr>
          <w:rFonts w:eastAsia="Times New Roman"/>
          <w:vanish/>
        </w:rPr>
        <w:t>cityReleasesMember2020-10-012021-06-300000884614us-gaap:IntersegmentEliminationMemberugi:OffSystemSalesandCapacityReleasesMember2020-10-012021-06-300000884614us-gaap:OperatingSegmentsMemberugi:AmerigasPropaneMemberugi:OffSystemSalesandCapacityReleasesMembe</w:t>
      </w:r>
      <w:r>
        <w:rPr>
          <w:rFonts w:eastAsia="Times New Roman"/>
          <w:vanish/>
        </w:rPr>
        <w:t>r2020-10-012021-06-300000884614ugi:UGIInternationalLLCMemberus-gaap:OperatingSegmentsMemberugi:OffSystemSalesandCapacityReleasesMember2020-10-012021-06-300000884614ugi:MidstreamAndMarketingMemberus-gaap:OperatingSegmentsMemberugi:OffSystemSalesandCapacityR</w:t>
      </w:r>
      <w:r>
        <w:rPr>
          <w:rFonts w:eastAsia="Times New Roman"/>
          <w:vanish/>
        </w:rPr>
        <w:t>eleasesMember2020-10-012021-06-300000884614ugi:UGIUtilitiesIncMemberus-gaap:OperatingSegmentsMemberugi:OffSystemSalesandCapacityReleasesMember2020-10-012021-06-300000884614ugi:OffSystemSalesandCapacityReleasesMemberus-gaap:CorporateNonSegmentMember2020-10-</w:t>
      </w:r>
      <w:r>
        <w:rPr>
          <w:rFonts w:eastAsia="Times New Roman"/>
          <w:vanish/>
        </w:rPr>
        <w:t>012021-06-300000884614ugi:UtilityOtherMember2020-10-012021-06-300000884614ugi:UtilityOtherMemberus-gaap:IntersegmentEliminationMember2020-10-012021-06-300000884614ugi:UtilityOtherMemberus-gaap:OperatingSegmentsMemberugi:AmerigasPropaneMember2020-10-012021-</w:t>
      </w:r>
      <w:r>
        <w:rPr>
          <w:rFonts w:eastAsia="Times New Roman"/>
          <w:vanish/>
        </w:rPr>
        <w:t>06-300000884614ugi:UtilityOtherMemberugi:UGIInternationalLLCMemberus-gaap:OperatingSegmentsMember2020-10-012021-06-300000884614ugi:UtilityOtherMemberugi:MidstreamAndMarketingMemberus-gaap:OperatingSegmentsMember2020-10-012021-06-300000884614ugi:UGIUtilitie</w:t>
      </w:r>
      <w:r>
        <w:rPr>
          <w:rFonts w:eastAsia="Times New Roman"/>
          <w:vanish/>
        </w:rPr>
        <w:t>sIncMemberugi:UtilityOtherMemberus-gaap:OperatingSegmentsMember2020-10-012021-06-300000884614ugi:UtilityOtherMemberus-gaap:CorporateNonSegmentMember2020-10-012021-06-300000884614ugi:UtilityMember2020-10-012021-06-300000884614us-gaap:IntersegmentElimination</w:t>
      </w:r>
      <w:r>
        <w:rPr>
          <w:rFonts w:eastAsia="Times New Roman"/>
          <w:vanish/>
        </w:rPr>
        <w:t>Memberugi:UtilityMember2020-10-012021-06-300000884614us-gaap:OperatingSegmentsMemberugi:UtilityMemberugi:AmerigasPropaneMember2020-10-012021-06-300000884614ugi:UGIInternationalLLCMemberus-gaap:OperatingSegmentsMemberugi:UtilityMember2020-10-012021-06-30000</w:t>
      </w:r>
      <w:r>
        <w:rPr>
          <w:rFonts w:eastAsia="Times New Roman"/>
          <w:vanish/>
        </w:rPr>
        <w:t>0884614ugi:MidstreamAndMarketingMemberus-gaap:OperatingSegmentsMemberugi:UtilityMember2020-10-012021-06-300000884614ugi:UGIUtilitiesIncMemberus-gaap:OperatingSegmentsMemberugi:UtilityMember2020-10-012021-06-300000884614ugi:UtilityMemberus-gaap:CorporateNon</w:t>
      </w:r>
      <w:r>
        <w:rPr>
          <w:rFonts w:eastAsia="Times New Roman"/>
          <w:vanish/>
        </w:rPr>
        <w:t>SegmentMember2020-10-012021-06-300000884614us-gaap:RetailMember2020-10-012021-06-300000884614us-gaap:RetailMemberus-gaap:IntersegmentEliminationMember2020-10-012021-06-300000884614us-gaap:RetailMemberus-gaap:OperatingSegmentsMemberugi:AmerigasPropaneMember</w:t>
      </w:r>
      <w:r>
        <w:rPr>
          <w:rFonts w:eastAsia="Times New Roman"/>
          <w:vanish/>
        </w:rPr>
        <w:t>2020-10-012021-06-300000884614us-gaap:RetailMemberugi:UGIInternationalLLCMemberus-gaap:OperatingSegmentsMember2020-10-012021-06-300000884614us-gaap:RetailMemberugi:MidstreamAndMarketingMemberus-gaap:OperatingSegmentsMember2020-10-012021-06-300000884614ugi:</w:t>
      </w:r>
      <w:r>
        <w:rPr>
          <w:rFonts w:eastAsia="Times New Roman"/>
          <w:vanish/>
        </w:rPr>
        <w:t>UGIUtilitiesIncMemberus-gaap:RetailMemberus-gaap:OperatingSegmentsMember2020-10-012021-06-300000884614us-gaap:RetailMemberus-gaap:CorporateNonSegmentMember2020-10-012021-06-300000884614ugi:WholesaleMember2020-10-012021-06-300000884614us-gaap:IntersegmentEl</w:t>
      </w:r>
      <w:r>
        <w:rPr>
          <w:rFonts w:eastAsia="Times New Roman"/>
          <w:vanish/>
        </w:rPr>
        <w:t>iminationMemberugi:WholesaleMember2020-10-012021-06-300000884614ugi:WholesaleMemberus-gaap:OperatingSegmentsMemberugi:AmerigasPropaneMember2020-10-012021-06-300000884614ugi:UGIInternationalLLCMemberugi:WholesaleMemberus-gaap:OperatingSegmentsMember2020-10-</w:t>
      </w:r>
      <w:r>
        <w:rPr>
          <w:rFonts w:eastAsia="Times New Roman"/>
          <w:vanish/>
        </w:rPr>
        <w:t>012021-06-300000884614ugi:MidstreamAndMarketingMemberugi:WholesaleMemberus-gaap:OperatingSegmentsMember2020-10-012021-06-300000884614ugi:UGIUtilitiesIncMemberugi:WholesaleMemberus-gaap:OperatingSegmentsMember2020-10-012021-06-300000884614ugi:WholesaleMembe</w:t>
      </w:r>
      <w:r>
        <w:rPr>
          <w:rFonts w:eastAsia="Times New Roman"/>
          <w:vanish/>
        </w:rPr>
        <w:t>rus-gaap:CorporateNonSegmentMember2020-10-012021-06-300000884614ugi:EnergyMarketingMember2020-10-012021-06-300000884614ugi:EnergyMarketingMemberus-gaap:IntersegmentEliminationMember2020-10-012021-06-300000884614ugi:EnergyMarketingMemberus-gaap:OperatingSeg</w:t>
      </w:r>
      <w:r>
        <w:rPr>
          <w:rFonts w:eastAsia="Times New Roman"/>
          <w:vanish/>
        </w:rPr>
        <w:t>mentsMemberugi:AmerigasPropaneMember2020-10-012021-06-300000884614ugi:EnergyMarketingMemberugi:UGIInternationalLLCMemberus-gaap:OperatingSegmentsMember2020-10-012021-06-300000884614ugi:EnergyMarketingMemberugi:MidstreamAndMarketingMemberus-gaap:OperatingSe</w:t>
      </w:r>
      <w:r>
        <w:rPr>
          <w:rFonts w:eastAsia="Times New Roman"/>
          <w:vanish/>
        </w:rPr>
        <w:t>gmentsMember2020-10-012021-06-300000884614ugi:UGIUtilitiesIncMemberugi:EnergyMarketingMemberus-gaap:OperatingSegmentsMember2020-10-012021-06-300000884614ugi:EnergyMarketingMemberus-gaap:CorporateNonSegmentMember2020-10-012021-06-300000884614ugi:PipelineMem</w:t>
      </w:r>
      <w:r>
        <w:rPr>
          <w:rFonts w:eastAsia="Times New Roman"/>
          <w:vanish/>
        </w:rPr>
        <w:t>ber2020-10-012021-06-300000884614ugi:PipelineMemberus-gaap:IntersegmentEliminationMember2020-10-012021-06-300000884614ugi:PipelineMemberus-gaap:OperatingSegmentsMemberugi:AmerigasPropaneMember2020-10-012021-06-300000884614ugi:PipelineMemberugi:UGIInternati</w:t>
      </w:r>
      <w:r>
        <w:rPr>
          <w:rFonts w:eastAsia="Times New Roman"/>
          <w:vanish/>
        </w:rPr>
        <w:t>onalLLCMemberus-gaap:OperatingSegmentsMember2020-10-012021-06-300000884614ugi:PipelineMemberugi:MidstreamAndMarketingMemberus-gaap:OperatingSegmentsMember2020-10-012021-06-300000884614ugi:UGIUtilitiesIncMemberugi:PipelineMemberus-gaap:OperatingSegmentsMemb</w:t>
      </w:r>
      <w:r>
        <w:rPr>
          <w:rFonts w:eastAsia="Times New Roman"/>
          <w:vanish/>
        </w:rPr>
        <w:t>er2020-10-012021-06-300000884614ugi:PipelineMemberus-gaap:CorporateNonSegmentMember2020-10-012021-06-300000884614ugi:PeakingMember2020-10-012021-06-300000884614ugi:PeakingMemberus-gaap:IntersegmentEliminationMember2020-10-012021-06-300000884614ugi:PeakingM</w:t>
      </w:r>
      <w:r>
        <w:rPr>
          <w:rFonts w:eastAsia="Times New Roman"/>
          <w:vanish/>
        </w:rPr>
        <w:t>emberus-gaap:OperatingSegmentsMemberugi:AmerigasPropaneMember2020-10-012021-06-300000884614ugi:PeakingMemberugi:UGIInternationalLLCMemberus-gaap:OperatingSegmentsMember2020-10-012021-06-300000884614ugi:PeakingMemberugi:MidstreamAndMarketingMemberus-gaap:Op</w:t>
      </w:r>
      <w:r>
        <w:rPr>
          <w:rFonts w:eastAsia="Times New Roman"/>
          <w:vanish/>
        </w:rPr>
        <w:t>eratingSegmentsMember2020-10-012021-06-300000884614ugi:PeakingMemberugi:UGIUtilitiesIncMemberus-gaap:OperatingSegmentsMember2020-10-012021-06-300000884614ugi:PeakingMemberus-gaap:CorporateNonSegmentMember2020-10-012021-06-300000884614ugi:MidstreamOtherMemb</w:t>
      </w:r>
      <w:r>
        <w:rPr>
          <w:rFonts w:eastAsia="Times New Roman"/>
          <w:vanish/>
        </w:rPr>
        <w:t>er2020-10-012021-06-300000884614us-gaap:IntersegmentEliminationMemberugi:MidstreamOtherMember2020-10-012021-06-300000884614ugi:MidstreamOtherMemberus-gaap:OperatingSegmentsMemberugi:AmerigasPropaneMember2020-10-012021-06-300000884614ugi:UGIInternationalLLC</w:t>
      </w:r>
      <w:r>
        <w:rPr>
          <w:rFonts w:eastAsia="Times New Roman"/>
          <w:vanish/>
        </w:rPr>
        <w:t>Memberugi:MidstreamOtherMemberus-gaap:OperatingSegmentsMember2020-10-012021-06-300000884614ugi:MidstreamAndMarketingMemberugi:MidstreamOtherMemberus-gaap:OperatingSegmentsMember2020-10-012021-06-300000884614ugi:UGIUtilitiesIncMemberugi:MidstreamOtherMember</w:t>
      </w:r>
      <w:r>
        <w:rPr>
          <w:rFonts w:eastAsia="Times New Roman"/>
          <w:vanish/>
        </w:rPr>
        <w:t>us-gaap:OperatingSegmentsMember2020-10-012021-06-300000884614ugi:MidstreamOtherMemberus-gaap:CorporateNonSegmentMember2020-10-012021-06-300000884614us-gaap:ElectricityGenerationMember2020-10-012021-06-300000884614us-gaap:ElectricityGenerationMemberus-gaap:</w:t>
      </w:r>
      <w:r>
        <w:rPr>
          <w:rFonts w:eastAsia="Times New Roman"/>
          <w:vanish/>
        </w:rPr>
        <w:t>IntersegmentEliminationMember2020-10-012021-06-300000884614us-gaap:ElectricityGenerationMemberus-gaap:OperatingSegmentsMemberugi:AmerigasPropaneMember2020-10-012021-06-300000884614us-gaap:ElectricityGenerationMemberugi:UGIInternationalLLCMemberus-gaap:Oper</w:t>
      </w:r>
      <w:r>
        <w:rPr>
          <w:rFonts w:eastAsia="Times New Roman"/>
          <w:vanish/>
        </w:rPr>
        <w:t>atingSegmentsMember2020-10-012021-06-300000884614us-gaap:ElectricityGenerationMemberugi:MidstreamAndMarketingMemberus-gaap:OperatingSegmentsMember2020-10-012021-06-300000884614ugi:UGIUtilitiesIncMemberus-gaap:ElectricityGenerationMemberus-gaap:OperatingSeg</w:t>
      </w:r>
      <w:r>
        <w:rPr>
          <w:rFonts w:eastAsia="Times New Roman"/>
          <w:vanish/>
        </w:rPr>
        <w:t>mentsMember2020-10-012021-06-300000884614us-gaap:ElectricityGenerationMemberus-gaap:CorporateNonSegmentMember2020-10-012021-06-300000884614ugi:NonutilityOtherMember2020-10-012021-06-300000884614us-gaap:IntersegmentEliminationMemberugi:NonutilityOtherMember</w:t>
      </w:r>
      <w:r>
        <w:rPr>
          <w:rFonts w:eastAsia="Times New Roman"/>
          <w:vanish/>
        </w:rPr>
        <w:t>2020-10-012021-06-300000884614ugi:NonutilityOtherMemberus-gaap:OperatingSegmentsMemberugi:AmerigasPropaneMember2020-10-012021-06-300000884614ugi:NonutilityOtherMemberugi:UGIInternationalLLCMemberus-gaap:OperatingSegmentsMember2020-10-012021-06-300000884614</w:t>
      </w:r>
      <w:r>
        <w:rPr>
          <w:rFonts w:eastAsia="Times New Roman"/>
          <w:vanish/>
        </w:rPr>
        <w:t>ugi:MidstreamAndMarketingMemberugi:NonutilityOtherMemberus-gaap:OperatingSegmentsMember2020-10-012021-06-300000884614ugi:UGIUtilitiesIncMemberugi:NonutilityOtherMemberus-gaap:OperatingSegmentsMember2020-10-012021-06-300000884614ugi:NonutilityOtherMemberus-</w:t>
      </w:r>
      <w:r>
        <w:rPr>
          <w:rFonts w:eastAsia="Times New Roman"/>
          <w:vanish/>
        </w:rPr>
        <w:t>gaap:CorporateNonSegmentMember2020-10-012021-06-300000884614ugi:NonutilityMember2020-10-012021-06-300000884614us-gaap:IntersegmentEliminationMemberugi:NonutilityMember2020-10-012021-06-300000884614us-gaap:OperatingSegmentsMemberugi:AmerigasPropaneMemberugi</w:t>
      </w:r>
      <w:r>
        <w:rPr>
          <w:rFonts w:eastAsia="Times New Roman"/>
          <w:vanish/>
        </w:rPr>
        <w:t>:NonutilityMember2020-10-012021-06-300000884614ugi:UGIInternationalLLCMemberus-gaap:OperatingSegmentsMemberugi:NonutilityMember2020-10-012021-06-300000884614ugi:MidstreamAndMarketingMemberus-gaap:OperatingSegmentsMemberugi:NonutilityMember2020-10-012021-06</w:t>
      </w:r>
      <w:r>
        <w:rPr>
          <w:rFonts w:eastAsia="Times New Roman"/>
          <w:vanish/>
        </w:rPr>
        <w:t>-300000884614ugi:UGIUtilitiesIncMemberus-gaap:OperatingSegmentsMemberugi:NonutilityMember2020-10-012021-06-300000884614us-gaap:CorporateNonSegmentMemberugi:NonutilityMember2020-10-012021-06-300000884614us-gaap:IntersegmentEliminationMember2020-10-012021-06</w:t>
      </w:r>
      <w:r>
        <w:rPr>
          <w:rFonts w:eastAsia="Times New Roman"/>
          <w:vanish/>
        </w:rPr>
        <w:t>-300000884614us-gaap:OperatingSegmentsMemberugi:AmerigasPropaneMember2020-10-012021-06-300000884614ugi:UGIInternationalLLCMemberus-gaap:OperatingSegmentsMember2020-10-012021-06-300000884614ugi:MidstreamAndMarketingMemberus-gaap:OperatingSegmentsMember2020-</w:t>
      </w:r>
      <w:r>
        <w:rPr>
          <w:rFonts w:eastAsia="Times New Roman"/>
          <w:vanish/>
        </w:rPr>
        <w:t>10-012021-06-300000884614ugi:UGIUtilitiesIncMemberus-gaap:OperatingSegmentsMember2020-10-012021-06-300000884614us-gaap:CorporateNonSegmentMember2020-10-012021-06-300000884614ugi:MidstreamAndMarketingMember2022-06-300000884614ugi:UGIUtilitiesIncMember2022-0</w:t>
      </w:r>
      <w:r>
        <w:rPr>
          <w:rFonts w:eastAsia="Times New Roman"/>
          <w:vanish/>
        </w:rPr>
        <w:t>6-300000884614ugi:StonehengeMember2022-01-272022-01-270000884614ugi:UGICorporationSeniorCreditFacilityMember2021-09-012021-09-010000884614ugi:MountaineerMember2021-10-012022-06-300000884614ugi:MountaineerMember2021-09-010000884614ugi:NonUtilityLpgAndNatura</w:t>
      </w:r>
      <w:r>
        <w:rPr>
          <w:rFonts w:eastAsia="Times New Roman"/>
          <w:vanish/>
        </w:rPr>
        <w:t>lGasMember2022-06-300000884614ugi:NonUtilityLpgAndNaturalGasMember2021-09-300000884614ugi:NonUtilityLpgAndNaturalGasMember2021-06-300000884614ugi:GasUtilityNaturalGasMember2022-06-300000884614ugi:GasUtilityNaturalGasMember2021-09-300000884614ugi:GasUtility</w:t>
      </w:r>
      <w:r>
        <w:rPr>
          <w:rFonts w:eastAsia="Times New Roman"/>
          <w:vanish/>
        </w:rPr>
        <w:t>NaturalGasMember2021-06-300000884614ugi:EnergyCertificatesMember2022-06-300000884614ugi:EnergyCertificatesMember2021-09-300000884614ugi:EnergyCertificatesMember2021-06-300000884614ugi:MaterialsSuppliesAndOtherMember2022-06-300000884614ugi:MaterialsSupplies</w:t>
      </w:r>
      <w:r>
        <w:rPr>
          <w:rFonts w:eastAsia="Times New Roman"/>
          <w:vanish/>
        </w:rPr>
        <w:t>AndOtherMember2021-09-300000884614ugi:MaterialsSuppliesAndOtherMember2021-06-300000884614ugi:UGIUtilitiesIncMemberugi:IncomeTaxesRecoverableMember2022-06-300000884614ugi:UGIUtilitiesIncMemberugi:IncomeTaxesRecoverableMember2021-09-300000884614ugi:UGIUtilit</w:t>
      </w:r>
      <w:r>
        <w:rPr>
          <w:rFonts w:eastAsia="Times New Roman"/>
          <w:vanish/>
        </w:rPr>
        <w:t>iesIncMemberugi:IncomeTaxesRecoverableMember2021-06-300000884614us-gaap:PensionCostsMemberugi:UGIUtilitiesIncMember2022-06-300000884614us-gaap:PensionCostsMemberugi:UGIUtilitiesIncMember2021-09-300000884614us-gaap:PensionCostsMemberugi:UGIUtilitiesIncMembe</w:t>
      </w:r>
      <w:r>
        <w:rPr>
          <w:rFonts w:eastAsia="Times New Roman"/>
          <w:vanish/>
        </w:rPr>
        <w:t>r2021-06-300000884614us-gaap:EnvironmentalRestorationCostsMemberugi:UGIUtilitiesIncMember2022-06-300000884614us-gaap:EnvironmentalRestorationCostsMemberugi:UGIUtilitiesIncMember2021-09-300000884614us-gaap:EnvironmentalRestorationCostsMemberugi:UGIUtilities</w:t>
      </w:r>
      <w:r>
        <w:rPr>
          <w:rFonts w:eastAsia="Times New Roman"/>
          <w:vanish/>
        </w:rPr>
        <w:t>IncMember2021-06-300000884614ugi:UGIUtilitiesIncMemberus-gaap:DeferredFuelCostsMember2022-06-300000884614ugi:UGIUtilitiesIncMemberus-gaap:DeferredFuelCostsMember2021-09-300000884614ugi:UGIUtilitiesIncMemberus-gaap:DeferredFuelCostsMember2021-06-30000088461</w:t>
      </w:r>
      <w:r>
        <w:rPr>
          <w:rFonts w:eastAsia="Times New Roman"/>
          <w:vanish/>
        </w:rPr>
        <w:t>4ugi:RemovalCostsNetMemberugi:UGIUtilitiesIncMember2022-06-300000884614ugi:RemovalCostsNetMemberugi:UGIUtilitiesIncMember2021-09-300000884614ugi:RemovalCostsNetMemberugi:UGIUtilitiesIncMember2021-06-300000884614ugi:OtherRegulatoryAssetsMemberugi:UGIUtiliti</w:t>
      </w:r>
      <w:r>
        <w:rPr>
          <w:rFonts w:eastAsia="Times New Roman"/>
          <w:vanish/>
        </w:rPr>
        <w:t>esIncMember2022-06-300000884614ugi:OtherRegulatoryAssetsMemberugi:UGIUtilitiesIncMember2021-09-300000884614ugi:OtherRegulatoryAssetsMemberugi:UGIUtilitiesIncMember2021-06-300000884614ugi:UGIUtilitiesIncMember2022-06-300000884614ugi:UGIUtilitiesIncMember202</w:t>
      </w:r>
      <w:r>
        <w:rPr>
          <w:rFonts w:eastAsia="Times New Roman"/>
          <w:vanish/>
        </w:rPr>
        <w:t>1-09-300000884614ugi:UGIUtilitiesIncMember2021-06-300000884614ugi:UGIUtilitiesIncMemberus-gaap:PostretirementBenefitCostsMember2022-06-300000884614ugi:UGIUtilitiesIncMemberus-gaap:PostretirementBenefitCostsMember2021-09-300000884614ugi:UGIUtilitiesIncMembe</w:t>
      </w:r>
      <w:r>
        <w:rPr>
          <w:rFonts w:eastAsia="Times New Roman"/>
          <w:vanish/>
        </w:rPr>
        <w:t>rus-gaap:PostretirementBenefitCostsMember2021-06-300000884614ugi:UGIUtilitiesIncMemberugi:DeferredFuelAndPowerRefundsMember2022-06-300000884614ugi:UGIUtilitiesIncMemberugi:DeferredFuelAndPowerRefundsMember2021-09-300000884614ugi:UGIUtilitiesIncMemberugi:De</w:t>
      </w:r>
      <w:r>
        <w:rPr>
          <w:rFonts w:eastAsia="Times New Roman"/>
          <w:vanish/>
        </w:rPr>
        <w:t>ferredFuelAndPowerRefundsMember2021-06-300000884614us-gaap:DeferredIncomeTaxChargesMemberugi:UGIUtilitiesIncMember2022-06-300000884614us-gaap:DeferredIncomeTaxChargesMemberugi:UGIUtilitiesIncMember2021-09-300000884614us-gaap:DeferredIncomeTaxChargesMemberu</w:t>
      </w:r>
      <w:r>
        <w:rPr>
          <w:rFonts w:eastAsia="Times New Roman"/>
          <w:vanish/>
        </w:rPr>
        <w:t>gi:UGIUtilitiesIncMember2021-06-300000884614ugi:ExcessFederalDeferredIncomeTaxesMemberugi:UGIUtilitiesIncMember2022-06-300000884614ugi:ExcessFederalDeferredIncomeTaxesMemberugi:UGIUtilitiesIncMember2021-09-300000884614ugi:ExcessFederalDeferredIncomeTaxesMe</w:t>
      </w:r>
      <w:r>
        <w:rPr>
          <w:rFonts w:eastAsia="Times New Roman"/>
          <w:vanish/>
        </w:rPr>
        <w:t>mberugi:UGIUtilitiesIncMember2021-06-300000884614ugi:UGIUtilitiesIncMemberus-gaap:OtherLiabilitiesMember2022-06-300000884614ugi:UGIUtilitiesIncMemberus-gaap:OtherLiabilitiesMember2021-09-300000884614ugi:UGIUtilitiesIncMemberus-gaap:OtherLiabilitiesMember20</w:t>
      </w:r>
      <w:r>
        <w:rPr>
          <w:rFonts w:eastAsia="Times New Roman"/>
          <w:vanish/>
        </w:rPr>
        <w:t>21-06-300000884614ugi:GasUtilityMember2021-10-012022-06-300000884614ugi:GasUtilityMember2021-10-012021-12-310000884614ugi:GasUtilityMember2020-10-012021-06-300000884614ugi:GasUtilityMemberugi:PennsylvaniaPublicUtilityCommissionMember2022-01-282022-01-28000</w:t>
      </w:r>
      <w:r>
        <w:rPr>
          <w:rFonts w:eastAsia="Times New Roman"/>
          <w:vanish/>
        </w:rPr>
        <w:t>0884614ugi:GasUtilityMemberugi:PennsylvaniaPublicUtilityCommissionMemberugi:JointPetitionForApprovalOfSettlementMember2022-06-242022-06-240000884614ugi:GasUtilityMemberugi:PennsylvaniaPublicUtilityCommissionMemberugi:JointPetitionForApprovalOfSettlementPha</w:t>
      </w:r>
      <w:r>
        <w:rPr>
          <w:rFonts w:eastAsia="Times New Roman"/>
          <w:vanish/>
        </w:rPr>
        <w:t>seIMember2022-06-242022-06-240000884614ugi:GasUtilityMemberugi:PennsylvaniaPublicUtilityCommissionMemberugi:JointPetitionForApprovalOfSettlementPhaseIIMember2022-06-242022-06-240000884614ugi:GasUtilityMemberugi:PennsylvaniaPublicUtilityCommissionMemberugi:</w:t>
      </w:r>
      <w:r>
        <w:rPr>
          <w:rFonts w:eastAsia="Times New Roman"/>
          <w:vanish/>
        </w:rPr>
        <w:t>JointPetitionForApprovalOfSettlementMember2022-01-282022-01-280000884614ugi:GasUtilityMemberugi:PennsylvaniaPublicUtilityCommissionMemberugi:JointPetitionForApprovalOfSettlementMember2022-01-28xbrli:pure0000884614ugi:ElectricUtilityMemberugi:PennsylvaniaPu</w:t>
      </w:r>
      <w:r>
        <w:rPr>
          <w:rFonts w:eastAsia="Times New Roman"/>
          <w:vanish/>
        </w:rPr>
        <w:t>blicUtilityCommissionMember2021-02-082021-02-080000884614ugi:ElectricUtilityMemberugi:PennsylvaniaPublicUtilityCommissionMemberugi:JointPetitionForApprovalOfSettlementMember2021-11-092021-11-090000884614ugi:GasUtilityMemberugi:PennsylvaniaPublicUtilityComm</w:t>
      </w:r>
      <w:r>
        <w:rPr>
          <w:rFonts w:eastAsia="Times New Roman"/>
          <w:vanish/>
        </w:rPr>
        <w:t>issionMember2020-01-282020-01-280000884614ugi:AnnualBaseDistributionMemberugi:GasUtilityMemberugi:PennsylvaniaPublicUtilityCommissionMember2020-10-082020-10-080000884614ugi:GasUtilityMemberugi:PennsylvaniaPublicUtilityCommissionMemberugi:AnnualBaseDistribu</w:t>
      </w:r>
      <w:r>
        <w:rPr>
          <w:rFonts w:eastAsia="Times New Roman"/>
          <w:vanish/>
        </w:rPr>
        <w:t>tionPhaseIMember2020-10-082020-10-080000884614ugi:GasUtilityMemberugi:AnnualBaseDistributionPhaseIIMemberugi:PennsylvaniaPublicUtilityCommissionMember2020-10-082020-10-080000884614ugi:GasUtilityMemberugi:PennsylvaniaPublicUtilityCommissionMember2021-04-010</w:t>
      </w:r>
      <w:r>
        <w:rPr>
          <w:rFonts w:eastAsia="Times New Roman"/>
          <w:vanish/>
        </w:rPr>
        <w:t>000884614ugi:GasUtilityMemberugi:PennsylvaniaPublicUtilityCommissionMember2021-04-012021-04-010000884614ugi:VariableRateMemberugi:TermLoanMemberugi:UGIUtilitiesMemberus-gaap:SubsequentEventMember2022-07-122022-07-120000884614us-gaap:SeniorNotesMemberugi:UG</w:t>
      </w:r>
      <w:r>
        <w:rPr>
          <w:rFonts w:eastAsia="Times New Roman"/>
          <w:vanish/>
        </w:rPr>
        <w:t>IUtilitiesMemberus-gaap:ScenarioPlanMemberugi:A475SeniorNotesDueJuly2032Member2022-06-300000884614us-gaap:SeniorNotesMemberugi:UGIUtilitiesMemberus-gaap:ScenarioPlanMemberugi:A499SeniorNotesDueSeptember2052Member2022-06-300000884614us-gaap:SeniorNotesMembe</w:t>
      </w:r>
      <w:r>
        <w:rPr>
          <w:rFonts w:eastAsia="Times New Roman"/>
          <w:vanish/>
        </w:rPr>
        <w:t>rugi:UGIUtilitiesMemberus-gaap:SubsequentEventMemberugi:A475SeniorNotesDueJuly2032Member2022-07-150000884614us-gaap:SeniorNotesMembersrt:ScenarioForecastMemberugi:UGIUtilitiesMemberugi:A499SeniorNotesDueSeptember2052Member2022-09-150000884614ugi:A449Senior</w:t>
      </w:r>
      <w:r>
        <w:rPr>
          <w:rFonts w:eastAsia="Times New Roman"/>
          <w:vanish/>
        </w:rPr>
        <w:t>NotesDueAugust2052Memberus-gaap:SeniorNotesMemberugi:MountaineerMemberus-gaap:ScenarioPlanMember2022-06-300000884614ugi:UGIInternationalLLCMemberus-gaap:SeniorNotesMemberugi:A250SeniorNotesDueDecember2029Member2021-12-07iso4217:EUR0000884614ugi:A325SeniorN</w:t>
      </w:r>
      <w:r>
        <w:rPr>
          <w:rFonts w:eastAsia="Times New Roman"/>
          <w:vanish/>
        </w:rPr>
        <w:t>otesDueNovember2025Memberugi:UGIInternationalLLCMemberus-gaap:SeniorNotesMember2021-12-070000884614ugi:UGIInternationalLLCMemberus-gaap:SeniorNotesMember2021-12-072021-12-07ugi:subsidiary0000884614ugi:CPGCOA.PNGCOAandUGIGasCOAMember2022-06-300000884614ugi:</w:t>
      </w:r>
      <w:r>
        <w:rPr>
          <w:rFonts w:eastAsia="Times New Roman"/>
          <w:vanish/>
        </w:rPr>
        <w:t>CPGCOA.PNGCOAandUGIGasCOAMember2021-09-300000884614ugi:CPGCOA.PNGCOAandUGIGasCOAMember2021-06-300000884614ugi:AmeriGasOLPMemberugi:NewYorkStateDepartmentOfEnvironmentConservationRecordOfDecisionMemberugi:SaranacLakeNewYorkMember2016-10-012017-09-30ugi:reco</w:t>
      </w:r>
      <w:r>
        <w:rPr>
          <w:rFonts w:eastAsia="Times New Roman"/>
          <w:vanish/>
        </w:rPr>
        <w:t>rd_of_decision0000884614ugi:AmeriGasOLPMemberugi:NewYorkStateDepartmentOfEnvironmentConservationRecordOfDecisionMemberugi:SaranacLakeNewYorkMember2017-09-300000884614ugi:AmeriGasOLPMemberugi:NewYorkStateDepartmentOfEnvironmentConservationRecordOfDecisionMe</w:t>
      </w:r>
      <w:r>
        <w:rPr>
          <w:rFonts w:eastAsia="Times New Roman"/>
          <w:vanish/>
        </w:rPr>
        <w:t>mberugi:SaranacLakeNewYorkMember2022-06-300000884614us-gaap:PensionPlansDefinedBenefitMember2022-04-012022-06-300000884614us-gaap:PensionPlansDefinedBenefitMember2021-04-012021-06-300000884614us-gaap:PensionPlansDefinedBenefitMember2021-10-012022-06-300000</w:t>
      </w:r>
      <w:r>
        <w:rPr>
          <w:rFonts w:eastAsia="Times New Roman"/>
          <w:vanish/>
        </w:rPr>
        <w:t>884614us-gaap:PensionPlansDefinedBenefitMember2020-10-012021-06-300000884614us-gaap:FairValueInputsLevel1Memberus-gaap:CommodityContractMemberus-gaap:FairValueMeasurementsRecurringMember2022-06-300000884614us-gaap:FairValueInputsLevel2Memberus-gaap:Commodi</w:t>
      </w:r>
      <w:r>
        <w:rPr>
          <w:rFonts w:eastAsia="Times New Roman"/>
          <w:vanish/>
        </w:rPr>
        <w:t>tyContractMemberus-gaap:FairValueMeasurementsRecurringMember2022-06-300000884614us-gaap:FairValueInputsLevel3Memberus-gaap:CommodityContractMemberus-gaap:FairValueMeasurementsRecurringMember2022-06-300000884614us-gaap:CommodityContractMemberus-gaap:FairVal</w:t>
      </w:r>
      <w:r>
        <w:rPr>
          <w:rFonts w:eastAsia="Times New Roman"/>
          <w:vanish/>
        </w:rPr>
        <w:t>ueMeasurementsRecurringMember2022-06-300000884614us-gaap:ForeignExchangeContractMemberus-gaap:FairValueInputsLevel1Memberus-gaap:FairValueMeasurementsRecurringMember2022-06-300000884614us-gaap:FairValueInputsLevel2Memberus-gaap:ForeignExchangeContractMembe</w:t>
      </w:r>
      <w:r>
        <w:rPr>
          <w:rFonts w:eastAsia="Times New Roman"/>
          <w:vanish/>
        </w:rPr>
        <w:t>rus-gaap:FairValueMeasurementsRecurringMember2022-06-300000884614us-gaap:FairValueInputsLevel3Memberus-gaap:ForeignExchangeContractMemberus-gaap:FairValueMeasurementsRecurringMember2022-06-300000884614us-gaap:ForeignExchangeContractMemberus-gaap:FairValueM</w:t>
      </w:r>
      <w:r>
        <w:rPr>
          <w:rFonts w:eastAsia="Times New Roman"/>
          <w:vanish/>
        </w:rPr>
        <w:t>easurementsRecurringMember2022-06-300000884614us-gaap:InterestRateContractMemberus-gaap:FairValueInputsLevel1Memberus-gaap:FairValueMeasurementsRecurringMember2022-06-300000884614us-gaap:InterestRateContractMemberus-gaap:FairValueInputsLevel2Memberus-gaap:</w:t>
      </w:r>
      <w:r>
        <w:rPr>
          <w:rFonts w:eastAsia="Times New Roman"/>
          <w:vanish/>
        </w:rPr>
        <w:t>FairValueMeasurementsRecurringMember2022-06-300000884614us-gaap:InterestRateContractMemberus-gaap:FairValueInputsLevel3Memberus-gaap:FairValueMeasurementsRecurringMember2022-06-300000884614us-gaap:InterestRateContractMemberus-gaap:FairValueMeasurementsRecu</w:t>
      </w:r>
      <w:r>
        <w:rPr>
          <w:rFonts w:eastAsia="Times New Roman"/>
          <w:vanish/>
        </w:rPr>
        <w:t>rringMember2022-06-300000884614us-gaap:FairValueInputsLevel1Memberus-gaap:FairValueMeasurementsRecurringMember2022-06-300000884614us-gaap:FairValueInputsLevel2Memberus-gaap:FairValueMeasurementsRecurringMember2022-06-300000884614us-gaap:FairValueInputsLeve</w:t>
      </w:r>
      <w:r>
        <w:rPr>
          <w:rFonts w:eastAsia="Times New Roman"/>
          <w:vanish/>
        </w:rPr>
        <w:t>l3Memberus-gaap:FairValueMeasurementsRecurringMember2022-06-300000884614us-gaap:FairValueMeasurementsRecurringMember2022-06-300000884614us-gaap:FairValueInputsLevel1Memberus-gaap:CommodityContractMemberus-gaap:FairValueMeasurementsRecurringMember2021-09-30</w:t>
      </w:r>
      <w:r>
        <w:rPr>
          <w:rFonts w:eastAsia="Times New Roman"/>
          <w:vanish/>
        </w:rPr>
        <w:t>0000884614us-gaap:FairValueInputsLevel2Memberus-gaap:CommodityContractMemberus-gaap:FairValueMeasurementsRecurringMember2021-09-300000884614us-gaap:FairValueInputsLevel3Memberus-gaap:CommodityContractMemberus-gaap:FairValueMeasurementsRecurringMember2021-0</w:t>
      </w:r>
      <w:r>
        <w:rPr>
          <w:rFonts w:eastAsia="Times New Roman"/>
          <w:vanish/>
        </w:rPr>
        <w:t>9-300000884614us-gaap:CommodityContractMemberus-gaap:FairValueMeasurementsRecurringMember2021-09-300000884614us-gaap:ForeignExchangeContractMemberus-gaap:FairValueInputsLevel1Memberus-gaap:FairValueMeasurementsRecurringMember2021-09-300000884614us-gaap:Fai</w:t>
      </w:r>
      <w:r>
        <w:rPr>
          <w:rFonts w:eastAsia="Times New Roman"/>
          <w:vanish/>
        </w:rPr>
        <w:t>rValueInputsLevel2Memberus-gaap:ForeignExchangeContractMemberus-gaap:FairValueMeasurementsRecurringMember2021-09-300000884614us-gaap:FairValueInputsLevel3Memberus-gaap:ForeignExchangeContractMemberus-gaap:FairValueMeasurementsRecurringMember2021-09-3000008</w:t>
      </w:r>
      <w:r>
        <w:rPr>
          <w:rFonts w:eastAsia="Times New Roman"/>
          <w:vanish/>
        </w:rPr>
        <w:t>84614us-gaap:ForeignExchangeContractMemberus-gaap:FairValueMeasurementsRecurringMember2021-09-300000884614us-gaap:InterestRateContractMemberus-gaap:FairValueInputsLevel1Memberus-gaap:FairValueMeasurementsRecurringMember2021-09-300000884614us-gaap:InterestR</w:t>
      </w:r>
      <w:r>
        <w:rPr>
          <w:rFonts w:eastAsia="Times New Roman"/>
          <w:vanish/>
        </w:rPr>
        <w:t>ateContractMemberus-gaap:FairValueInputsLevel2Memberus-gaap:FairValueMeasurementsRecurringMember2021-09-300000884614us-gaap:InterestRateContractMemberus-gaap:FairValueInputsLevel3Memberus-gaap:FairValueMeasurementsRecurringMember2021-09-300000884614us-gaap</w:t>
      </w:r>
      <w:r>
        <w:rPr>
          <w:rFonts w:eastAsia="Times New Roman"/>
          <w:vanish/>
        </w:rPr>
        <w:t>:InterestRateContractMemberus-gaap:FairValueMeasurementsRecurringMember2021-09-300000884614us-gaap:FairValueInputsLevel1Memberus-gaap:FairValueMeasurementsRecurringMember2021-09-300000884614us-gaap:FairValueInputsLevel2Memberus-gaap:FairValueMeasurementsRe</w:t>
      </w:r>
      <w:r>
        <w:rPr>
          <w:rFonts w:eastAsia="Times New Roman"/>
          <w:vanish/>
        </w:rPr>
        <w:t>curringMember2021-09-300000884614us-gaap:FairValueInputsLevel3Memberus-gaap:FairValueMeasurementsRecurringMember2021-09-300000884614us-gaap:FairValueMeasurementsRecurringMember2021-09-300000884614us-gaap:FairValueInputsLevel1Memberus-gaap:CommodityContract</w:t>
      </w:r>
      <w:r>
        <w:rPr>
          <w:rFonts w:eastAsia="Times New Roman"/>
          <w:vanish/>
        </w:rPr>
        <w:t>Memberus-gaap:FairValueMeasurementsRecurringMember2021-06-300000884614us-gaap:FairValueInputsLevel2Memberus-gaap:CommodityContractMemberus-gaap:FairValueMeasurementsRecurringMember2021-06-300000884614us-gaap:FairValueInputsLevel3Memberus-gaap:CommodityCont</w:t>
      </w:r>
      <w:r>
        <w:rPr>
          <w:rFonts w:eastAsia="Times New Roman"/>
          <w:vanish/>
        </w:rPr>
        <w:t>ractMemberus-gaap:FairValueMeasurementsRecurringMember2021-06-300000884614us-gaap:CommodityContractMemberus-gaap:FairValueMeasurementsRecurringMember2021-06-300000884614us-gaap:ForeignExchangeContractMemberus-gaap:FairValueInputsLevel1Memberus-gaap:FairVal</w:t>
      </w:r>
      <w:r>
        <w:rPr>
          <w:rFonts w:eastAsia="Times New Roman"/>
          <w:vanish/>
        </w:rPr>
        <w:t>ueMeasurementsRecurringMember2021-06-300000884614us-gaap:FairValueInputsLevel2Memberus-gaap:ForeignExchangeContractMemberus-gaap:FairValueMeasurementsRecurringMember2021-06-300000884614us-gaap:FairValueInputsLevel3Memberus-gaap:ForeignExchangeContractMembe</w:t>
      </w:r>
      <w:r>
        <w:rPr>
          <w:rFonts w:eastAsia="Times New Roman"/>
          <w:vanish/>
        </w:rPr>
        <w:t>rus-gaap:FairValueMeasurementsRecurringMember2021-06-300000884614us-gaap:ForeignExchangeContractMemberus-gaap:FairValueMeasurementsRecurringMember2021-06-300000884614us-gaap:InterestRateContractMemberus-gaap:FairValueInputsLevel1Memberus-gaap:FairValueMeas</w:t>
      </w:r>
      <w:r>
        <w:rPr>
          <w:rFonts w:eastAsia="Times New Roman"/>
          <w:vanish/>
        </w:rPr>
        <w:t>urementsRecurringMember2021-06-300000884614us-gaap:InterestRateContractMemberus-gaap:FairValueInputsLevel2Memberus-gaap:FairValueMeasurementsRecurringMember2021-06-300000884614us-gaap:InterestRateContractMemberus-gaap:FairValueInputsLevel3Memberus-gaap:Fai</w:t>
      </w:r>
      <w:r>
        <w:rPr>
          <w:rFonts w:eastAsia="Times New Roman"/>
          <w:vanish/>
        </w:rPr>
        <w:t>rValueMeasurementsRecurringMember2021-06-300000884614us-gaap:InterestRateContractMemberus-gaap:FairValueMeasurementsRecurringMember2021-06-300000884614us-gaap:FairValueInputsLevel1Memberus-gaap:FairValueMeasurementsRecurringMember2021-06-300000884614us-gaa</w:t>
      </w:r>
      <w:r>
        <w:rPr>
          <w:rFonts w:eastAsia="Times New Roman"/>
          <w:vanish/>
        </w:rPr>
        <w:t>p:FairValueInputsLevel2Memberus-gaap:FairValueMeasurementsRecurringMember2021-06-300000884614us-gaap:FairValueInputsLevel3Memberus-gaap:FairValueMeasurementsRecurringMember2021-06-300000884614us-gaap:FairValueMeasurementsRecurringMember2021-06-300000884614</w:t>
      </w:r>
      <w:r>
        <w:rPr>
          <w:rFonts w:eastAsia="Times New Roman"/>
          <w:vanish/>
        </w:rPr>
        <w:t>us-gaap:CarryingReportedAmountFairValueDisclosureMember2022-06-300000884614us-gaap:CarryingReportedAmountFairValueDisclosureMember2021-09-300000884614us-gaap:CarryingReportedAmountFairValueDisclosureMember2021-06-300000884614us-gaap:EstimateOfFairValueFair</w:t>
      </w:r>
      <w:r>
        <w:rPr>
          <w:rFonts w:eastAsia="Times New Roman"/>
          <w:vanish/>
        </w:rPr>
        <w:t>ValueDisclosureMember2022-06-300000884614us-gaap:EstimateOfFairValueFairValueDisclosureMember2021-09-300000884614us-gaap:EstimateOfFairValueFairValueDisclosureMember2021-06-300000884614ugi:InterestRateProtectionAgreementsMember2021-06-300000884614ugi:Inter</w:t>
      </w:r>
      <w:r>
        <w:rPr>
          <w:rFonts w:eastAsia="Times New Roman"/>
          <w:vanish/>
        </w:rPr>
        <w:t>estRateProtectionAgreementsMember2021-09-300000884614ugi:InterestRateProtectionAgreementsMember2022-06-300000884614us-gaap:ForeignExchangeForwardMember2022-06-300000884614us-gaap:NetInvestmentHedgingMemberugi:UGIInternationalLLCMemberus-gaap:ForeignExchang</w:t>
      </w:r>
      <w:r>
        <w:rPr>
          <w:rFonts w:eastAsia="Times New Roman"/>
          <w:vanish/>
        </w:rPr>
        <w:t>eContractMember2021-12-070000884614ugi:NaturalGasMemberus-gaap:RegulatedOperationMemberus-gaap:CommodityContractMember2022-06-30ugi:DTH0000884614ugi:NaturalGasMemberus-gaap:RegulatedOperationMemberus-gaap:CommodityContractMember2021-09-300000884614ugi:Natu</w:t>
      </w:r>
      <w:r>
        <w:rPr>
          <w:rFonts w:eastAsia="Times New Roman"/>
          <w:vanish/>
        </w:rPr>
        <w:t>ralGasMemberus-gaap:RegulatedOperationMemberus-gaap:CommodityContractMember2021-06-300000884614us-gaap:PublicUtilitiesInventoryPropaneMemberus-gaap:CommodityContractMemberus-gaap:UnregulatedOperationMember2022-06-30utr:gal0000884614us-gaap:PublicUtilitiesI</w:t>
      </w:r>
      <w:r>
        <w:rPr>
          <w:rFonts w:eastAsia="Times New Roman"/>
          <w:vanish/>
        </w:rPr>
        <w:t>nventoryPropaneMemberus-gaap:CommodityContractMemberus-gaap:UnregulatedOperationMember2021-09-300000884614us-gaap:PublicUtilitiesInventoryPropaneMemberus-gaap:CommodityContractMemberus-gaap:UnregulatedOperationMember2021-06-300000884614ugi:NaturalGasMember</w:t>
      </w:r>
      <w:r>
        <w:rPr>
          <w:rFonts w:eastAsia="Times New Roman"/>
          <w:vanish/>
        </w:rPr>
        <w:t>ugi:NaturalGasFuturesForwardAndPipelineContractsMemberus-gaap:UnregulatedOperationMember2022-06-300000884614ugi:NaturalGasMemberugi:NaturalGasFuturesForwardAndPipelineContractsMemberus-gaap:UnregulatedOperationMember2021-09-300000884614ugi:NaturalGasMember</w:t>
      </w:r>
      <w:r>
        <w:rPr>
          <w:rFonts w:eastAsia="Times New Roman"/>
          <w:vanish/>
        </w:rPr>
        <w:t>ugi:NaturalGasFuturesForwardAndPipelineContractsMemberus-gaap:UnregulatedOperationMember2021-06-300000884614us-gaap:CommodityContractMemberus-gaap:UnregulatedOperationMemberus-gaap:ElectricityMember2022-06-30utr:kWh0000884614us-gaap:CommodityContractMember</w:t>
      </w:r>
      <w:r>
        <w:rPr>
          <w:rFonts w:eastAsia="Times New Roman"/>
          <w:vanish/>
        </w:rPr>
        <w:t>us-gaap:UnregulatedOperationMemberus-gaap:ElectricityMember2021-09-300000884614us-gaap:CommodityContractMemberus-gaap:UnregulatedOperationMemberus-gaap:ElectricityMember2021-06-300000884614us-gaap:InterestRateSwapMember2022-06-300000884614us-gaap:InterestR</w:t>
      </w:r>
      <w:r>
        <w:rPr>
          <w:rFonts w:eastAsia="Times New Roman"/>
          <w:vanish/>
        </w:rPr>
        <w:t>ateSwapMember2021-09-300000884614us-gaap:InterestRateSwapMember2021-06-300000884614us-gaap:ForeignExchangeContractMember2022-06-300000884614us-gaap:ForeignExchangeContractMember2021-09-300000884614us-gaap:ForeignExchangeContractMember2021-06-300000884614us</w:t>
      </w:r>
      <w:r>
        <w:rPr>
          <w:rFonts w:eastAsia="Times New Roman"/>
          <w:vanish/>
        </w:rPr>
        <w:t>-gaap:ForeignExchangeContractMemberus-gaap:DesignatedAsHedgingInstrumentMember2022-06-300000884614us-gaap:ForeignExchangeContractMemberus-gaap:DesignatedAsHedgingInstrumentMember2021-09-300000884614us-gaap:ForeignExchangeContractMemberus-gaap:DesignatedAsH</w:t>
      </w:r>
      <w:r>
        <w:rPr>
          <w:rFonts w:eastAsia="Times New Roman"/>
          <w:vanish/>
        </w:rPr>
        <w:t>edgingInstrumentMember2021-06-300000884614us-gaap:InterestRateContractMemberus-gaap:DesignatedAsHedgingInstrumentMember2022-06-300000884614us-gaap:InterestRateContractMemberus-gaap:DesignatedAsHedgingInstrumentMember2021-09-300000884614us-gaap:InterestRate</w:t>
      </w:r>
      <w:r>
        <w:rPr>
          <w:rFonts w:eastAsia="Times New Roman"/>
          <w:vanish/>
        </w:rPr>
        <w:t>ContractMemberus-gaap:DesignatedAsHedgingInstrumentMember2021-06-300000884614us-gaap:DesignatedAsHedgingInstrumentMember2022-06-300000884614us-gaap:DesignatedAsHedgingInstrumentMember2021-09-300000884614us-gaap:DesignatedAsHedgingInstrumentMember2021-06-30</w:t>
      </w:r>
      <w:r>
        <w:rPr>
          <w:rFonts w:eastAsia="Times New Roman"/>
          <w:vanish/>
        </w:rPr>
        <w:t>0000884614us-gaap:CommodityContractMember2022-06-300000884614us-gaap:CommodityContractMember2021-09-300000884614us-gaap:CommodityContractMember2021-06-300000884614us-gaap:NondesignatedMemberus-gaap:CommodityContractMember2022-06-300000884614us-gaap:Nondesi</w:t>
      </w:r>
      <w:r>
        <w:rPr>
          <w:rFonts w:eastAsia="Times New Roman"/>
          <w:vanish/>
        </w:rPr>
        <w:t>gnatedMemberus-gaap:CommodityContractMember2021-09-300000884614us-gaap:NondesignatedMemberus-gaap:CommodityContractMember2021-06-300000884614us-gaap:ForeignExchangeContractMemberus-gaap:NondesignatedMember2022-06-300000884614us-gaap:ForeignExchangeContract</w:t>
      </w:r>
      <w:r>
        <w:rPr>
          <w:rFonts w:eastAsia="Times New Roman"/>
          <w:vanish/>
        </w:rPr>
        <w:t>Memberus-gaap:NondesignatedMember2021-09-300000884614us-gaap:ForeignExchangeContractMemberus-gaap:NondesignatedMember2021-06-300000884614us-gaap:NondesignatedMember2022-06-300000884614us-gaap:NondesignatedMember2021-09-300000884614us-gaap:NondesignatedMemb</w:t>
      </w:r>
      <w:r>
        <w:rPr>
          <w:rFonts w:eastAsia="Times New Roman"/>
          <w:vanish/>
        </w:rPr>
        <w:t>er2021-06-300000884614us-gaap:InterestRateContractMemberus-gaap:CashFlowHedgingMemberus-gaap:DesignatedAsHedgingInstrumentMember2022-04-012022-06-300000884614us-gaap:InterestRateContractMemberus-gaap:CashFlowHedgingMemberus-gaap:DesignatedAsHedgingInstrume</w:t>
      </w:r>
      <w:r>
        <w:rPr>
          <w:rFonts w:eastAsia="Times New Roman"/>
          <w:vanish/>
        </w:rPr>
        <w:t>ntMember2021-04-012021-06-300000884614us-gaap:InterestRateContractMemberus-gaap:CashFlowHedgingMemberus-gaap:InterestExpenseMemberus-gaap:DesignatedAsHedgingInstrumentMember2022-04-012022-06-300000884614us-gaap:InterestRateContractMemberus-gaap:CashFlowHed</w:t>
      </w:r>
      <w:r>
        <w:rPr>
          <w:rFonts w:eastAsia="Times New Roman"/>
          <w:vanish/>
        </w:rPr>
        <w:t>gingMemberus-gaap:InterestExpenseMemberus-gaap:DesignatedAsHedgingInstrumentMember2021-04-012021-06-300000884614us-gaap:NetInvestmentHedgingMemberus-gaap:ForeignExchangeContractMemberus-gaap:DesignatedAsHedgingInstrumentMember2022-04-012022-06-300000884614</w:t>
      </w:r>
      <w:r>
        <w:rPr>
          <w:rFonts w:eastAsia="Times New Roman"/>
          <w:vanish/>
        </w:rPr>
        <w:t>us-gaap:NetInvestmentHedgingMemberus-gaap:ForeignExchangeContractMemberus-gaap:DesignatedAsHedgingInstrumentMember2021-04-012021-06-300000884614us-gaap:NondesignatedMemberus-gaap:SalesRevenueNetMemberus-gaap:CommodityContractMember2022-04-012022-06-3000008</w:t>
      </w:r>
      <w:r>
        <w:rPr>
          <w:rFonts w:eastAsia="Times New Roman"/>
          <w:vanish/>
        </w:rPr>
        <w:t>84614us-gaap:NondesignatedMemberus-gaap:SalesRevenueNetMemberus-gaap:CommodityContractMember2021-04-012021-06-300000884614us-gaap:CostOfSalesMemberus-gaap:NondesignatedMemberus-gaap:CommodityContractMember2022-04-012022-06-300000884614us-gaap:CostOfSalesMe</w:t>
      </w:r>
      <w:r>
        <w:rPr>
          <w:rFonts w:eastAsia="Times New Roman"/>
          <w:vanish/>
        </w:rPr>
        <w:t>mberus-gaap:NondesignatedMemberus-gaap:CommodityContractMember2021-04-012021-06-300000884614us-gaap:OtherOperatingIncomeExpenseMemberus-gaap:NondesignatedMemberus-gaap:CommodityContractMember2022-04-012022-06-300000884614us-gaap:OtherOperatingIncomeExpense</w:t>
      </w:r>
      <w:r>
        <w:rPr>
          <w:rFonts w:eastAsia="Times New Roman"/>
          <w:vanish/>
        </w:rPr>
        <w:t>Memberus-gaap:NondesignatedMemberus-gaap:CommodityContractMember2021-04-012021-06-300000884614us-gaap:OtherIncomeMemberus-gaap:ForeignExchangeContractMemberus-gaap:NondesignatedMember2022-04-012022-06-300000884614us-gaap:OtherIncomeMemberus-gaap:ForeignExc</w:t>
      </w:r>
      <w:r>
        <w:rPr>
          <w:rFonts w:eastAsia="Times New Roman"/>
          <w:vanish/>
        </w:rPr>
        <w:t>hangeContractMemberus-gaap:NondesignatedMember2021-04-012021-06-300000884614us-gaap:NondesignatedMember2022-04-012022-06-300000884614us-gaap:NondesignatedMember2021-04-012021-06-300000884614us-gaap:InterestRateContractMemberus-gaap:CashFlowHedgingMemberus-</w:t>
      </w:r>
      <w:r>
        <w:rPr>
          <w:rFonts w:eastAsia="Times New Roman"/>
          <w:vanish/>
        </w:rPr>
        <w:t>gaap:DesignatedAsHedgingInstrumentMember2021-10-012022-06-300000884614us-gaap:InterestRateContractMemberus-gaap:CashFlowHedgingMemberus-gaap:DesignatedAsHedgingInstrumentMember2020-10-012021-06-300000884614us-gaap:InterestRateContractMemberus-gaap:CashFlow</w:t>
      </w:r>
      <w:r>
        <w:rPr>
          <w:rFonts w:eastAsia="Times New Roman"/>
          <w:vanish/>
        </w:rPr>
        <w:t>HedgingMemberus-gaap:InterestExpenseMemberus-gaap:DesignatedAsHedgingInstrumentMember2021-10-012022-06-300000884614us-gaap:InterestRateContractMemberus-gaap:CashFlowHedgingMemberus-gaap:InterestExpenseMemberus-gaap:DesignatedAsHedgingInstrumentMember2020-1</w:t>
      </w:r>
      <w:r>
        <w:rPr>
          <w:rFonts w:eastAsia="Times New Roman"/>
          <w:vanish/>
        </w:rPr>
        <w:t>0-012021-06-300000884614us-gaap:NetInvestmentHedgingMemberus-gaap:ForeignExchangeContractMemberus-gaap:DesignatedAsHedgingInstrumentMember2021-10-012022-06-300000884614us-gaap:NetInvestmentHedgingMemberus-gaap:ForeignExchangeContractMemberus-gaap:Designate</w:t>
      </w:r>
      <w:r>
        <w:rPr>
          <w:rFonts w:eastAsia="Times New Roman"/>
          <w:vanish/>
        </w:rPr>
        <w:t>dAsHedgingInstrumentMember2020-10-012021-06-300000884614us-gaap:NondesignatedMemberus-gaap:SalesRevenueNetMemberus-gaap:CommodityContractMember2021-10-012022-06-300000884614us-gaap:NondesignatedMemberus-gaap:SalesRevenueNetMemberus-gaap:CommodityContractMe</w:t>
      </w:r>
      <w:r>
        <w:rPr>
          <w:rFonts w:eastAsia="Times New Roman"/>
          <w:vanish/>
        </w:rPr>
        <w:t>mber2020-10-012021-06-300000884614us-gaap:CostOfSalesMemberus-gaap:NondesignatedMemberus-gaap:CommodityContractMember2021-10-012022-06-300000884614us-gaap:CostOfSalesMemberus-gaap:NondesignatedMemberus-gaap:CommodityContractMember2020-10-012021-06-30000088</w:t>
      </w:r>
      <w:r>
        <w:rPr>
          <w:rFonts w:eastAsia="Times New Roman"/>
          <w:vanish/>
        </w:rPr>
        <w:t>4614us-gaap:OtherOperatingIncomeExpenseMemberus-gaap:NondesignatedMemberus-gaap:CommodityContractMember2021-10-012022-06-300000884614us-gaap:OtherOperatingIncomeExpenseMemberus-gaap:NondesignatedMemberus-gaap:CommodityContractMember2020-10-012021-06-300000</w:t>
      </w:r>
      <w:r>
        <w:rPr>
          <w:rFonts w:eastAsia="Times New Roman"/>
          <w:vanish/>
        </w:rPr>
        <w:t>884614us-gaap:OtherIncomeMemberus-gaap:ForeignExchangeContractMemberus-gaap:NondesignatedMember2021-10-012022-06-300000884614us-gaap:OtherIncomeMemberus-gaap:ForeignExchangeContractMemberus-gaap:NondesignatedMember2020-10-012021-06-300000884614us-gaap:Nond</w:t>
      </w:r>
      <w:r>
        <w:rPr>
          <w:rFonts w:eastAsia="Times New Roman"/>
          <w:vanish/>
        </w:rPr>
        <w:t>esignatedMember2021-10-012022-06-300000884614us-gaap:NondesignatedMember2020-10-012021-06-300000884614us-gaap:AccumulatedDefinedBenefitPlansAdjustmentMember2022-03-310000884614us-gaap:AccumulatedGainLossNetCashFlowHedgeParentMember2022-03-310000884614us-ga</w:t>
      </w:r>
      <w:r>
        <w:rPr>
          <w:rFonts w:eastAsia="Times New Roman"/>
          <w:vanish/>
        </w:rPr>
        <w:t>ap:AccumulatedTranslationAdjustmentMember2022-03-310000884614us-gaap:AccumulatedOtherComprehensiveIncomeMember2022-03-310000884614us-gaap:AccumulatedDefinedBenefitPlansAdjustmentMember2022-04-012022-06-300000884614us-gaap:AccumulatedGainLossNetCashFlowHedg</w:t>
      </w:r>
      <w:r>
        <w:rPr>
          <w:rFonts w:eastAsia="Times New Roman"/>
          <w:vanish/>
        </w:rPr>
        <w:t>eParentMember2022-04-012022-06-300000884614us-gaap:AccumulatedTranslationAdjustmentMember2022-04-012022-06-300000884614us-gaap:AccumulatedDefinedBenefitPlansAdjustmentMember2022-06-300000884614us-gaap:AccumulatedGainLossNetCashFlowHedgeParentMember2022-06-</w:t>
      </w:r>
      <w:r>
        <w:rPr>
          <w:rFonts w:eastAsia="Times New Roman"/>
          <w:vanish/>
        </w:rPr>
        <w:t>300000884614us-gaap:AccumulatedTranslationAdjustmentMember2022-06-300000884614us-gaap:AccumulatedOtherComprehensiveIncomeMember2022-06-300000884614us-gaap:AccumulatedDefinedBenefitPlansAdjustmentMember2021-03-310000884614us-gaap:AccumulatedGainLossNetCashF</w:t>
      </w:r>
      <w:r>
        <w:rPr>
          <w:rFonts w:eastAsia="Times New Roman"/>
          <w:vanish/>
        </w:rPr>
        <w:t>lowHedgeParentMember2021-03-310000884614us-gaap:AccumulatedTranslationAdjustmentMember2021-03-310000884614us-gaap:AccumulatedOtherComprehensiveIncomeMember2021-03-310000884614us-gaap:AccumulatedDefinedBenefitPlansAdjustmentMember2021-04-012021-06-300000884</w:t>
      </w:r>
      <w:r>
        <w:rPr>
          <w:rFonts w:eastAsia="Times New Roman"/>
          <w:vanish/>
        </w:rPr>
        <w:t>614us-gaap:AccumulatedGainLossNetCashFlowHedgeParentMember2021-04-012021-06-300000884614us-gaap:AccumulatedTranslationAdjustmentMember2021-04-012021-06-300000884614us-gaap:AccumulatedDefinedBenefitPlansAdjustmentMember2021-06-300000884614us-gaap:Accumulate</w:t>
      </w:r>
      <w:r>
        <w:rPr>
          <w:rFonts w:eastAsia="Times New Roman"/>
          <w:vanish/>
        </w:rPr>
        <w:t>dGainLossNetCashFlowHedgeParentMember2021-06-300000884614us-gaap:AccumulatedTranslationAdjustmentMember2021-06-300000884614us-gaap:AccumulatedOtherComprehensiveIncomeMember2021-06-300000884614us-gaap:AccumulatedDefinedBenefitPlansAdjustmentMember2021-09-30</w:t>
      </w:r>
      <w:r>
        <w:rPr>
          <w:rFonts w:eastAsia="Times New Roman"/>
          <w:vanish/>
        </w:rPr>
        <w:t>0000884614us-gaap:AccumulatedGainLossNetCashFlowHedgeParentMember2021-09-300000884614us-gaap:AccumulatedTranslationAdjustmentMember2021-09-300000884614us-gaap:AccumulatedOtherComprehensiveIncomeMember2021-09-300000884614us-gaap:AccumulatedDefinedBenefitPla</w:t>
      </w:r>
      <w:r>
        <w:rPr>
          <w:rFonts w:eastAsia="Times New Roman"/>
          <w:vanish/>
        </w:rPr>
        <w:t>nsAdjustmentMember2021-10-012022-06-300000884614us-gaap:AccumulatedGainLossNetCashFlowHedgeParentMember2021-10-012022-06-300000884614us-gaap:AccumulatedTranslationAdjustmentMember2021-10-012022-06-300000884614us-gaap:AccumulatedDefinedBenefitPlansAdjustmen</w:t>
      </w:r>
      <w:r>
        <w:rPr>
          <w:rFonts w:eastAsia="Times New Roman"/>
          <w:vanish/>
        </w:rPr>
        <w:t>tMember2020-09-300000884614us-gaap:AccumulatedGainLossNetCashFlowHedgeParentMember2020-09-300000884614us-gaap:AccumulatedTranslationAdjustmentMember2020-09-300000884614us-gaap:AccumulatedOtherComprehensiveIncomeMember2020-09-300000884614us-gaap:Accumulated</w:t>
      </w:r>
      <w:r>
        <w:rPr>
          <w:rFonts w:eastAsia="Times New Roman"/>
          <w:vanish/>
        </w:rPr>
        <w:t>DefinedBenefitPlansAdjustmentMember2020-10-012021-06-300000884614us-gaap:AccumulatedGainLossNetCashFlowHedgeParentMember2020-10-012021-06-300000884614us-gaap:AccumulatedTranslationAdjustmentMember2020-10-012021-06-30ugi:segment0000884614ugi:CorporateAndRec</w:t>
      </w:r>
      <w:r>
        <w:rPr>
          <w:rFonts w:eastAsia="Times New Roman"/>
          <w:vanish/>
        </w:rPr>
        <w:t>oncilingItemsMember2022-04-012022-06-300000884614us-gaap:IntersegmentEliminationMemberugi:AmerigasPropaneMember2022-04-012022-06-300000884614us-gaap:IntersegmentEliminationMemberugi:UGIInternationalLLCMember2022-04-012022-06-300000884614us-gaap:Intersegmen</w:t>
      </w:r>
      <w:r>
        <w:rPr>
          <w:rFonts w:eastAsia="Times New Roman"/>
          <w:vanish/>
        </w:rPr>
        <w:t>tEliminationMemberugi:MidstreamAndMarketingMember2022-04-012022-06-300000884614ugi:UGIUtilitiesIncMemberus-gaap:IntersegmentEliminationMember2022-04-012022-06-300000884614ugi:CorporateAndReconcilingItemsMember2021-04-012021-06-300000884614us-gaap:Intersegm</w:t>
      </w:r>
      <w:r>
        <w:rPr>
          <w:rFonts w:eastAsia="Times New Roman"/>
          <w:vanish/>
        </w:rPr>
        <w:t>entEliminationMemberugi:AmerigasPropaneMember2021-04-012021-06-300000884614us-gaap:IntersegmentEliminationMemberugi:UGIInternationalLLCMember2021-04-012021-06-300000884614us-gaap:IntersegmentEliminationMemberugi:MidstreamAndMarketingMember2021-04-012021-06</w:t>
      </w:r>
      <w:r>
        <w:rPr>
          <w:rFonts w:eastAsia="Times New Roman"/>
          <w:vanish/>
        </w:rPr>
        <w:t>-300000884614ugi:UGIUtilitiesIncMemberus-gaap:IntersegmentEliminationMember2021-04-012021-06-300000884614ugi:CorporateReconcilingItemsAndEliminationsMember2021-04-012021-06-300000884614ugi:CorporateAndReconcilingItemsMember2021-10-012022-06-300000884614us-</w:t>
      </w:r>
      <w:r>
        <w:rPr>
          <w:rFonts w:eastAsia="Times New Roman"/>
          <w:vanish/>
        </w:rPr>
        <w:t>gaap:IntersegmentEliminationMemberugi:AmerigasPropaneMember2021-10-012022-06-300000884614us-gaap:IntersegmentEliminationMemberugi:UGIInternationalLLCMember2021-10-012022-06-300000884614us-gaap:IntersegmentEliminationMemberugi:MidstreamAndMarketingMember202</w:t>
      </w:r>
      <w:r>
        <w:rPr>
          <w:rFonts w:eastAsia="Times New Roman"/>
          <w:vanish/>
        </w:rPr>
        <w:t>1-10-012022-06-300000884614ugi:UGIUtilitiesIncMemberus-gaap:IntersegmentEliminationMember2021-10-012022-06-300000884614ugi:CorporateReconcilingItemsAndEliminationsMember2021-10-012022-06-300000884614us-gaap:IntersegmentEliminationMember2022-06-300000884614</w:t>
      </w:r>
      <w:r>
        <w:rPr>
          <w:rFonts w:eastAsia="Times New Roman"/>
          <w:vanish/>
        </w:rPr>
        <w:t>us-gaap:OperatingSegmentsMemberugi:AmerigasPropaneMember2022-06-300000884614ugi:UGIInternationalLLCMemberus-gaap:OperatingSegmentsMember2022-06-300000884614ugi:MidstreamAndMarketingMemberus-gaap:OperatingSegmentsMember2022-06-300000884614ugi:UGIUtilitiesIn</w:t>
      </w:r>
      <w:r>
        <w:rPr>
          <w:rFonts w:eastAsia="Times New Roman"/>
          <w:vanish/>
        </w:rPr>
        <w:t>cMemberus-gaap:OperatingSegmentsMember2022-06-300000884614ugi:CorporateAndReconcilingItemsMember2022-06-300000884614ugi:CorporateAndReconcilingItemsMember2020-10-012021-06-300000884614us-gaap:IntersegmentEliminationMemberugi:AmerigasPropaneMember2020-10-01</w:t>
      </w:r>
      <w:r>
        <w:rPr>
          <w:rFonts w:eastAsia="Times New Roman"/>
          <w:vanish/>
        </w:rPr>
        <w:t>2021-06-300000884614us-gaap:IntersegmentEliminationMemberugi:UGIInternationalLLCMember2020-10-012021-06-300000884614us-gaap:IntersegmentEliminationMemberugi:MidstreamAndMarketingMember2020-10-012021-06-300000884614ugi:UGIUtilitiesIncMemberus-gaap:Intersegm</w:t>
      </w:r>
      <w:r>
        <w:rPr>
          <w:rFonts w:eastAsia="Times New Roman"/>
          <w:vanish/>
        </w:rPr>
        <w:t>entEliminationMember2020-10-012021-06-300000884614ugi:CorporateReconcilingItemsAndEliminationsMember2020-10-012021-06-300000884614us-gaap:IntersegmentEliminationMember2021-06-300000884614us-gaap:OperatingSegmentsMemberugi:AmerigasPropaneMember2021-06-30000</w:t>
      </w:r>
      <w:r>
        <w:rPr>
          <w:rFonts w:eastAsia="Times New Roman"/>
          <w:vanish/>
        </w:rPr>
        <w:t>0884614ugi:UGIInternationalLLCMemberus-gaap:OperatingSegmentsMember2021-06-300000884614ugi:MidstreamAndMarketingMemberus-gaap:OperatingSegmentsMember2021-06-300000884614ugi:UGIUtilitiesIncMemberus-gaap:OperatingSegmentsMember2021-06-300000884614ugi:Corpora</w:t>
      </w:r>
      <w:r>
        <w:rPr>
          <w:rFonts w:eastAsia="Times New Roman"/>
          <w:vanish/>
        </w:rPr>
        <w:t>teAndReconcilingItemsMember2021-06-300000884614us-gaap:SalesMemberugi:AmerigasPropaneMember2022-04-012022-06-300000884614ugi:UGIInternationalLLCMemberus-gaap:SalesMember2022-04-012022-06-300000884614ugi:MidstreamAndMarketingMemberus-gaap:SalesMember2022-04</w:t>
      </w:r>
      <w:r>
        <w:rPr>
          <w:rFonts w:eastAsia="Times New Roman"/>
          <w:vanish/>
        </w:rPr>
        <w:t>-012022-06-300000884614us-gaap:CostOfSalesMemberugi:AmerigasPropaneMember2022-04-012022-06-300000884614us-gaap:CostOfSalesMemberugi:UGIInternationalLLCMember2022-04-012022-06-300000884614ugi:MidstreamAndMarketingMemberus-gaap:CostOfSalesMember2022-04-01202</w:t>
      </w:r>
      <w:r>
        <w:rPr>
          <w:rFonts w:eastAsia="Times New Roman"/>
          <w:vanish/>
        </w:rPr>
        <w:t>2-06-300000884614us-gaap:OtherOperatingIncomeExpenseMemberugi:AmerigasPropaneMember2022-04-012022-06-300000884614us-gaap:OtherOperatingIncomeExpenseMemberugi:UGIInternationalLLCMember2022-04-012022-06-300000884614ugi:MidstreamAndMarketingMemberus-gaap:Othe</w:t>
      </w:r>
      <w:r>
        <w:rPr>
          <w:rFonts w:eastAsia="Times New Roman"/>
          <w:vanish/>
        </w:rPr>
        <w:t>rOperatingIncomeExpenseMember2022-04-012022-06-300000884614us-gaap:GeneralAndAdministrativeExpenseMemberugi:AmerigasPropaneMember2022-04-012022-06-300000884614us-gaap:GeneralAndAdministrativeExpenseMemberugi:UGIInternationalLLCMember2022-04-012022-06-30000</w:t>
      </w:r>
      <w:r>
        <w:rPr>
          <w:rFonts w:eastAsia="Times New Roman"/>
          <w:vanish/>
        </w:rPr>
        <w:t>0884614us-gaap:GeneralAndAdministrativeExpenseMemberugi:MidstreamAndMarketingMember2022-04-012022-06-300000884614us-gaap:OtherNonoperatingIncomeExpenseMemberugi:AmerigasPropaneMember2022-04-012022-06-300000884614ugi:UGIInternationalLLCMemberus-gaap:OtherNo</w:t>
      </w:r>
      <w:r>
        <w:rPr>
          <w:rFonts w:eastAsia="Times New Roman"/>
          <w:vanish/>
        </w:rPr>
        <w:t>noperatingIncomeExpenseMember2022-04-012022-06-300000884614ugi:MidstreamAndMarketingMemberus-gaap:OtherNonoperatingIncomeExpenseMember2022-04-012022-06-300000884614ugi:AmerigasPropaneMemberugi:IncomeLossFromEquityMethodInvestmentsMember2022-04-012022-06-30</w:t>
      </w:r>
      <w:r>
        <w:rPr>
          <w:rFonts w:eastAsia="Times New Roman"/>
          <w:vanish/>
        </w:rPr>
        <w:t>0000884614ugi:UGIInternationalLLCMemberugi:IncomeLossFromEquityMethodInvestmentsMember2022-04-012022-06-300000884614ugi:MidstreamAndMarketingMemberugi:IncomeLossFromEquityMethodInvestmentsMember2022-04-012022-06-300000884614us-gaap:SalesMemberugi:AmerigasP</w:t>
      </w:r>
      <w:r>
        <w:rPr>
          <w:rFonts w:eastAsia="Times New Roman"/>
          <w:vanish/>
        </w:rPr>
        <w:t>ropaneMember2021-04-012021-06-300000884614ugi:UGIInternationalLLCMemberus-gaap:SalesMember2021-04-012021-06-300000884614ugi:MidstreamAndMarketingMemberus-gaap:SalesMember2021-04-012021-06-300000884614us-gaap:CostOfSalesMemberugi:AmerigasPropaneMember2021-0</w:t>
      </w:r>
      <w:r>
        <w:rPr>
          <w:rFonts w:eastAsia="Times New Roman"/>
          <w:vanish/>
        </w:rPr>
        <w:t>4-012021-06-300000884614us-gaap:CostOfSalesMemberugi:UGIInternationalLLCMember2021-04-012021-06-300000884614ugi:MidstreamAndMarketingMemberus-gaap:CostOfSalesMember2021-04-012021-06-300000884614us-gaap:OtherNonoperatingIncomeExpenseMemberugi:AmerigasPropan</w:t>
      </w:r>
      <w:r>
        <w:rPr>
          <w:rFonts w:eastAsia="Times New Roman"/>
          <w:vanish/>
        </w:rPr>
        <w:t>eMember2021-04-012021-06-300000884614ugi:UGIInternationalLLCMemberus-gaap:OtherNonoperatingIncomeExpenseMember2021-04-012021-06-300000884614ugi:MidstreamAndMarketingMemberus-gaap:OtherNonoperatingIncomeExpenseMember2021-04-012021-06-300000884614us-gaap:Gen</w:t>
      </w:r>
      <w:r>
        <w:rPr>
          <w:rFonts w:eastAsia="Times New Roman"/>
          <w:vanish/>
        </w:rPr>
        <w:t>eralAndAdministrativeExpenseMemberugi:AmerigasPropaneMember2021-04-012021-06-300000884614us-gaap:GeneralAndAdministrativeExpenseMemberugi:UGIInternationalLLCMember2021-04-012021-06-300000884614us-gaap:GeneralAndAdministrativeExpenseMemberugi:MidstreamAndMa</w:t>
      </w:r>
      <w:r>
        <w:rPr>
          <w:rFonts w:eastAsia="Times New Roman"/>
          <w:vanish/>
        </w:rPr>
        <w:t>rketingMember2021-04-012021-06-300000884614ugi:AmerigasPropaneMemberugi:IncomeLossFromEquityMethodInvestmentsMember2021-04-012021-06-300000884614ugi:UGIInternationalLLCMemberugi:IncomeLossFromEquityMethodInvestmentsMember2021-04-012021-06-300000884614ugi:M</w:t>
      </w:r>
      <w:r>
        <w:rPr>
          <w:rFonts w:eastAsia="Times New Roman"/>
          <w:vanish/>
        </w:rPr>
        <w:t>idstreamAndMarketingMemberugi:IncomeLossFromEquityMethodInvestmentsMember2021-04-012021-06-300000884614us-gaap:SalesMemberugi:AmerigasPropaneMember2021-10-012022-06-300000884614ugi:UGIInternationalLLCMemberus-gaap:SalesMember2021-10-012022-06-300000884614u</w:t>
      </w:r>
      <w:r>
        <w:rPr>
          <w:rFonts w:eastAsia="Times New Roman"/>
          <w:vanish/>
        </w:rPr>
        <w:t>gi:MidstreamAndMarketingMemberus-gaap:SalesMember2021-10-012022-06-300000884614us-gaap:CostOfSalesMemberugi:AmerigasPropaneMember2021-10-012022-06-300000884614us-gaap:CostOfSalesMemberugi:UGIInternationalLLCMember2021-10-012022-06-300000884614ugi:Midstream</w:t>
      </w:r>
      <w:r>
        <w:rPr>
          <w:rFonts w:eastAsia="Times New Roman"/>
          <w:vanish/>
        </w:rPr>
        <w:t>AndMarketingMemberus-gaap:CostOfSalesMember2021-10-012022-06-300000884614us-gaap:OtherOperatingIncomeExpenseMemberugi:AmerigasPropaneMember2021-10-012022-06-300000884614us-gaap:OtherOperatingIncomeExpenseMemberugi:UGIInternationalLLCMember2021-10-012022-06</w:t>
      </w:r>
      <w:r>
        <w:rPr>
          <w:rFonts w:eastAsia="Times New Roman"/>
          <w:vanish/>
        </w:rPr>
        <w:t>-300000884614ugi:MidstreamAndMarketingMemberus-gaap:OtherOperatingIncomeExpenseMember2021-10-012022-06-300000884614us-gaap:GeneralAndAdministrativeExpenseMemberugi:AmerigasPropaneMember2021-10-012022-06-300000884614us-gaap:GeneralAndAdministrativeExpenseMe</w:t>
      </w:r>
      <w:r>
        <w:rPr>
          <w:rFonts w:eastAsia="Times New Roman"/>
          <w:vanish/>
        </w:rPr>
        <w:t>mberugi:UGIInternationalLLCMember2021-10-012022-06-300000884614us-gaap:GeneralAndAdministrativeExpenseMemberugi:MidstreamAndMarketingMember2021-10-012022-06-300000884614ugi:AmerigasPropaneMember2021-10-012022-06-300000884614ugi:UGIInternationalLLCMember202</w:t>
      </w:r>
      <w:r>
        <w:rPr>
          <w:rFonts w:eastAsia="Times New Roman"/>
          <w:vanish/>
        </w:rPr>
        <w:t>1-10-012022-06-300000884614ugi:MidstreamAndMarketingMember2021-10-012022-06-300000884614us-gaap:OtherNonoperatingIncomeExpenseMemberugi:AmerigasPropaneMember2021-10-012022-06-300000884614ugi:UGIInternationalLLCMemberus-gaap:OtherNonoperatingIncomeExpenseMe</w:t>
      </w:r>
      <w:r>
        <w:rPr>
          <w:rFonts w:eastAsia="Times New Roman"/>
          <w:vanish/>
        </w:rPr>
        <w:t>mber2021-10-012022-06-300000884614ugi:MidstreamAndMarketingMemberus-gaap:OtherNonoperatingIncomeExpenseMember2021-10-012022-06-300000884614ugi:AmerigasPropaneMemberugi:IncomeLossFromEquityMethodInvestmentsMember2021-10-012022-06-300000884614ugi:UGIInternat</w:t>
      </w:r>
      <w:r>
        <w:rPr>
          <w:rFonts w:eastAsia="Times New Roman"/>
          <w:vanish/>
        </w:rPr>
        <w:t>ionalLLCMemberugi:IncomeLossFromEquityMethodInvestmentsMember2021-10-012022-06-300000884614ugi:MidstreamAndMarketingMemberugi:IncomeLossFromEquityMethodInvestmentsMember2021-10-012022-06-300000884614us-gaap:SalesMemberugi:AmerigasPropaneMember2020-10-01202</w:t>
      </w:r>
      <w:r>
        <w:rPr>
          <w:rFonts w:eastAsia="Times New Roman"/>
          <w:vanish/>
        </w:rPr>
        <w:t>1-06-300000884614ugi:UGIInternationalLLCMemberus-gaap:SalesMember2020-10-012021-06-300000884614ugi:MidstreamAndMarketingMemberus-gaap:SalesMember2020-10-012021-06-300000884614us-gaap:CostOfSalesMemberugi:AmerigasPropaneMember2020-10-012021-06-300000884614u</w:t>
      </w:r>
      <w:r>
        <w:rPr>
          <w:rFonts w:eastAsia="Times New Roman"/>
          <w:vanish/>
        </w:rPr>
        <w:t>s-gaap:CostOfSalesMemberugi:UGIInternationalLLCMember2020-10-012021-06-300000884614ugi:MidstreamAndMarketingMemberus-gaap:CostOfSalesMember2020-10-012021-06-300000884614us-gaap:OtherNonoperatingIncomeExpenseMemberugi:AmerigasPropaneMember2020-10-012021-06-</w:t>
      </w:r>
      <w:r>
        <w:rPr>
          <w:rFonts w:eastAsia="Times New Roman"/>
          <w:vanish/>
        </w:rPr>
        <w:t>300000884614ugi:UGIInternationalLLCMemberus-gaap:OtherNonoperatingIncomeExpenseMember2020-10-012021-06-300000884614ugi:MidstreamAndMarketingMemberus-gaap:OtherNonoperatingIncomeExpenseMember2020-10-012021-06-300000884614us-gaap:GeneralAndAdministrativeExpe</w:t>
      </w:r>
      <w:r>
        <w:rPr>
          <w:rFonts w:eastAsia="Times New Roman"/>
          <w:vanish/>
        </w:rPr>
        <w:t>nseMemberugi:AmerigasPropaneMember2020-10-012021-06-300000884614us-gaap:GeneralAndAdministrativeExpenseMemberugi:UGIInternationalLLCMember2020-10-012021-06-300000884614us-gaap:GeneralAndAdministrativeExpenseMemberugi:MidstreamAndMarketingMember2020-10-0120</w:t>
      </w:r>
      <w:r>
        <w:rPr>
          <w:rFonts w:eastAsia="Times New Roman"/>
          <w:vanish/>
        </w:rPr>
        <w:t>21-06-300000884614ugi:AmerigasPropaneMemberugi:IncomeLossFromEquityMethodInvestmentsMember2020-10-012021-06-300000884614ugi:UGIInternationalLLCMemberugi:IncomeLossFromEquityMethodInvestmentsMember2020-10-012021-06-300000884614ugi:MidstreamAndMarketingMembe</w:t>
      </w:r>
      <w:r>
        <w:rPr>
          <w:rFonts w:eastAsia="Times New Roman"/>
          <w:vanish/>
        </w:rPr>
        <w:t>rugi:IncomeLossFromEquityMethodInvestmentsMember2020-10-012021-06-300000884614ugi:AmeriGasAndUGIInternationalSegmentsMember2021-04-012021-06-300000884614ugi:AmeriGasAndUGIInternationalSegmentsMember2020-10-012021-06-300000884614ugi:CorporateServicesMember2</w:t>
      </w:r>
      <w:r>
        <w:rPr>
          <w:rFonts w:eastAsia="Times New Roman"/>
          <w:vanish/>
        </w:rPr>
        <w:t>022-04-012022-06-300000884614ugi:CorporateServicesMember2021-04-012021-06-300000884614ugi:CorporateServicesMember2021-10-012022-06-300000884614ugi:CorporateServicesMember2020-10-012021-06-300000884614ugi:EnergyServicesMemberugi:PennantMember2022-06-3000008</w:t>
      </w:r>
      <w:r>
        <w:rPr>
          <w:rFonts w:eastAsia="Times New Roman"/>
          <w:vanish/>
        </w:rPr>
        <w:t>84614ugi:EnergyServicesMemberugi:PennantMember2022-04-012022-06-300000884614ugi:PennEastMemberugi:UGIPennEastLLCMembersrt:AffiliatedEntityMember2022-06-30utr:mi0000884614ugi:PennEastMemberugi:UGIPennEastLLCMembersrt:AffiliatedEntityMember2021-06-012021-06-</w:t>
      </w:r>
      <w:r>
        <w:rPr>
          <w:rFonts w:eastAsia="Times New Roman"/>
          <w:vanish/>
        </w:rPr>
        <w:t>300000884614ugi:PennEastMemberus-gaap:FairValueInputsLevel2Memberugi:UGIPennEastLLCMembersrt:AffiliatedEntityMember2021-06-300000884614ugi:PennEastMemberus-gaap:FairValueInputsLevel2Memberugi:UGIPennEastLLCMembersrt:AffiliatedEntityMember2021-09-30</w:t>
      </w:r>
    </w:p>
    <w:p w:rsidR="00000000" w:rsidRDefault="00BE60E9">
      <w:pPr>
        <w:divId w:val="1745955374"/>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1844588886"/>
        <w:rPr>
          <w:rFonts w:eastAsia="Times New Roman"/>
        </w:rPr>
      </w:pPr>
    </w:p>
    <w:p w:rsidR="00000000" w:rsidRDefault="00BE60E9">
      <w:pPr>
        <w:divId w:val="1313682108"/>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8"/>
        <w:gridCol w:w="1729"/>
        <w:gridCol w:w="36"/>
        <w:gridCol w:w="69"/>
        <w:gridCol w:w="1510"/>
        <w:gridCol w:w="36"/>
        <w:gridCol w:w="69"/>
        <w:gridCol w:w="1510"/>
        <w:gridCol w:w="36"/>
        <w:gridCol w:w="69"/>
        <w:gridCol w:w="1510"/>
        <w:gridCol w:w="36"/>
        <w:gridCol w:w="69"/>
        <w:gridCol w:w="1510"/>
        <w:gridCol w:w="36"/>
      </w:tblGrid>
      <w:tr w:rsidR="00000000">
        <w:trPr>
          <w:jc w:val="center"/>
        </w:trPr>
        <w:tc>
          <w:tcPr>
            <w:tcW w:w="50" w:type="pct"/>
            <w:vAlign w:val="center"/>
            <w:hideMark/>
          </w:tcPr>
          <w:p w:rsidR="00000000" w:rsidRDefault="00BE60E9">
            <w:pPr>
              <w:rPr>
                <w:rFonts w:eastAsia="Times New Roman"/>
              </w:rPr>
            </w:pPr>
          </w:p>
        </w:tc>
        <w:tc>
          <w:tcPr>
            <w:tcW w:w="1050"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918"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918"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918"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918"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rPr>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BE60E9">
            <w:pPr>
              <w:spacing w:after="100"/>
              <w:rPr>
                <w:rFonts w:eastAsia="Times New Roman"/>
                <w:sz w:val="20"/>
                <w:szCs w:val="20"/>
              </w:rPr>
            </w:pPr>
          </w:p>
        </w:tc>
      </w:tr>
    </w:tbl>
    <w:p w:rsidR="00000000" w:rsidRDefault="00BE60E9">
      <w:pPr>
        <w:jc w:val="center"/>
        <w:rPr>
          <w:rFonts w:eastAsia="Times New Roman"/>
        </w:rPr>
      </w:pPr>
      <w:r>
        <w:rPr>
          <w:rFonts w:eastAsia="Times New Roman"/>
          <w:b/>
          <w:bCs/>
          <w:color w:val="000000"/>
          <w:sz w:val="36"/>
          <w:szCs w:val="36"/>
        </w:rPr>
        <w:t>UNITED STATES</w:t>
      </w:r>
    </w:p>
    <w:p w:rsidR="00000000" w:rsidRDefault="00BE60E9">
      <w:pPr>
        <w:jc w:val="center"/>
        <w:rPr>
          <w:rFonts w:eastAsia="Times New Roman"/>
        </w:rPr>
      </w:pPr>
      <w:r>
        <w:rPr>
          <w:rFonts w:eastAsia="Times New Roman"/>
          <w:b/>
          <w:bCs/>
          <w:color w:val="000000"/>
          <w:sz w:val="36"/>
          <w:szCs w:val="36"/>
        </w:rPr>
        <w:t>SECURITIES AND EXCHANGE COMMISSION</w:t>
      </w:r>
    </w:p>
    <w:p w:rsidR="00000000" w:rsidRDefault="00BE60E9">
      <w:pPr>
        <w:jc w:val="center"/>
        <w:divId w:val="49808788"/>
        <w:rPr>
          <w:rFonts w:eastAsia="Times New Roman"/>
        </w:rPr>
      </w:pPr>
      <w:r>
        <w:rPr>
          <w:rFonts w:eastAsia="Times New Roman"/>
          <w:b/>
          <w:bCs/>
          <w:color w:val="000000"/>
        </w:rPr>
        <w:t>Washington, D.C. 20549</w:t>
      </w:r>
    </w:p>
    <w:p w:rsidR="00000000" w:rsidRDefault="00BE60E9">
      <w:pPr>
        <w:jc w:val="center"/>
        <w:divId w:val="167449773"/>
        <w:rPr>
          <w:rFonts w:eastAsia="Times New Roman"/>
        </w:rPr>
      </w:pPr>
      <w:r>
        <w:rPr>
          <w:rFonts w:eastAsia="Times New Roman"/>
          <w:b/>
          <w:bCs/>
          <w:color w:val="000000"/>
          <w:sz w:val="36"/>
          <w:szCs w:val="36"/>
        </w:rPr>
        <w:t xml:space="preserve">FORM 10-Q </w:t>
      </w:r>
    </w:p>
    <w:p w:rsidR="00000000" w:rsidRDefault="00BE60E9">
      <w:pPr>
        <w:jc w:val="center"/>
        <w:rPr>
          <w:rFonts w:eastAsia="Times New Roman"/>
        </w:rPr>
      </w:pP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37"/>
        <w:gridCol w:w="230"/>
        <w:gridCol w:w="36"/>
        <w:gridCol w:w="39"/>
        <w:gridCol w:w="7928"/>
        <w:gridCol w:w="36"/>
      </w:tblGrid>
      <w:tr w:rsidR="00000000">
        <w:trPr>
          <w:divId w:val="374814608"/>
        </w:trPr>
        <w:tc>
          <w:tcPr>
            <w:tcW w:w="5" w:type="pct"/>
            <w:vAlign w:val="center"/>
            <w:hideMark/>
          </w:tcPr>
          <w:p w:rsidR="00000000" w:rsidRDefault="00BE60E9">
            <w:pPr>
              <w:jc w:val="center"/>
              <w:rPr>
                <w:rFonts w:eastAsia="Times New Roman"/>
              </w:rPr>
            </w:pPr>
          </w:p>
        </w:tc>
        <w:tc>
          <w:tcPr>
            <w:tcW w:w="13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798"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rPr>
          <w:divId w:val="374814608"/>
        </w:trPr>
        <w:tc>
          <w:tcPr>
            <w:tcW w:w="0" w:type="auto"/>
            <w:gridSpan w:val="3"/>
            <w:tcMar>
              <w:top w:w="30" w:type="dxa"/>
              <w:left w:w="20" w:type="dxa"/>
              <w:bottom w:w="30" w:type="dxa"/>
              <w:right w:w="20" w:type="dxa"/>
            </w:tcMar>
            <w:hideMark/>
          </w:tcPr>
          <w:p w:rsidR="00000000" w:rsidRDefault="00BE60E9">
            <w:pPr>
              <w:spacing w:after="100"/>
              <w:jc w:val="center"/>
              <w:rPr>
                <w:rFonts w:eastAsia="Times New Roman"/>
              </w:rPr>
            </w:pPr>
            <w:r>
              <w:rPr>
                <w:rFonts w:ascii="Segoe UI Symbol" w:eastAsia="Times New Roman" w:hAnsi="Segoe UI Symbol" w:cs="Segoe UI Symbol"/>
                <w:color w:val="000000"/>
              </w:rPr>
              <w:t>☒</w:t>
            </w:r>
          </w:p>
        </w:tc>
        <w:tc>
          <w:tcPr>
            <w:tcW w:w="0" w:type="auto"/>
            <w:gridSpan w:val="3"/>
            <w:tcMar>
              <w:top w:w="30" w:type="dxa"/>
              <w:left w:w="20" w:type="dxa"/>
              <w:bottom w:w="30" w:type="dxa"/>
              <w:right w:w="20" w:type="dxa"/>
            </w:tcMar>
            <w:hideMark/>
          </w:tcPr>
          <w:p w:rsidR="00000000" w:rsidRDefault="00BE60E9">
            <w:pPr>
              <w:spacing w:after="100"/>
              <w:jc w:val="both"/>
              <w:rPr>
                <w:rFonts w:eastAsia="Times New Roman"/>
              </w:rPr>
            </w:pPr>
            <w:r>
              <w:rPr>
                <w:rFonts w:eastAsia="Times New Roman"/>
                <w:b/>
                <w:bCs/>
                <w:color w:val="000000"/>
              </w:rPr>
              <w:t>QUARTERLY REPORT PURSUANT TO SECTION 13 OR 15(d) OF THE SECURITIES EXCHANGE ACT OF 1934</w:t>
            </w:r>
          </w:p>
        </w:tc>
      </w:tr>
    </w:tbl>
    <w:p w:rsidR="00000000" w:rsidRDefault="00BE60E9">
      <w:pPr>
        <w:jc w:val="center"/>
        <w:rPr>
          <w:rFonts w:eastAsia="Times New Roman"/>
        </w:rPr>
      </w:pPr>
      <w:r>
        <w:rPr>
          <w:rFonts w:eastAsia="Times New Roman"/>
          <w:b/>
          <w:bCs/>
          <w:color w:val="000000"/>
          <w:sz w:val="20"/>
          <w:szCs w:val="20"/>
        </w:rPr>
        <w:t xml:space="preserve">For the quarterly period ended June 30, 2022 </w:t>
      </w:r>
    </w:p>
    <w:p w:rsidR="00000000" w:rsidRDefault="00BE60E9">
      <w:pPr>
        <w:jc w:val="center"/>
        <w:divId w:val="639964939"/>
        <w:rPr>
          <w:rFonts w:eastAsia="Times New Roman"/>
        </w:rPr>
      </w:pPr>
      <w:r>
        <w:rPr>
          <w:rFonts w:eastAsia="Times New Roman"/>
          <w:b/>
          <w:bCs/>
          <w:color w:val="000000"/>
          <w:sz w:val="20"/>
          <w:szCs w:val="20"/>
        </w:rPr>
        <w:t>OR</w:t>
      </w:r>
    </w:p>
    <w:tbl>
      <w:tblPr>
        <w:tblW w:w="5000" w:type="pct"/>
        <w:tblCellMar>
          <w:top w:w="15" w:type="dxa"/>
          <w:left w:w="15" w:type="dxa"/>
          <w:bottom w:w="15" w:type="dxa"/>
          <w:right w:w="15" w:type="dxa"/>
        </w:tblCellMar>
        <w:tblLook w:val="04A0" w:firstRow="1" w:lastRow="0" w:firstColumn="1" w:lastColumn="0" w:noHBand="0" w:noVBand="1"/>
      </w:tblPr>
      <w:tblGrid>
        <w:gridCol w:w="37"/>
        <w:gridCol w:w="230"/>
        <w:gridCol w:w="36"/>
        <w:gridCol w:w="39"/>
        <w:gridCol w:w="7928"/>
        <w:gridCol w:w="36"/>
      </w:tblGrid>
      <w:tr w:rsidR="00000000">
        <w:trPr>
          <w:divId w:val="538667676"/>
        </w:trPr>
        <w:tc>
          <w:tcPr>
            <w:tcW w:w="5" w:type="pct"/>
            <w:vAlign w:val="center"/>
            <w:hideMark/>
          </w:tcPr>
          <w:p w:rsidR="00000000" w:rsidRDefault="00BE60E9">
            <w:pPr>
              <w:jc w:val="center"/>
              <w:rPr>
                <w:rFonts w:eastAsia="Times New Roman"/>
              </w:rPr>
            </w:pPr>
          </w:p>
        </w:tc>
        <w:tc>
          <w:tcPr>
            <w:tcW w:w="13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798"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rPr>
          <w:divId w:val="538667676"/>
        </w:trPr>
        <w:tc>
          <w:tcPr>
            <w:tcW w:w="0" w:type="auto"/>
            <w:gridSpan w:val="3"/>
            <w:tcMar>
              <w:top w:w="30" w:type="dxa"/>
              <w:left w:w="20" w:type="dxa"/>
              <w:bottom w:w="30" w:type="dxa"/>
              <w:right w:w="20" w:type="dxa"/>
            </w:tcMar>
            <w:hideMark/>
          </w:tcPr>
          <w:p w:rsidR="00000000" w:rsidRDefault="00BE60E9">
            <w:pPr>
              <w:spacing w:after="100"/>
              <w:jc w:val="center"/>
              <w:rPr>
                <w:rFonts w:eastAsia="Times New Roman"/>
              </w:rPr>
            </w:pPr>
            <w:r>
              <w:rPr>
                <w:rFonts w:ascii="Segoe UI Symbol" w:eastAsia="Times New Roman" w:hAnsi="Segoe UI Symbol" w:cs="Segoe UI Symbol"/>
                <w:color w:val="000000"/>
              </w:rPr>
              <w:t>☐</w:t>
            </w:r>
          </w:p>
        </w:tc>
        <w:tc>
          <w:tcPr>
            <w:tcW w:w="0" w:type="auto"/>
            <w:gridSpan w:val="3"/>
            <w:tcMar>
              <w:top w:w="30" w:type="dxa"/>
              <w:left w:w="20" w:type="dxa"/>
              <w:bottom w:w="30" w:type="dxa"/>
              <w:right w:w="20" w:type="dxa"/>
            </w:tcMar>
            <w:hideMark/>
          </w:tcPr>
          <w:p w:rsidR="00000000" w:rsidRDefault="00BE60E9">
            <w:pPr>
              <w:spacing w:after="100"/>
              <w:jc w:val="both"/>
              <w:rPr>
                <w:rFonts w:eastAsia="Times New Roman"/>
              </w:rPr>
            </w:pPr>
            <w:r>
              <w:rPr>
                <w:rFonts w:eastAsia="Times New Roman"/>
                <w:b/>
                <w:bCs/>
                <w:color w:val="000000"/>
              </w:rPr>
              <w:t>TRANSITION REPORT PURSUANT TO SECTION 13 OR 15(d) OF THE SECURITIES EXCHANGE ACT OF 1934</w:t>
            </w:r>
          </w:p>
        </w:tc>
      </w:tr>
    </w:tbl>
    <w:p w:rsidR="00000000" w:rsidRDefault="00BE60E9">
      <w:pPr>
        <w:jc w:val="center"/>
        <w:rPr>
          <w:rFonts w:eastAsia="Times New Roman"/>
        </w:rPr>
      </w:pPr>
      <w:r>
        <w:rPr>
          <w:rFonts w:eastAsia="Times New Roman"/>
          <w:b/>
          <w:bCs/>
          <w:color w:val="000000"/>
          <w:sz w:val="20"/>
          <w:szCs w:val="20"/>
        </w:rPr>
        <w:t>For the transition period from  ________ to ________  </w:t>
      </w:r>
    </w:p>
    <w:p w:rsidR="00000000" w:rsidRDefault="00BE60E9">
      <w:pPr>
        <w:jc w:val="center"/>
        <w:divId w:val="103692596"/>
        <w:rPr>
          <w:rFonts w:eastAsia="Times New Roman"/>
        </w:rPr>
      </w:pPr>
      <w:r>
        <w:rPr>
          <w:rFonts w:eastAsia="Times New Roman"/>
          <w:b/>
          <w:bCs/>
          <w:color w:val="000000"/>
          <w:sz w:val="20"/>
          <w:szCs w:val="20"/>
        </w:rPr>
        <w:t xml:space="preserve">Commission file number 1-11071 </w:t>
      </w:r>
    </w:p>
    <w:p w:rsidR="00000000" w:rsidRDefault="00BE60E9">
      <w:pPr>
        <w:jc w:val="center"/>
        <w:divId w:val="335037336"/>
        <w:rPr>
          <w:rFonts w:eastAsia="Times New Roman"/>
        </w:rPr>
      </w:pPr>
      <w:r>
        <w:rPr>
          <w:rFonts w:eastAsia="Times New Roman"/>
          <w:b/>
          <w:bCs/>
          <w:color w:val="000000"/>
          <w:sz w:val="48"/>
          <w:szCs w:val="48"/>
        </w:rPr>
        <w:t xml:space="preserve">UGI CORPORATION </w:t>
      </w:r>
    </w:p>
    <w:p w:rsidR="00000000" w:rsidRDefault="00BE60E9">
      <w:pPr>
        <w:jc w:val="center"/>
        <w:rPr>
          <w:rFonts w:eastAsia="Times New Roman"/>
        </w:rPr>
      </w:pPr>
      <w:r>
        <w:rPr>
          <w:rFonts w:eastAsia="Times New Roman"/>
          <w:b/>
          <w:bCs/>
          <w:color w:val="000000"/>
          <w:sz w:val="20"/>
          <w:szCs w:val="20"/>
        </w:rPr>
        <w:t>(Exact name of registrant as specified in its charter)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877"/>
        <w:gridCol w:w="36"/>
        <w:gridCol w:w="69"/>
        <w:gridCol w:w="222"/>
        <w:gridCol w:w="36"/>
        <w:gridCol w:w="69"/>
        <w:gridCol w:w="3891"/>
        <w:gridCol w:w="37"/>
      </w:tblGrid>
      <w:tr w:rsidR="00000000">
        <w:trPr>
          <w:divId w:val="754057853"/>
          <w:jc w:val="center"/>
        </w:trPr>
        <w:tc>
          <w:tcPr>
            <w:tcW w:w="50" w:type="pct"/>
            <w:vAlign w:val="center"/>
            <w:hideMark/>
          </w:tcPr>
          <w:p w:rsidR="00000000" w:rsidRDefault="00BE60E9">
            <w:pPr>
              <w:jc w:val="center"/>
              <w:rPr>
                <w:rFonts w:eastAsia="Times New Roman"/>
              </w:rPr>
            </w:pPr>
          </w:p>
        </w:tc>
        <w:tc>
          <w:tcPr>
            <w:tcW w:w="234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14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2350"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rPr>
          <w:divId w:val="754057853"/>
          <w:jc w:val="center"/>
        </w:trPr>
        <w:tc>
          <w:tcPr>
            <w:tcW w:w="0" w:type="auto"/>
            <w:gridSpan w:val="3"/>
            <w:tcMar>
              <w:top w:w="30" w:type="dxa"/>
              <w:left w:w="20" w:type="dxa"/>
              <w:bottom w:w="30" w:type="dxa"/>
              <w:right w:w="20" w:type="dxa"/>
            </w:tcMar>
            <w:hideMark/>
          </w:tcPr>
          <w:p w:rsidR="00000000" w:rsidRDefault="00BE60E9">
            <w:pPr>
              <w:spacing w:after="100"/>
              <w:jc w:val="center"/>
              <w:rPr>
                <w:rFonts w:eastAsia="Times New Roman"/>
              </w:rPr>
            </w:pPr>
            <w:r>
              <w:rPr>
                <w:rFonts w:eastAsia="Times New Roman"/>
                <w:b/>
                <w:bCs/>
                <w:color w:val="000000"/>
                <w:sz w:val="20"/>
                <w:szCs w:val="20"/>
              </w:rPr>
              <w:t>Pennsylvania</w:t>
            </w:r>
          </w:p>
        </w:tc>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BE60E9">
            <w:pPr>
              <w:spacing w:after="100"/>
              <w:jc w:val="center"/>
              <w:rPr>
                <w:rFonts w:eastAsia="Times New Roman"/>
              </w:rPr>
            </w:pPr>
            <w:r>
              <w:rPr>
                <w:rFonts w:eastAsia="Times New Roman"/>
                <w:b/>
                <w:bCs/>
                <w:color w:val="000000"/>
                <w:sz w:val="20"/>
                <w:szCs w:val="20"/>
              </w:rPr>
              <w:t>23-2668356</w:t>
            </w:r>
          </w:p>
        </w:tc>
      </w:tr>
      <w:tr w:rsidR="00000000">
        <w:trPr>
          <w:divId w:val="754057853"/>
          <w:jc w:val="center"/>
        </w:trPr>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b/>
                <w:bCs/>
                <w:color w:val="000000"/>
                <w:sz w:val="16"/>
                <w:szCs w:val="16"/>
              </w:rPr>
              <w:t>(State or other jurisdiction of</w:t>
            </w:r>
            <w:r>
              <w:rPr>
                <w:rFonts w:eastAsia="Times New Roman"/>
                <w:b/>
                <w:bCs/>
                <w:color w:val="000000"/>
                <w:sz w:val="16"/>
                <w:szCs w:val="16"/>
              </w:rPr>
              <w:br/>
              <w:t>incorporation or organization)</w:t>
            </w:r>
          </w:p>
        </w:tc>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b/>
                <w:bCs/>
                <w:color w:val="000000"/>
                <w:sz w:val="16"/>
                <w:szCs w:val="16"/>
              </w:rPr>
              <w:t>(I.R.S. Employer</w:t>
            </w:r>
            <w:r>
              <w:rPr>
                <w:rFonts w:eastAsia="Times New Roman"/>
                <w:b/>
                <w:bCs/>
                <w:color w:val="000000"/>
                <w:sz w:val="16"/>
                <w:szCs w:val="16"/>
              </w:rPr>
              <w:br/>
              <w:t>Identification No.)</w:t>
            </w:r>
          </w:p>
        </w:tc>
      </w:tr>
    </w:tbl>
    <w:p w:rsidR="00000000" w:rsidRDefault="00BE60E9">
      <w:pPr>
        <w:jc w:val="center"/>
        <w:divId w:val="185826292"/>
        <w:rPr>
          <w:rFonts w:eastAsia="Times New Roman"/>
        </w:rPr>
      </w:pPr>
      <w:r>
        <w:rPr>
          <w:rFonts w:eastAsia="Times New Roman"/>
          <w:b/>
          <w:bCs/>
          <w:color w:val="000000"/>
          <w:sz w:val="20"/>
          <w:szCs w:val="20"/>
        </w:rPr>
        <w:t xml:space="preserve">460 North Gulph Road, </w:t>
      </w:r>
      <w:r>
        <w:rPr>
          <w:rFonts w:eastAsia="Times New Roman"/>
          <w:b/>
          <w:bCs/>
          <w:color w:val="000000"/>
          <w:sz w:val="20"/>
          <w:szCs w:val="20"/>
        </w:rPr>
        <w:t xml:space="preserve">King of Prussia, PA 19406 </w:t>
      </w:r>
    </w:p>
    <w:p w:rsidR="00000000" w:rsidRDefault="00BE60E9">
      <w:pPr>
        <w:jc w:val="center"/>
        <w:rPr>
          <w:rFonts w:eastAsia="Times New Roman"/>
        </w:rPr>
      </w:pPr>
      <w:r>
        <w:rPr>
          <w:rFonts w:eastAsia="Times New Roman"/>
          <w:b/>
          <w:bCs/>
          <w:color w:val="000000"/>
          <w:sz w:val="16"/>
          <w:szCs w:val="16"/>
        </w:rPr>
        <w:t>(Address of Principal Executive Offices) (Zip Code)</w:t>
      </w:r>
    </w:p>
    <w:p w:rsidR="00000000" w:rsidRDefault="00BE60E9">
      <w:pPr>
        <w:jc w:val="center"/>
        <w:rPr>
          <w:rFonts w:eastAsia="Times New Roman"/>
        </w:rPr>
      </w:pPr>
    </w:p>
    <w:p w:rsidR="00000000" w:rsidRDefault="00BE60E9">
      <w:pPr>
        <w:jc w:val="center"/>
        <w:rPr>
          <w:rFonts w:eastAsia="Times New Roman"/>
        </w:rPr>
      </w:pPr>
      <w:r>
        <w:rPr>
          <w:rFonts w:eastAsia="Times New Roman"/>
          <w:b/>
          <w:bCs/>
          <w:color w:val="000000"/>
          <w:sz w:val="20"/>
          <w:szCs w:val="20"/>
        </w:rPr>
        <w:t xml:space="preserve">(610) 337-1000 </w:t>
      </w:r>
    </w:p>
    <w:p w:rsidR="00000000" w:rsidRDefault="00BE60E9">
      <w:pPr>
        <w:jc w:val="center"/>
        <w:rPr>
          <w:rFonts w:eastAsia="Times New Roman"/>
        </w:rPr>
      </w:pPr>
      <w:r>
        <w:rPr>
          <w:rFonts w:eastAsia="Times New Roman"/>
          <w:b/>
          <w:bCs/>
          <w:color w:val="000000"/>
          <w:sz w:val="16"/>
          <w:szCs w:val="16"/>
        </w:rPr>
        <w:t>(Registrant’s telephone number, including area code)</w:t>
      </w:r>
    </w:p>
    <w:p w:rsidR="00000000" w:rsidRDefault="00BE60E9">
      <w:pPr>
        <w:jc w:val="center"/>
        <w:rPr>
          <w:rFonts w:eastAsia="Times New Roman"/>
        </w:rPr>
      </w:pPr>
      <w:r>
        <w:rPr>
          <w:rFonts w:eastAsia="Times New Roman"/>
          <w:b/>
          <w:bCs/>
          <w:color w:val="000000"/>
          <w:sz w:val="20"/>
          <w:szCs w:val="20"/>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3246"/>
        <w:gridCol w:w="37"/>
        <w:gridCol w:w="69"/>
        <w:gridCol w:w="2081"/>
        <w:gridCol w:w="36"/>
        <w:gridCol w:w="69"/>
        <w:gridCol w:w="2664"/>
        <w:gridCol w:w="36"/>
      </w:tblGrid>
      <w:tr w:rsidR="00000000">
        <w:trPr>
          <w:divId w:val="799374228"/>
          <w:jc w:val="center"/>
        </w:trPr>
        <w:tc>
          <w:tcPr>
            <w:tcW w:w="50" w:type="pct"/>
            <w:vAlign w:val="center"/>
            <w:hideMark/>
          </w:tcPr>
          <w:p w:rsidR="00000000" w:rsidRDefault="00BE60E9">
            <w:pPr>
              <w:jc w:val="center"/>
              <w:rPr>
                <w:rFonts w:eastAsia="Times New Roman"/>
              </w:rPr>
            </w:pPr>
          </w:p>
        </w:tc>
        <w:tc>
          <w:tcPr>
            <w:tcW w:w="196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1260"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161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rPr>
          <w:divId w:val="799374228"/>
          <w:jc w:val="center"/>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BE60E9">
            <w:pPr>
              <w:spacing w:after="100"/>
              <w:jc w:val="center"/>
              <w:divId w:val="1508977671"/>
              <w:rPr>
                <w:rFonts w:eastAsia="Times New Roman"/>
              </w:rPr>
            </w:pPr>
            <w:r>
              <w:rPr>
                <w:rFonts w:eastAsia="Times New Roman"/>
                <w:color w:val="000000"/>
                <w:sz w:val="18"/>
                <w:szCs w:val="18"/>
              </w:rPr>
              <w:t>Title of each class:</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BE60E9">
            <w:pPr>
              <w:spacing w:after="100"/>
              <w:jc w:val="center"/>
              <w:divId w:val="774642990"/>
              <w:rPr>
                <w:rFonts w:eastAsia="Times New Roman"/>
              </w:rPr>
            </w:pPr>
            <w:r>
              <w:rPr>
                <w:rFonts w:eastAsia="Times New Roman"/>
                <w:color w:val="000000"/>
                <w:sz w:val="18"/>
                <w:szCs w:val="18"/>
              </w:rPr>
              <w:t>Trading Symbol(s):</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BE60E9">
            <w:pPr>
              <w:spacing w:after="100"/>
              <w:jc w:val="center"/>
              <w:divId w:val="80413599"/>
              <w:rPr>
                <w:rFonts w:eastAsia="Times New Roman"/>
              </w:rPr>
            </w:pPr>
            <w:r>
              <w:rPr>
                <w:rFonts w:eastAsia="Times New Roman"/>
                <w:color w:val="000000"/>
                <w:sz w:val="18"/>
                <w:szCs w:val="18"/>
              </w:rPr>
              <w:t>Name of each exchange on which registered:</w:t>
            </w:r>
          </w:p>
        </w:tc>
      </w:tr>
      <w:tr w:rsidR="00000000">
        <w:trPr>
          <w:divId w:val="799374228"/>
          <w:jc w:val="center"/>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BE60E9">
            <w:pPr>
              <w:spacing w:after="100"/>
              <w:jc w:val="center"/>
              <w:divId w:val="1731463475"/>
              <w:rPr>
                <w:rFonts w:eastAsia="Times New Roman"/>
              </w:rPr>
            </w:pPr>
            <w:r>
              <w:rPr>
                <w:rFonts w:eastAsia="Times New Roman"/>
                <w:color w:val="000000"/>
                <w:sz w:val="18"/>
                <w:szCs w:val="18"/>
              </w:rPr>
              <w:t>Common Stock, without par value</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BE60E9">
            <w:pPr>
              <w:spacing w:after="100"/>
              <w:jc w:val="center"/>
              <w:divId w:val="1648976833"/>
              <w:rPr>
                <w:rFonts w:eastAsia="Times New Roman"/>
              </w:rPr>
            </w:pPr>
            <w:r>
              <w:rPr>
                <w:rFonts w:eastAsia="Times New Roman"/>
                <w:color w:val="000000"/>
                <w:sz w:val="18"/>
                <w:szCs w:val="18"/>
              </w:rPr>
              <w:t>UGI</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BE60E9">
            <w:pPr>
              <w:spacing w:after="100"/>
              <w:jc w:val="center"/>
              <w:divId w:val="99877422"/>
              <w:rPr>
                <w:rFonts w:eastAsia="Times New Roman"/>
              </w:rPr>
            </w:pPr>
            <w:r>
              <w:rPr>
                <w:rFonts w:eastAsia="Times New Roman"/>
                <w:color w:val="000000"/>
                <w:sz w:val="18"/>
                <w:szCs w:val="18"/>
              </w:rPr>
              <w:t>New York Stock Exchange</w:t>
            </w:r>
          </w:p>
        </w:tc>
      </w:tr>
      <w:tr w:rsidR="00000000">
        <w:trPr>
          <w:divId w:val="799374228"/>
          <w:jc w:val="center"/>
        </w:trPr>
        <w:tc>
          <w:tcPr>
            <w:tcW w:w="0" w:type="auto"/>
            <w:gridSpan w:val="3"/>
            <w:tcBorders>
              <w:left w:val="single" w:sz="8" w:space="0" w:color="000000"/>
              <w:bottom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Corporate Units</w:t>
            </w:r>
          </w:p>
        </w:tc>
        <w:tc>
          <w:tcPr>
            <w:tcW w:w="0" w:type="auto"/>
            <w:gridSpan w:val="3"/>
            <w:tcBorders>
              <w:left w:val="single" w:sz="8" w:space="0" w:color="000000"/>
              <w:bottom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UGIC</w:t>
            </w:r>
          </w:p>
        </w:tc>
        <w:tc>
          <w:tcPr>
            <w:tcW w:w="0" w:type="auto"/>
            <w:gridSpan w:val="3"/>
            <w:tcBorders>
              <w:left w:val="single" w:sz="8" w:space="0" w:color="000000"/>
              <w:bottom w:val="single" w:sz="8" w:space="0" w:color="000000"/>
              <w:right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New York Stock Exchange</w:t>
            </w:r>
          </w:p>
        </w:tc>
      </w:tr>
    </w:tbl>
    <w:p w:rsidR="00000000" w:rsidRDefault="00BE60E9">
      <w:pPr>
        <w:jc w:val="both"/>
        <w:divId w:val="292291475"/>
        <w:rPr>
          <w:rFonts w:eastAsia="Times New Roman"/>
        </w:rPr>
      </w:pPr>
      <w:r>
        <w:rPr>
          <w:rFonts w:eastAsia="Times New Roman"/>
          <w:color w:val="00000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eastAsia="Times New Roman"/>
          <w:color w:val="000000"/>
          <w:sz w:val="20"/>
          <w:szCs w:val="20"/>
        </w:rPr>
        <w:t>uch reports), and (2) has been subject to such filing requirements for the past 90 days.  Yes  </w:t>
      </w:r>
      <w:r>
        <w:rPr>
          <w:rFonts w:ascii="Wingdings" w:eastAsia="Times New Roman" w:hAnsi="Wingdings"/>
          <w:color w:val="000000"/>
          <w:sz w:val="20"/>
          <w:szCs w:val="20"/>
        </w:rPr>
        <w:t>ý</w:t>
      </w:r>
      <w:r>
        <w:rPr>
          <w:rFonts w:eastAsia="Times New Roman"/>
          <w:color w:val="000000"/>
          <w:sz w:val="20"/>
          <w:szCs w:val="20"/>
        </w:rPr>
        <w:t>  No  </w:t>
      </w:r>
      <w:r>
        <w:rPr>
          <w:rFonts w:ascii="Wingdings" w:eastAsia="Times New Roman" w:hAnsi="Wingdings"/>
          <w:color w:val="000000"/>
          <w:sz w:val="20"/>
          <w:szCs w:val="20"/>
        </w:rPr>
        <w:t>¨</w:t>
      </w:r>
    </w:p>
    <w:p w:rsidR="00000000" w:rsidRDefault="00BE60E9">
      <w:pPr>
        <w:jc w:val="both"/>
        <w:divId w:val="826357981"/>
        <w:rPr>
          <w:rFonts w:eastAsia="Times New Roman"/>
        </w:rPr>
      </w:pPr>
      <w:r>
        <w:rPr>
          <w:rFonts w:eastAsia="Times New Roman"/>
          <w:color w:val="000000"/>
          <w:sz w:val="20"/>
          <w:szCs w:val="20"/>
        </w:rPr>
        <w:t xml:space="preserve">Indicate by check mark whether the registrant has submitted electronically every Interactive Data File required to be submitted pursuant to Rule 405 of </w:t>
      </w:r>
      <w:r>
        <w:rPr>
          <w:rFonts w:eastAsia="Times New Roman"/>
          <w:color w:val="000000"/>
          <w:sz w:val="20"/>
          <w:szCs w:val="20"/>
        </w:rPr>
        <w:t xml:space="preserve">Regulation S-T (§232.405 of this chapter) during the preceding 12 months (or for such shorter period that the registrant was required to submit such files). Yes </w:t>
      </w:r>
      <w:r>
        <w:rPr>
          <w:rFonts w:ascii="Wingdings" w:eastAsia="Times New Roman" w:hAnsi="Wingdings"/>
          <w:color w:val="000000"/>
          <w:sz w:val="20"/>
          <w:szCs w:val="20"/>
        </w:rPr>
        <w:t>ý</w:t>
      </w:r>
      <w:r>
        <w:rPr>
          <w:rFonts w:eastAsia="Times New Roman"/>
          <w:color w:val="000000"/>
          <w:sz w:val="20"/>
          <w:szCs w:val="20"/>
        </w:rPr>
        <w:t>  No  </w:t>
      </w:r>
      <w:r>
        <w:rPr>
          <w:rFonts w:ascii="Wingdings" w:eastAsia="Times New Roman" w:hAnsi="Wingdings"/>
          <w:color w:val="000000"/>
          <w:sz w:val="20"/>
          <w:szCs w:val="20"/>
        </w:rPr>
        <w:t>¨</w:t>
      </w:r>
    </w:p>
    <w:p w:rsidR="00000000" w:rsidRDefault="00BE60E9">
      <w:pPr>
        <w:jc w:val="both"/>
        <w:divId w:val="122358653"/>
        <w:rPr>
          <w:rFonts w:eastAsia="Times New Roman"/>
        </w:rPr>
      </w:pPr>
      <w:r>
        <w:rPr>
          <w:rFonts w:eastAsia="Times New Roman"/>
          <w:color w:val="000000"/>
          <w:sz w:val="20"/>
          <w:szCs w:val="20"/>
        </w:rPr>
        <w:t>Indicate by check mark whether the registrant is a large accelerated filer, an acceler</w:t>
      </w:r>
      <w:r>
        <w:rPr>
          <w:rFonts w:eastAsia="Times New Roman"/>
          <w:color w:val="000000"/>
          <w:sz w:val="20"/>
          <w:szCs w:val="20"/>
        </w:rPr>
        <w:t>ated filer, a non-accelerated filer, a smaller reporting company, or an emerging growth company. See the definitions of “large accelerated filer,” “accelerated filer,” “smaller reporting company,” and “emerging growth company” in Rule 12b-2 of the Exchange</w:t>
      </w:r>
      <w:r>
        <w:rPr>
          <w:rFonts w:eastAsia="Times New Roman"/>
          <w:color w:val="000000"/>
          <w:sz w:val="20"/>
          <w:szCs w:val="20"/>
        </w:rPr>
        <w:t xml:space="preserve"> Act.</w:t>
      </w:r>
    </w:p>
    <w:tbl>
      <w:tblPr>
        <w:tblW w:w="5000" w:type="pct"/>
        <w:tblCellMar>
          <w:top w:w="15" w:type="dxa"/>
          <w:left w:w="15" w:type="dxa"/>
          <w:bottom w:w="15" w:type="dxa"/>
          <w:right w:w="15" w:type="dxa"/>
        </w:tblCellMar>
        <w:tblLook w:val="04A0" w:firstRow="1" w:lastRow="0" w:firstColumn="1" w:lastColumn="0" w:noHBand="0" w:noVBand="1"/>
      </w:tblPr>
      <w:tblGrid>
        <w:gridCol w:w="69"/>
        <w:gridCol w:w="1923"/>
        <w:gridCol w:w="36"/>
        <w:gridCol w:w="72"/>
        <w:gridCol w:w="146"/>
        <w:gridCol w:w="36"/>
        <w:gridCol w:w="69"/>
        <w:gridCol w:w="622"/>
        <w:gridCol w:w="36"/>
        <w:gridCol w:w="69"/>
        <w:gridCol w:w="1923"/>
        <w:gridCol w:w="36"/>
        <w:gridCol w:w="70"/>
        <w:gridCol w:w="148"/>
        <w:gridCol w:w="36"/>
        <w:gridCol w:w="70"/>
        <w:gridCol w:w="623"/>
        <w:gridCol w:w="36"/>
        <w:gridCol w:w="70"/>
        <w:gridCol w:w="1924"/>
        <w:gridCol w:w="36"/>
        <w:gridCol w:w="70"/>
        <w:gridCol w:w="150"/>
        <w:gridCol w:w="36"/>
      </w:tblGrid>
      <w:tr w:rsidR="00000000">
        <w:trPr>
          <w:divId w:val="267852270"/>
        </w:trPr>
        <w:tc>
          <w:tcPr>
            <w:tcW w:w="50" w:type="pct"/>
            <w:vAlign w:val="center"/>
            <w:hideMark/>
          </w:tcPr>
          <w:p w:rsidR="00000000" w:rsidRDefault="00BE60E9">
            <w:pPr>
              <w:jc w:val="both"/>
              <w:rPr>
                <w:rFonts w:eastAsia="Times New Roman"/>
              </w:rPr>
            </w:pPr>
          </w:p>
        </w:tc>
        <w:tc>
          <w:tcPr>
            <w:tcW w:w="116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98"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383"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116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98"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383"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116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98"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rPr>
          <w:divId w:val="267852270"/>
        </w:trPr>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Large accelerated filer</w:t>
            </w:r>
          </w:p>
        </w:tc>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ascii="Wingdings" w:eastAsia="Times New Roman" w:hAnsi="Wingdings"/>
                <w:color w:val="000000"/>
                <w:sz w:val="20"/>
                <w:szCs w:val="20"/>
              </w:rPr>
              <w:t>ý</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Accelerated filer</w:t>
            </w:r>
          </w:p>
        </w:tc>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ascii="Segoe UI Symbol" w:eastAsia="Times New Roman" w:hAnsi="Segoe UI Symbol" w:cs="Segoe UI Symbol"/>
                <w:color w:val="000000"/>
                <w:sz w:val="20"/>
                <w:szCs w:val="20"/>
              </w:rPr>
              <w:t>☐</w:t>
            </w:r>
          </w:p>
        </w:tc>
      </w:tr>
      <w:tr w:rsidR="00000000">
        <w:trPr>
          <w:divId w:val="267852270"/>
        </w:trPr>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lastRenderedPageBreak/>
              <w:t>Smaller reporting company</w:t>
            </w:r>
          </w:p>
        </w:tc>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bl>
    <w:p w:rsidR="00000000" w:rsidRDefault="00BE60E9">
      <w:pPr>
        <w:jc w:val="both"/>
        <w:divId w:val="1523978380"/>
        <w:rPr>
          <w:rFonts w:eastAsia="Times New Roman"/>
        </w:rPr>
      </w:pPr>
      <w:r>
        <w:rPr>
          <w:rFonts w:eastAsia="Times New Roman"/>
          <w:color w:val="000000"/>
          <w:sz w:val="20"/>
          <w:szCs w:val="20"/>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20"/>
          <w:szCs w:val="20"/>
        </w:rPr>
        <w:t>¨</w:t>
      </w:r>
    </w:p>
    <w:p w:rsidR="00000000" w:rsidRDefault="00BE60E9">
      <w:pPr>
        <w:jc w:val="both"/>
        <w:rPr>
          <w:rFonts w:eastAsia="Times New Roman"/>
        </w:rPr>
      </w:pPr>
      <w:r>
        <w:rPr>
          <w:rFonts w:eastAsia="Times New Roman"/>
          <w:color w:val="000000"/>
          <w:sz w:val="20"/>
          <w:szCs w:val="20"/>
        </w:rPr>
        <w:t>Indicate by check mark whether the registrant is a shell company (as defined in Rule 12b-2 of the Exchange Act).  Yes  </w:t>
      </w:r>
      <w:r>
        <w:rPr>
          <w:rFonts w:ascii="Segoe UI Symbol" w:eastAsia="Times New Roman" w:hAnsi="Segoe UI Symbol" w:cs="Segoe UI Symbol"/>
          <w:color w:val="000000"/>
          <w:sz w:val="20"/>
          <w:szCs w:val="20"/>
        </w:rPr>
        <w:t>☐</w:t>
      </w:r>
      <w:r>
        <w:rPr>
          <w:rFonts w:eastAsia="Times New Roman"/>
          <w:color w:val="000000"/>
          <w:sz w:val="20"/>
          <w:szCs w:val="20"/>
        </w:rPr>
        <w:t> No  </w:t>
      </w:r>
      <w:r>
        <w:rPr>
          <w:rFonts w:ascii="Wingdings" w:eastAsia="Times New Roman" w:hAnsi="Wingdings"/>
          <w:color w:val="000000"/>
          <w:sz w:val="20"/>
          <w:szCs w:val="20"/>
        </w:rPr>
        <w:t>ý</w:t>
      </w:r>
    </w:p>
    <w:p w:rsidR="00000000" w:rsidRDefault="00BE60E9">
      <w:pPr>
        <w:divId w:val="1302232574"/>
        <w:rPr>
          <w:rFonts w:eastAsia="Times New Roman"/>
        </w:rPr>
      </w:pPr>
      <w:r>
        <w:rPr>
          <w:rFonts w:eastAsia="Times New Roman"/>
          <w:color w:val="000000"/>
          <w:sz w:val="20"/>
          <w:szCs w:val="20"/>
        </w:rPr>
        <w:t>At July 31, 2022, there were 209,381,438 shares of UGI Corporation Common Stock, without par value, outstanding.</w:t>
      </w:r>
    </w:p>
    <w:tbl>
      <w:tblPr>
        <w:tblW w:w="4992" w:type="pct"/>
        <w:jc w:val="center"/>
        <w:tblCellMar>
          <w:top w:w="15" w:type="dxa"/>
          <w:left w:w="15" w:type="dxa"/>
          <w:bottom w:w="15" w:type="dxa"/>
          <w:right w:w="15" w:type="dxa"/>
        </w:tblCellMar>
        <w:tblLook w:val="04A0" w:firstRow="1" w:lastRow="0" w:firstColumn="1" w:lastColumn="0" w:noHBand="0" w:noVBand="1"/>
      </w:tblPr>
      <w:tblGrid>
        <w:gridCol w:w="68"/>
        <w:gridCol w:w="1729"/>
        <w:gridCol w:w="36"/>
        <w:gridCol w:w="69"/>
        <w:gridCol w:w="1510"/>
        <w:gridCol w:w="36"/>
        <w:gridCol w:w="69"/>
        <w:gridCol w:w="1510"/>
        <w:gridCol w:w="36"/>
        <w:gridCol w:w="69"/>
        <w:gridCol w:w="1510"/>
        <w:gridCol w:w="36"/>
        <w:gridCol w:w="69"/>
        <w:gridCol w:w="1510"/>
        <w:gridCol w:w="36"/>
      </w:tblGrid>
      <w:tr w:rsidR="00000000">
        <w:trPr>
          <w:divId w:val="894243842"/>
          <w:jc w:val="center"/>
        </w:trPr>
        <w:tc>
          <w:tcPr>
            <w:tcW w:w="50" w:type="pct"/>
            <w:vAlign w:val="center"/>
            <w:hideMark/>
          </w:tcPr>
          <w:p w:rsidR="00000000" w:rsidRDefault="00BE60E9">
            <w:pPr>
              <w:rPr>
                <w:rFonts w:eastAsia="Times New Roman"/>
              </w:rPr>
            </w:pPr>
          </w:p>
        </w:tc>
        <w:tc>
          <w:tcPr>
            <w:tcW w:w="1050"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918"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918"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918"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918"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rPr>
          <w:divId w:val="894243842"/>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BE60E9">
            <w:pPr>
              <w:spacing w:after="100"/>
              <w:rPr>
                <w:rFonts w:eastAsia="Times New Roman"/>
                <w:sz w:val="20"/>
                <w:szCs w:val="20"/>
              </w:rPr>
            </w:pPr>
          </w:p>
        </w:tc>
      </w:tr>
    </w:tbl>
    <w:p w:rsidR="00000000" w:rsidRDefault="00BE60E9">
      <w:pPr>
        <w:divId w:val="751467054"/>
        <w:rPr>
          <w:rFonts w:eastAsia="Times New Roman"/>
        </w:rPr>
      </w:pPr>
    </w:p>
    <w:p w:rsidR="00000000" w:rsidRDefault="00BE60E9">
      <w:pPr>
        <w:rPr>
          <w:rFonts w:eastAsia="Times New Roman"/>
        </w:rPr>
      </w:pPr>
      <w:r>
        <w:rPr>
          <w:rFonts w:eastAsia="Times New Roman"/>
        </w:rPr>
        <w:pict>
          <v:rect id="_x0000_i1025" style="width:0;height:1.5pt" o:hralign="center" o:hrstd="t" o:hr="t" fillcolor="#a0a0a0" stroked="f"/>
        </w:pict>
      </w:r>
    </w:p>
    <w:p w:rsidR="00000000" w:rsidRDefault="00BE60E9">
      <w:pPr>
        <w:divId w:val="1419138938"/>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1201086105"/>
        <w:rPr>
          <w:rFonts w:eastAsia="Times New Roman"/>
        </w:rPr>
      </w:pPr>
    </w:p>
    <w:p w:rsidR="00000000" w:rsidRDefault="00BE60E9">
      <w:pPr>
        <w:divId w:val="248467910"/>
        <w:rPr>
          <w:rFonts w:eastAsia="Times New Roman"/>
        </w:rPr>
      </w:pPr>
    </w:p>
    <w:p w:rsidR="00000000" w:rsidRDefault="00BE60E9">
      <w:pPr>
        <w:jc w:val="center"/>
        <w:rPr>
          <w:rFonts w:eastAsia="Times New Roman"/>
        </w:rPr>
      </w:pPr>
      <w:r>
        <w:rPr>
          <w:rFonts w:eastAsia="Times New Roman"/>
          <w:b/>
          <w:bCs/>
          <w:color w:val="000000"/>
        </w:rPr>
        <w:t>UGI CORPORATION AND SUBSIDIARIES</w:t>
      </w:r>
    </w:p>
    <w:p w:rsidR="00000000" w:rsidRDefault="00BE60E9">
      <w:pPr>
        <w:jc w:val="center"/>
        <w:divId w:val="1808088122"/>
        <w:rPr>
          <w:rFonts w:eastAsia="Times New Roman"/>
        </w:rPr>
      </w:pPr>
      <w:r>
        <w:rPr>
          <w:rFonts w:eastAsia="Times New Roman"/>
          <w:b/>
          <w:bCs/>
          <w:color w:val="000000"/>
          <w:sz w:val="20"/>
          <w:szCs w:val="20"/>
        </w:rPr>
        <w:t>TABLE OF CONTENTS</w:t>
      </w:r>
    </w:p>
    <w:p w:rsidR="00000000" w:rsidRDefault="00BE60E9">
      <w:pPr>
        <w:divId w:val="189490822"/>
        <w:rPr>
          <w:rFonts w:eastAsia="Times New Roman"/>
        </w:rPr>
      </w:pPr>
      <w:r>
        <w:rPr>
          <w:rFonts w:eastAsia="Times New Roman"/>
          <w:color w:val="000000"/>
          <w:sz w:val="18"/>
          <w:szCs w:val="18"/>
        </w:rPr>
        <w:t> </w:t>
      </w:r>
    </w:p>
    <w:tbl>
      <w:tblPr>
        <w:tblW w:w="4992" w:type="pct"/>
        <w:tblCellMar>
          <w:top w:w="15" w:type="dxa"/>
          <w:left w:w="15" w:type="dxa"/>
          <w:bottom w:w="15" w:type="dxa"/>
          <w:right w:w="15" w:type="dxa"/>
        </w:tblCellMar>
        <w:tblLook w:val="04A0" w:firstRow="1" w:lastRow="0" w:firstColumn="1" w:lastColumn="0" w:noHBand="0" w:noVBand="1"/>
      </w:tblPr>
      <w:tblGrid>
        <w:gridCol w:w="69"/>
        <w:gridCol w:w="7569"/>
        <w:gridCol w:w="37"/>
        <w:gridCol w:w="69"/>
        <w:gridCol w:w="513"/>
        <w:gridCol w:w="36"/>
      </w:tblGrid>
      <w:tr w:rsidR="00000000">
        <w:trPr>
          <w:divId w:val="1533959960"/>
        </w:trPr>
        <w:tc>
          <w:tcPr>
            <w:tcW w:w="50" w:type="pct"/>
            <w:vAlign w:val="center"/>
            <w:hideMark/>
          </w:tcPr>
          <w:p w:rsidR="00000000" w:rsidRDefault="00BE60E9">
            <w:pPr>
              <w:rPr>
                <w:rFonts w:eastAsia="Times New Roman"/>
              </w:rPr>
            </w:pPr>
          </w:p>
        </w:tc>
        <w:tc>
          <w:tcPr>
            <w:tcW w:w="457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318"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rPr>
          <w:divId w:val="1533959960"/>
        </w:trPr>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Page</w:t>
            </w:r>
          </w:p>
        </w:tc>
      </w:tr>
      <w:tr w:rsidR="00000000">
        <w:trPr>
          <w:divId w:val="1533959960"/>
          <w:trHeight w:val="60"/>
        </w:trPr>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533959960"/>
        </w:trPr>
        <w:tc>
          <w:tcPr>
            <w:tcW w:w="0" w:type="auto"/>
            <w:gridSpan w:val="3"/>
            <w:tcMar>
              <w:top w:w="30" w:type="dxa"/>
              <w:left w:w="20" w:type="dxa"/>
              <w:bottom w:w="30" w:type="dxa"/>
              <w:right w:w="20" w:type="dxa"/>
            </w:tcMar>
            <w:hideMark/>
          </w:tcPr>
          <w:p w:rsidR="00000000" w:rsidRDefault="00BE60E9">
            <w:pPr>
              <w:spacing w:after="100"/>
              <w:divId w:val="1258559576"/>
              <w:rPr>
                <w:rFonts w:eastAsia="Times New Roman"/>
              </w:rPr>
            </w:pPr>
            <w:hyperlink w:anchor="i7b9367ce46184e39981dde9cbe7aec07_10" w:history="1">
              <w:r>
                <w:rPr>
                  <w:rStyle w:val="a3"/>
                  <w:rFonts w:eastAsia="Times New Roman"/>
                  <w:sz w:val="20"/>
                  <w:szCs w:val="20"/>
                </w:rPr>
                <w:t>Glossary of Terms and Abbreviations</w:t>
              </w:r>
            </w:hyperlink>
          </w:p>
        </w:tc>
        <w:tc>
          <w:tcPr>
            <w:tcW w:w="0" w:type="auto"/>
            <w:gridSpan w:val="3"/>
            <w:tcMar>
              <w:top w:w="30" w:type="dxa"/>
              <w:left w:w="20" w:type="dxa"/>
              <w:bottom w:w="30" w:type="dxa"/>
              <w:right w:w="20" w:type="dxa"/>
            </w:tcMar>
            <w:hideMark/>
          </w:tcPr>
          <w:p w:rsidR="00000000" w:rsidRDefault="00BE60E9">
            <w:pPr>
              <w:spacing w:after="100"/>
              <w:jc w:val="right"/>
              <w:rPr>
                <w:rFonts w:eastAsia="Times New Roman"/>
              </w:rPr>
            </w:pPr>
            <w:hyperlink w:anchor="i7b9367ce46184e39981dde9cbe7aec07_10" w:history="1">
              <w:r>
                <w:rPr>
                  <w:rStyle w:val="a3"/>
                  <w:rFonts w:eastAsia="Times New Roman"/>
                  <w:sz w:val="20"/>
                  <w:szCs w:val="20"/>
                </w:rPr>
                <w:t>1</w:t>
              </w:r>
            </w:hyperlink>
          </w:p>
        </w:tc>
      </w:tr>
      <w:tr w:rsidR="00000000">
        <w:trPr>
          <w:divId w:val="1533959960"/>
          <w:trHeight w:val="60"/>
        </w:trPr>
        <w:tc>
          <w:tcPr>
            <w:tcW w:w="0" w:type="auto"/>
            <w:gridSpan w:val="3"/>
            <w:tcMar>
              <w:top w:w="0" w:type="dxa"/>
              <w:left w:w="20" w:type="dxa"/>
              <w:bottom w:w="0" w:type="dxa"/>
              <w:right w:w="20" w:type="dxa"/>
            </w:tcMar>
            <w:vAlign w:val="center"/>
            <w:hideMark/>
          </w:tcPr>
          <w:p w:rsidR="00000000" w:rsidRDefault="00BE60E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533959960"/>
        </w:trPr>
        <w:tc>
          <w:tcPr>
            <w:tcW w:w="0" w:type="auto"/>
            <w:gridSpan w:val="3"/>
            <w:tcMar>
              <w:top w:w="30" w:type="dxa"/>
              <w:left w:w="20" w:type="dxa"/>
              <w:bottom w:w="30" w:type="dxa"/>
              <w:right w:w="20" w:type="dxa"/>
            </w:tcMar>
            <w:hideMark/>
          </w:tcPr>
          <w:p w:rsidR="00000000" w:rsidRDefault="00BE60E9">
            <w:pPr>
              <w:spacing w:after="100"/>
              <w:divId w:val="2098555061"/>
              <w:rPr>
                <w:rFonts w:eastAsia="Times New Roman"/>
              </w:rPr>
            </w:pPr>
            <w:hyperlink w:anchor="i7b9367ce46184e39981dde9cbe7aec07_13" w:history="1">
              <w:r>
                <w:rPr>
                  <w:rStyle w:val="a3"/>
                  <w:rFonts w:eastAsia="Times New Roman"/>
                  <w:b/>
                  <w:bCs/>
                  <w:sz w:val="20"/>
                  <w:szCs w:val="20"/>
                </w:rPr>
                <w:t>Part I Financial Information</w:t>
              </w:r>
            </w:hyperlink>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r>
      <w:tr w:rsidR="00000000">
        <w:trPr>
          <w:divId w:val="1533959960"/>
          <w:trHeight w:val="60"/>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533959960"/>
        </w:trPr>
        <w:tc>
          <w:tcPr>
            <w:tcW w:w="0" w:type="auto"/>
            <w:gridSpan w:val="3"/>
            <w:tcMar>
              <w:top w:w="30" w:type="dxa"/>
              <w:left w:w="20" w:type="dxa"/>
              <w:bottom w:w="30" w:type="dxa"/>
              <w:right w:w="20" w:type="dxa"/>
            </w:tcMar>
            <w:hideMark/>
          </w:tcPr>
          <w:p w:rsidR="00000000" w:rsidRDefault="00BE60E9">
            <w:pPr>
              <w:spacing w:after="100"/>
              <w:divId w:val="72826474"/>
              <w:rPr>
                <w:rFonts w:eastAsia="Times New Roman"/>
              </w:rPr>
            </w:pPr>
            <w:hyperlink w:anchor="i7b9367ce46184e39981dde9cbe7aec07_13" w:history="1">
              <w:r>
                <w:rPr>
                  <w:rStyle w:val="a3"/>
                  <w:rFonts w:eastAsia="Times New Roman"/>
                  <w:sz w:val="20"/>
                  <w:szCs w:val="20"/>
                </w:rPr>
                <w:t>Item 1. Financial Statements (unaudited)</w:t>
              </w:r>
            </w:hyperlink>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r>
      <w:tr w:rsidR="00000000">
        <w:trPr>
          <w:divId w:val="1533959960"/>
          <w:trHeight w:val="60"/>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533959960"/>
        </w:trPr>
        <w:tc>
          <w:tcPr>
            <w:tcW w:w="0" w:type="auto"/>
            <w:gridSpan w:val="3"/>
            <w:tcMar>
              <w:top w:w="30" w:type="dxa"/>
              <w:left w:w="20" w:type="dxa"/>
              <w:bottom w:w="30" w:type="dxa"/>
              <w:right w:w="20" w:type="dxa"/>
            </w:tcMar>
            <w:hideMark/>
          </w:tcPr>
          <w:p w:rsidR="00000000" w:rsidRDefault="00BE60E9">
            <w:pPr>
              <w:spacing w:after="100"/>
              <w:divId w:val="122768701"/>
              <w:rPr>
                <w:rFonts w:eastAsia="Times New Roman"/>
              </w:rPr>
            </w:pPr>
            <w:hyperlink w:anchor="i7b9367ce46184e39981dde9cbe7aec07_16" w:history="1">
              <w:r>
                <w:rPr>
                  <w:rStyle w:val="a3"/>
                  <w:rFonts w:eastAsia="Times New Roman"/>
                  <w:sz w:val="20"/>
                  <w:szCs w:val="20"/>
                </w:rPr>
                <w:t xml:space="preserve">Condensed Consolidated Balance Sheets as of </w:t>
              </w:r>
            </w:hyperlink>
            <w:hyperlink w:anchor="i7b9367ce46184e39981dde9cbe7aec07_16" w:history="1">
              <w:r>
                <w:rPr>
                  <w:rStyle w:val="a3"/>
                  <w:rFonts w:eastAsia="Times New Roman"/>
                  <w:sz w:val="20"/>
                  <w:szCs w:val="20"/>
                </w:rPr>
                <w:t>June 30</w:t>
              </w:r>
            </w:hyperlink>
            <w:hyperlink w:anchor="i7b9367ce46184e39981dde9cbe7aec07_16" w:history="1">
              <w:r>
                <w:rPr>
                  <w:rStyle w:val="a3"/>
                  <w:rFonts w:eastAsia="Times New Roman"/>
                  <w:sz w:val="20"/>
                  <w:szCs w:val="20"/>
                </w:rPr>
                <w:t xml:space="preserve">, 2022, September 30, 2021 and </w:t>
              </w:r>
            </w:hyperlink>
            <w:hyperlink w:anchor="i7b9367ce46184e39981dde9cbe7aec07_16" w:history="1">
              <w:r>
                <w:rPr>
                  <w:rStyle w:val="a3"/>
                  <w:rFonts w:eastAsia="Times New Roman"/>
                  <w:sz w:val="20"/>
                  <w:szCs w:val="20"/>
                </w:rPr>
                <w:t>June</w:t>
              </w:r>
            </w:hyperlink>
            <w:hyperlink w:anchor="i7b9367ce46184e39981dde9cbe7aec07_16" w:history="1">
              <w:r>
                <w:rPr>
                  <w:rStyle w:val="a3"/>
                  <w:rFonts w:eastAsia="Times New Roman"/>
                  <w:sz w:val="20"/>
                  <w:szCs w:val="20"/>
                </w:rPr>
                <w:t xml:space="preserve"> 3</w:t>
              </w:r>
            </w:hyperlink>
            <w:hyperlink w:anchor="i7b9367ce46184e39981dde9cbe7aec07_16" w:history="1">
              <w:r>
                <w:rPr>
                  <w:rStyle w:val="a3"/>
                  <w:rFonts w:eastAsia="Times New Roman"/>
                  <w:sz w:val="20"/>
                  <w:szCs w:val="20"/>
                </w:rPr>
                <w:t>0</w:t>
              </w:r>
            </w:hyperlink>
            <w:hyperlink w:anchor="i7b9367ce46184e39981dde9cbe7aec07_16" w:history="1">
              <w:r>
                <w:rPr>
                  <w:rStyle w:val="a3"/>
                  <w:rFonts w:eastAsia="Times New Roman"/>
                  <w:sz w:val="20"/>
                  <w:szCs w:val="20"/>
                </w:rPr>
                <w:t>, 2021</w:t>
              </w:r>
            </w:hyperlink>
          </w:p>
        </w:tc>
        <w:tc>
          <w:tcPr>
            <w:tcW w:w="0" w:type="auto"/>
            <w:gridSpan w:val="3"/>
            <w:tcMar>
              <w:top w:w="30" w:type="dxa"/>
              <w:left w:w="20" w:type="dxa"/>
              <w:bottom w:w="30" w:type="dxa"/>
              <w:right w:w="20" w:type="dxa"/>
            </w:tcMar>
            <w:hideMark/>
          </w:tcPr>
          <w:p w:rsidR="00000000" w:rsidRDefault="00BE60E9">
            <w:pPr>
              <w:spacing w:after="100"/>
              <w:jc w:val="right"/>
              <w:rPr>
                <w:rFonts w:eastAsia="Times New Roman"/>
              </w:rPr>
            </w:pPr>
            <w:hyperlink w:anchor="i7b9367ce46184e39981dde9cbe7aec07_16" w:history="1">
              <w:r>
                <w:rPr>
                  <w:rStyle w:val="a3"/>
                  <w:rFonts w:eastAsia="Times New Roman"/>
                  <w:sz w:val="20"/>
                  <w:szCs w:val="20"/>
                </w:rPr>
                <w:t>5</w:t>
              </w:r>
            </w:hyperlink>
          </w:p>
        </w:tc>
      </w:tr>
      <w:tr w:rsidR="00000000">
        <w:trPr>
          <w:divId w:val="1533959960"/>
          <w:trHeight w:val="60"/>
        </w:trPr>
        <w:tc>
          <w:tcPr>
            <w:tcW w:w="0" w:type="auto"/>
            <w:gridSpan w:val="3"/>
            <w:tcMar>
              <w:top w:w="0" w:type="dxa"/>
              <w:left w:w="20" w:type="dxa"/>
              <w:bottom w:w="0" w:type="dxa"/>
              <w:right w:w="20" w:type="dxa"/>
            </w:tcMar>
            <w:vAlign w:val="center"/>
            <w:hideMark/>
          </w:tcPr>
          <w:p w:rsidR="00000000" w:rsidRDefault="00BE60E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533959960"/>
        </w:trPr>
        <w:tc>
          <w:tcPr>
            <w:tcW w:w="0" w:type="auto"/>
            <w:gridSpan w:val="3"/>
            <w:tcMar>
              <w:top w:w="30" w:type="dxa"/>
              <w:left w:w="20" w:type="dxa"/>
              <w:bottom w:w="30" w:type="dxa"/>
              <w:right w:w="20" w:type="dxa"/>
            </w:tcMar>
            <w:hideMark/>
          </w:tcPr>
          <w:p w:rsidR="00000000" w:rsidRDefault="00BE60E9">
            <w:pPr>
              <w:spacing w:after="100"/>
              <w:divId w:val="1127161380"/>
              <w:rPr>
                <w:rFonts w:eastAsia="Times New Roman"/>
              </w:rPr>
            </w:pPr>
            <w:hyperlink w:anchor="i7b9367ce46184e39981dde9cbe7aec07_19" w:history="1">
              <w:r>
                <w:rPr>
                  <w:rStyle w:val="a3"/>
                  <w:rFonts w:eastAsia="Times New Roman"/>
                  <w:sz w:val="20"/>
                  <w:szCs w:val="20"/>
                </w:rPr>
                <w:t xml:space="preserve">Condensed Consolidated Statements of Income for the three and </w:t>
              </w:r>
            </w:hyperlink>
            <w:hyperlink w:anchor="i7b9367ce46184e39981dde9cbe7aec07_19" w:history="1">
              <w:r>
                <w:rPr>
                  <w:rStyle w:val="a3"/>
                  <w:rFonts w:eastAsia="Times New Roman"/>
                  <w:sz w:val="20"/>
                  <w:szCs w:val="20"/>
                </w:rPr>
                <w:t>nine</w:t>
              </w:r>
            </w:hyperlink>
            <w:hyperlink w:anchor="i7b9367ce46184e39981dde9cbe7aec07_19" w:history="1">
              <w:r>
                <w:rPr>
                  <w:rStyle w:val="a3"/>
                  <w:rFonts w:eastAsia="Times New Roman"/>
                  <w:sz w:val="20"/>
                  <w:szCs w:val="20"/>
                </w:rPr>
                <w:t xml:space="preserve"> months ended </w:t>
              </w:r>
            </w:hyperlink>
            <w:hyperlink w:anchor="i7b9367ce46184e39981dde9cbe7aec07_19" w:history="1">
              <w:r>
                <w:rPr>
                  <w:rStyle w:val="a3"/>
                  <w:rFonts w:eastAsia="Times New Roman"/>
                  <w:sz w:val="20"/>
                  <w:szCs w:val="20"/>
                </w:rPr>
                <w:t>June</w:t>
              </w:r>
            </w:hyperlink>
            <w:hyperlink w:anchor="i7b9367ce46184e39981dde9cbe7aec07_19" w:history="1">
              <w:r>
                <w:rPr>
                  <w:rStyle w:val="a3"/>
                  <w:rFonts w:eastAsia="Times New Roman"/>
                  <w:sz w:val="20"/>
                  <w:szCs w:val="20"/>
                </w:rPr>
                <w:t xml:space="preserve"> 3</w:t>
              </w:r>
            </w:hyperlink>
            <w:hyperlink w:anchor="i7b9367ce46184e39981dde9cbe7aec07_19" w:history="1">
              <w:r>
                <w:rPr>
                  <w:rStyle w:val="a3"/>
                  <w:rFonts w:eastAsia="Times New Roman"/>
                  <w:sz w:val="20"/>
                  <w:szCs w:val="20"/>
                </w:rPr>
                <w:t>0</w:t>
              </w:r>
            </w:hyperlink>
            <w:hyperlink w:anchor="i7b9367ce46184e39981dde9cbe7aec07_19" w:history="1">
              <w:r>
                <w:rPr>
                  <w:rStyle w:val="a3"/>
                  <w:rFonts w:eastAsia="Times New Roman"/>
                  <w:sz w:val="20"/>
                  <w:szCs w:val="20"/>
                </w:rPr>
                <w:t>, 2022 and 2021</w:t>
              </w:r>
            </w:hyperlink>
          </w:p>
        </w:tc>
        <w:tc>
          <w:tcPr>
            <w:tcW w:w="0" w:type="auto"/>
            <w:gridSpan w:val="3"/>
            <w:tcMar>
              <w:top w:w="30" w:type="dxa"/>
              <w:left w:w="20" w:type="dxa"/>
              <w:bottom w:w="30" w:type="dxa"/>
              <w:right w:w="20" w:type="dxa"/>
            </w:tcMar>
            <w:hideMark/>
          </w:tcPr>
          <w:p w:rsidR="00000000" w:rsidRDefault="00BE60E9">
            <w:pPr>
              <w:spacing w:after="100"/>
              <w:jc w:val="right"/>
              <w:rPr>
                <w:rFonts w:eastAsia="Times New Roman"/>
              </w:rPr>
            </w:pPr>
            <w:hyperlink w:anchor="i7b9367ce46184e39981dde9cbe7aec07_19" w:history="1">
              <w:r>
                <w:rPr>
                  <w:rStyle w:val="a3"/>
                  <w:rFonts w:eastAsia="Times New Roman"/>
                  <w:sz w:val="20"/>
                  <w:szCs w:val="20"/>
                </w:rPr>
                <w:t>6</w:t>
              </w:r>
            </w:hyperlink>
          </w:p>
        </w:tc>
      </w:tr>
      <w:tr w:rsidR="00000000">
        <w:trPr>
          <w:divId w:val="1533959960"/>
          <w:trHeight w:val="60"/>
        </w:trPr>
        <w:tc>
          <w:tcPr>
            <w:tcW w:w="0" w:type="auto"/>
            <w:gridSpan w:val="3"/>
            <w:tcMar>
              <w:top w:w="0" w:type="dxa"/>
              <w:left w:w="20" w:type="dxa"/>
              <w:bottom w:w="0" w:type="dxa"/>
              <w:right w:w="20" w:type="dxa"/>
            </w:tcMar>
            <w:vAlign w:val="center"/>
            <w:hideMark/>
          </w:tcPr>
          <w:p w:rsidR="00000000" w:rsidRDefault="00BE60E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533959960"/>
        </w:trPr>
        <w:tc>
          <w:tcPr>
            <w:tcW w:w="0" w:type="auto"/>
            <w:gridSpan w:val="3"/>
            <w:tcMar>
              <w:top w:w="30" w:type="dxa"/>
              <w:left w:w="20" w:type="dxa"/>
              <w:bottom w:w="30" w:type="dxa"/>
              <w:right w:w="20" w:type="dxa"/>
            </w:tcMar>
            <w:hideMark/>
          </w:tcPr>
          <w:p w:rsidR="00000000" w:rsidRDefault="00BE60E9">
            <w:pPr>
              <w:spacing w:after="100"/>
              <w:divId w:val="1588926665"/>
              <w:rPr>
                <w:rFonts w:eastAsia="Times New Roman"/>
              </w:rPr>
            </w:pPr>
            <w:hyperlink w:anchor="i7b9367ce46184e39981dde9cbe7aec07_22" w:history="1">
              <w:r>
                <w:rPr>
                  <w:rStyle w:val="a3"/>
                  <w:rFonts w:eastAsia="Times New Roman"/>
                  <w:sz w:val="20"/>
                  <w:szCs w:val="20"/>
                </w:rPr>
                <w:t>Condensed Consolidated Statements of Comprehensive Income for the three and nine months ended June 30, 2022 and 2021</w:t>
              </w:r>
            </w:hyperlink>
          </w:p>
        </w:tc>
        <w:tc>
          <w:tcPr>
            <w:tcW w:w="0" w:type="auto"/>
            <w:gridSpan w:val="3"/>
            <w:tcMar>
              <w:top w:w="30" w:type="dxa"/>
              <w:left w:w="20" w:type="dxa"/>
              <w:bottom w:w="30" w:type="dxa"/>
              <w:right w:w="20" w:type="dxa"/>
            </w:tcMar>
            <w:hideMark/>
          </w:tcPr>
          <w:p w:rsidR="00000000" w:rsidRDefault="00BE60E9">
            <w:pPr>
              <w:spacing w:after="100"/>
              <w:jc w:val="right"/>
              <w:rPr>
                <w:rFonts w:eastAsia="Times New Roman"/>
              </w:rPr>
            </w:pPr>
            <w:hyperlink w:anchor="i7b9367ce46184e39981dde9cbe7aec07_22" w:history="1">
              <w:r>
                <w:rPr>
                  <w:rStyle w:val="a3"/>
                  <w:rFonts w:eastAsia="Times New Roman"/>
                  <w:sz w:val="20"/>
                  <w:szCs w:val="20"/>
                </w:rPr>
                <w:t>7</w:t>
              </w:r>
            </w:hyperlink>
          </w:p>
        </w:tc>
      </w:tr>
      <w:tr w:rsidR="00000000">
        <w:trPr>
          <w:divId w:val="1533959960"/>
          <w:trHeight w:val="60"/>
        </w:trPr>
        <w:tc>
          <w:tcPr>
            <w:tcW w:w="0" w:type="auto"/>
            <w:gridSpan w:val="3"/>
            <w:tcMar>
              <w:top w:w="0" w:type="dxa"/>
              <w:left w:w="20" w:type="dxa"/>
              <w:bottom w:w="0" w:type="dxa"/>
              <w:right w:w="20" w:type="dxa"/>
            </w:tcMar>
            <w:vAlign w:val="center"/>
            <w:hideMark/>
          </w:tcPr>
          <w:p w:rsidR="00000000" w:rsidRDefault="00BE60E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533959960"/>
        </w:trPr>
        <w:tc>
          <w:tcPr>
            <w:tcW w:w="0" w:type="auto"/>
            <w:gridSpan w:val="3"/>
            <w:tcMar>
              <w:top w:w="30" w:type="dxa"/>
              <w:left w:w="20" w:type="dxa"/>
              <w:bottom w:w="30" w:type="dxa"/>
              <w:right w:w="20" w:type="dxa"/>
            </w:tcMar>
            <w:hideMark/>
          </w:tcPr>
          <w:p w:rsidR="00000000" w:rsidRDefault="00BE60E9">
            <w:pPr>
              <w:spacing w:after="100"/>
              <w:divId w:val="1421679284"/>
              <w:rPr>
                <w:rFonts w:eastAsia="Times New Roman"/>
              </w:rPr>
            </w:pPr>
            <w:hyperlink w:anchor="i7b9367ce46184e39981dde9cbe7aec07_25" w:history="1">
              <w:r>
                <w:rPr>
                  <w:rStyle w:val="a3"/>
                  <w:rFonts w:eastAsia="Times New Roman"/>
                  <w:sz w:val="20"/>
                  <w:szCs w:val="20"/>
                </w:rPr>
                <w:t xml:space="preserve">Condensed Consolidated Statements of Cash Flows for the </w:t>
              </w:r>
            </w:hyperlink>
            <w:hyperlink w:anchor="i7b9367ce46184e39981dde9cbe7aec07_25" w:history="1">
              <w:r>
                <w:rPr>
                  <w:rStyle w:val="a3"/>
                  <w:rFonts w:eastAsia="Times New Roman"/>
                  <w:sz w:val="20"/>
                  <w:szCs w:val="20"/>
                </w:rPr>
                <w:t>nine</w:t>
              </w:r>
            </w:hyperlink>
            <w:hyperlink w:anchor="i7b9367ce46184e39981dde9cbe7aec07_25" w:history="1">
              <w:r>
                <w:rPr>
                  <w:rStyle w:val="a3"/>
                  <w:rFonts w:eastAsia="Times New Roman"/>
                  <w:sz w:val="20"/>
                  <w:szCs w:val="20"/>
                </w:rPr>
                <w:t xml:space="preserve"> months ended </w:t>
              </w:r>
            </w:hyperlink>
            <w:hyperlink w:anchor="i7b9367ce46184e39981dde9cbe7aec07_25" w:history="1">
              <w:r>
                <w:rPr>
                  <w:rStyle w:val="a3"/>
                  <w:rFonts w:eastAsia="Times New Roman"/>
                  <w:sz w:val="20"/>
                  <w:szCs w:val="20"/>
                </w:rPr>
                <w:t xml:space="preserve">June </w:t>
              </w:r>
              <w:r>
                <w:rPr>
                  <w:rStyle w:val="a3"/>
                  <w:rFonts w:eastAsia="Times New Roman"/>
                  <w:sz w:val="20"/>
                  <w:szCs w:val="20"/>
                </w:rPr>
                <w:t>30</w:t>
              </w:r>
            </w:hyperlink>
            <w:hyperlink w:anchor="i7b9367ce46184e39981dde9cbe7aec07_25" w:history="1">
              <w:r>
                <w:rPr>
                  <w:rStyle w:val="a3"/>
                  <w:rFonts w:eastAsia="Times New Roman"/>
                  <w:sz w:val="20"/>
                  <w:szCs w:val="20"/>
                </w:rPr>
                <w:t>, 2022 and 2021</w:t>
              </w:r>
            </w:hyperlink>
          </w:p>
        </w:tc>
        <w:tc>
          <w:tcPr>
            <w:tcW w:w="0" w:type="auto"/>
            <w:gridSpan w:val="3"/>
            <w:tcMar>
              <w:top w:w="30" w:type="dxa"/>
              <w:left w:w="20" w:type="dxa"/>
              <w:bottom w:w="30" w:type="dxa"/>
              <w:right w:w="20" w:type="dxa"/>
            </w:tcMar>
            <w:hideMark/>
          </w:tcPr>
          <w:p w:rsidR="00000000" w:rsidRDefault="00BE60E9">
            <w:pPr>
              <w:spacing w:after="100"/>
              <w:jc w:val="right"/>
              <w:rPr>
                <w:rFonts w:eastAsia="Times New Roman"/>
              </w:rPr>
            </w:pPr>
            <w:hyperlink w:anchor="i7b9367ce46184e39981dde9cbe7aec07_25" w:history="1">
              <w:r>
                <w:rPr>
                  <w:rStyle w:val="a3"/>
                  <w:rFonts w:eastAsia="Times New Roman"/>
                  <w:sz w:val="20"/>
                  <w:szCs w:val="20"/>
                </w:rPr>
                <w:t>8</w:t>
              </w:r>
            </w:hyperlink>
          </w:p>
        </w:tc>
      </w:tr>
      <w:tr w:rsidR="00000000">
        <w:trPr>
          <w:divId w:val="1533959960"/>
          <w:trHeight w:val="60"/>
        </w:trPr>
        <w:tc>
          <w:tcPr>
            <w:tcW w:w="0" w:type="auto"/>
            <w:gridSpan w:val="3"/>
            <w:tcMar>
              <w:top w:w="0" w:type="dxa"/>
              <w:left w:w="20" w:type="dxa"/>
              <w:bottom w:w="0" w:type="dxa"/>
              <w:right w:w="20" w:type="dxa"/>
            </w:tcMar>
            <w:vAlign w:val="center"/>
            <w:hideMark/>
          </w:tcPr>
          <w:p w:rsidR="00000000" w:rsidRDefault="00BE60E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533959960"/>
        </w:trPr>
        <w:tc>
          <w:tcPr>
            <w:tcW w:w="0" w:type="auto"/>
            <w:gridSpan w:val="3"/>
            <w:tcMar>
              <w:top w:w="30" w:type="dxa"/>
              <w:left w:w="20" w:type="dxa"/>
              <w:bottom w:w="30" w:type="dxa"/>
              <w:right w:w="20" w:type="dxa"/>
            </w:tcMar>
            <w:hideMark/>
          </w:tcPr>
          <w:p w:rsidR="00000000" w:rsidRDefault="00BE60E9">
            <w:pPr>
              <w:spacing w:after="100"/>
              <w:divId w:val="2105804609"/>
              <w:rPr>
                <w:rFonts w:eastAsia="Times New Roman"/>
              </w:rPr>
            </w:pPr>
            <w:hyperlink w:anchor="i7b9367ce46184e39981dde9cbe7aec07_28" w:history="1">
              <w:r>
                <w:rPr>
                  <w:rStyle w:val="a3"/>
                  <w:rFonts w:eastAsia="Times New Roman"/>
                  <w:sz w:val="20"/>
                  <w:szCs w:val="20"/>
                </w:rPr>
                <w:t xml:space="preserve">Condensed Consolidated Statements of Changes in Equity for the three and </w:t>
              </w:r>
            </w:hyperlink>
            <w:hyperlink w:anchor="i7b9367ce46184e39981dde9cbe7aec07_28" w:history="1">
              <w:r>
                <w:rPr>
                  <w:rStyle w:val="a3"/>
                  <w:rFonts w:eastAsia="Times New Roman"/>
                  <w:sz w:val="20"/>
                  <w:szCs w:val="20"/>
                </w:rPr>
                <w:t>nine</w:t>
              </w:r>
            </w:hyperlink>
            <w:hyperlink w:anchor="i7b9367ce46184e39981dde9cbe7aec07_28" w:history="1">
              <w:r>
                <w:rPr>
                  <w:rStyle w:val="a3"/>
                  <w:rFonts w:eastAsia="Times New Roman"/>
                  <w:sz w:val="20"/>
                  <w:szCs w:val="20"/>
                </w:rPr>
                <w:t xml:space="preserve"> m</w:t>
              </w:r>
              <w:r>
                <w:rPr>
                  <w:rStyle w:val="a3"/>
                  <w:rFonts w:eastAsia="Times New Roman"/>
                  <w:sz w:val="20"/>
                  <w:szCs w:val="20"/>
                </w:rPr>
                <w:t>onths ended</w:t>
              </w:r>
            </w:hyperlink>
            <w:hyperlink w:anchor="i7b9367ce46184e39981dde9cbe7aec07_28" w:history="1">
              <w:r>
                <w:rPr>
                  <w:rStyle w:val="a3"/>
                  <w:rFonts w:eastAsia="Times New Roman"/>
                  <w:sz w:val="20"/>
                  <w:szCs w:val="20"/>
                </w:rPr>
                <w:t xml:space="preserve"> June </w:t>
              </w:r>
            </w:hyperlink>
            <w:hyperlink w:anchor="i7b9367ce46184e39981dde9cbe7aec07_28" w:history="1">
              <w:r>
                <w:rPr>
                  <w:rStyle w:val="a3"/>
                  <w:rFonts w:eastAsia="Times New Roman"/>
                  <w:sz w:val="20"/>
                  <w:szCs w:val="20"/>
                </w:rPr>
                <w:t>30</w:t>
              </w:r>
            </w:hyperlink>
            <w:hyperlink w:anchor="i7b9367ce46184e39981dde9cbe7aec07_28" w:history="1">
              <w:r>
                <w:rPr>
                  <w:rStyle w:val="a3"/>
                  <w:rFonts w:eastAsia="Times New Roman"/>
                  <w:sz w:val="20"/>
                  <w:szCs w:val="20"/>
                </w:rPr>
                <w:t>, 2022 and 2021</w:t>
              </w:r>
            </w:hyperlink>
          </w:p>
        </w:tc>
        <w:tc>
          <w:tcPr>
            <w:tcW w:w="0" w:type="auto"/>
            <w:gridSpan w:val="3"/>
            <w:tcMar>
              <w:top w:w="30" w:type="dxa"/>
              <w:left w:w="20" w:type="dxa"/>
              <w:bottom w:w="30" w:type="dxa"/>
              <w:right w:w="20" w:type="dxa"/>
            </w:tcMar>
            <w:hideMark/>
          </w:tcPr>
          <w:p w:rsidR="00000000" w:rsidRDefault="00BE60E9">
            <w:pPr>
              <w:spacing w:after="100"/>
              <w:jc w:val="right"/>
              <w:rPr>
                <w:rFonts w:eastAsia="Times New Roman"/>
              </w:rPr>
            </w:pPr>
            <w:hyperlink w:anchor="i7b9367ce46184e39981dde9cbe7aec07_28" w:history="1">
              <w:r>
                <w:rPr>
                  <w:rStyle w:val="a3"/>
                  <w:rFonts w:eastAsia="Times New Roman"/>
                  <w:sz w:val="20"/>
                  <w:szCs w:val="20"/>
                </w:rPr>
                <w:t>9</w:t>
              </w:r>
            </w:hyperlink>
          </w:p>
        </w:tc>
      </w:tr>
      <w:tr w:rsidR="00000000">
        <w:trPr>
          <w:divId w:val="1533959960"/>
          <w:trHeight w:val="60"/>
        </w:trPr>
        <w:tc>
          <w:tcPr>
            <w:tcW w:w="0" w:type="auto"/>
            <w:gridSpan w:val="3"/>
            <w:tcMar>
              <w:top w:w="0" w:type="dxa"/>
              <w:left w:w="20" w:type="dxa"/>
              <w:bottom w:w="0" w:type="dxa"/>
              <w:right w:w="20" w:type="dxa"/>
            </w:tcMar>
            <w:vAlign w:val="center"/>
            <w:hideMark/>
          </w:tcPr>
          <w:p w:rsidR="00000000" w:rsidRDefault="00BE60E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533959960"/>
        </w:trPr>
        <w:tc>
          <w:tcPr>
            <w:tcW w:w="0" w:type="auto"/>
            <w:gridSpan w:val="3"/>
            <w:tcMar>
              <w:top w:w="30" w:type="dxa"/>
              <w:left w:w="20" w:type="dxa"/>
              <w:bottom w:w="30" w:type="dxa"/>
              <w:right w:w="20" w:type="dxa"/>
            </w:tcMar>
            <w:hideMark/>
          </w:tcPr>
          <w:p w:rsidR="00000000" w:rsidRDefault="00BE60E9">
            <w:pPr>
              <w:spacing w:after="100"/>
              <w:divId w:val="1090587274"/>
              <w:rPr>
                <w:rFonts w:eastAsia="Times New Roman"/>
              </w:rPr>
            </w:pPr>
            <w:hyperlink w:anchor="i7b9367ce46184e39981dde9cbe7aec07_31" w:history="1">
              <w:r>
                <w:rPr>
                  <w:rStyle w:val="a3"/>
                  <w:rFonts w:eastAsia="Times New Roman"/>
                  <w:sz w:val="20"/>
                  <w:szCs w:val="20"/>
                </w:rPr>
                <w:t>Notes to Condensed Consolidated Financial Statements</w:t>
              </w:r>
            </w:hyperlink>
          </w:p>
        </w:tc>
        <w:tc>
          <w:tcPr>
            <w:tcW w:w="0" w:type="auto"/>
            <w:gridSpan w:val="3"/>
            <w:tcMar>
              <w:top w:w="30" w:type="dxa"/>
              <w:left w:w="20" w:type="dxa"/>
              <w:bottom w:w="30" w:type="dxa"/>
              <w:right w:w="20" w:type="dxa"/>
            </w:tcMar>
            <w:hideMark/>
          </w:tcPr>
          <w:p w:rsidR="00000000" w:rsidRDefault="00BE60E9">
            <w:pPr>
              <w:spacing w:after="100"/>
              <w:jc w:val="right"/>
              <w:rPr>
                <w:rFonts w:eastAsia="Times New Roman"/>
              </w:rPr>
            </w:pPr>
            <w:hyperlink w:anchor="i7b9367ce46184e39981dde9cbe7aec07_31" w:history="1">
              <w:r>
                <w:rPr>
                  <w:rStyle w:val="a3"/>
                  <w:rFonts w:eastAsia="Times New Roman"/>
                  <w:sz w:val="20"/>
                  <w:szCs w:val="20"/>
                </w:rPr>
                <w:t>10</w:t>
              </w:r>
            </w:hyperlink>
          </w:p>
        </w:tc>
      </w:tr>
      <w:tr w:rsidR="00000000">
        <w:trPr>
          <w:divId w:val="1533959960"/>
          <w:trHeight w:val="60"/>
        </w:trPr>
        <w:tc>
          <w:tcPr>
            <w:tcW w:w="0" w:type="auto"/>
            <w:gridSpan w:val="3"/>
            <w:tcMar>
              <w:top w:w="0" w:type="dxa"/>
              <w:left w:w="20" w:type="dxa"/>
              <w:bottom w:w="0" w:type="dxa"/>
              <w:right w:w="20" w:type="dxa"/>
            </w:tcMar>
            <w:vAlign w:val="center"/>
            <w:hideMark/>
          </w:tcPr>
          <w:p w:rsidR="00000000" w:rsidRDefault="00BE60E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533959960"/>
        </w:trPr>
        <w:tc>
          <w:tcPr>
            <w:tcW w:w="0" w:type="auto"/>
            <w:gridSpan w:val="3"/>
            <w:tcMar>
              <w:top w:w="30" w:type="dxa"/>
              <w:left w:w="20" w:type="dxa"/>
              <w:bottom w:w="30" w:type="dxa"/>
              <w:right w:w="20" w:type="dxa"/>
            </w:tcMar>
            <w:hideMark/>
          </w:tcPr>
          <w:p w:rsidR="00000000" w:rsidRDefault="00BE60E9">
            <w:pPr>
              <w:spacing w:after="100"/>
              <w:divId w:val="1401831822"/>
              <w:rPr>
                <w:rFonts w:eastAsia="Times New Roman"/>
              </w:rPr>
            </w:pPr>
            <w:hyperlink w:anchor="i7b9367ce46184e39981dde9cbe7aec07_82" w:history="1">
              <w:r>
                <w:rPr>
                  <w:rStyle w:val="a3"/>
                  <w:rFonts w:eastAsia="Times New Roman"/>
                  <w:sz w:val="20"/>
                  <w:szCs w:val="20"/>
                </w:rPr>
                <w:t>Item 2. Management’s Discussion and Analysis of Financial Condition and Results of Operations</w:t>
              </w:r>
            </w:hyperlink>
          </w:p>
        </w:tc>
        <w:tc>
          <w:tcPr>
            <w:tcW w:w="0" w:type="auto"/>
            <w:gridSpan w:val="3"/>
            <w:tcMar>
              <w:top w:w="30" w:type="dxa"/>
              <w:left w:w="20" w:type="dxa"/>
              <w:bottom w:w="30" w:type="dxa"/>
              <w:right w:w="20" w:type="dxa"/>
            </w:tcMar>
            <w:hideMark/>
          </w:tcPr>
          <w:p w:rsidR="00000000" w:rsidRDefault="00BE60E9">
            <w:pPr>
              <w:spacing w:after="100"/>
              <w:jc w:val="right"/>
              <w:rPr>
                <w:rFonts w:eastAsia="Times New Roman"/>
              </w:rPr>
            </w:pPr>
            <w:hyperlink w:anchor="i7b9367ce46184e39981dde9cbe7aec07_82" w:history="1">
              <w:r>
                <w:rPr>
                  <w:rStyle w:val="a3"/>
                  <w:rFonts w:eastAsia="Times New Roman"/>
                  <w:sz w:val="20"/>
                  <w:szCs w:val="20"/>
                </w:rPr>
                <w:t>35</w:t>
              </w:r>
            </w:hyperlink>
          </w:p>
        </w:tc>
      </w:tr>
      <w:tr w:rsidR="00000000">
        <w:trPr>
          <w:divId w:val="1533959960"/>
          <w:trHeight w:val="60"/>
        </w:trPr>
        <w:tc>
          <w:tcPr>
            <w:tcW w:w="0" w:type="auto"/>
            <w:gridSpan w:val="3"/>
            <w:tcMar>
              <w:top w:w="0" w:type="dxa"/>
              <w:left w:w="20" w:type="dxa"/>
              <w:bottom w:w="0" w:type="dxa"/>
              <w:right w:w="20" w:type="dxa"/>
            </w:tcMar>
            <w:vAlign w:val="center"/>
            <w:hideMark/>
          </w:tcPr>
          <w:p w:rsidR="00000000" w:rsidRDefault="00BE60E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533959960"/>
        </w:trPr>
        <w:tc>
          <w:tcPr>
            <w:tcW w:w="0" w:type="auto"/>
            <w:gridSpan w:val="3"/>
            <w:tcMar>
              <w:top w:w="30" w:type="dxa"/>
              <w:left w:w="20" w:type="dxa"/>
              <w:bottom w:w="30" w:type="dxa"/>
              <w:right w:w="20" w:type="dxa"/>
            </w:tcMar>
            <w:hideMark/>
          </w:tcPr>
          <w:p w:rsidR="00000000" w:rsidRDefault="00BE60E9">
            <w:pPr>
              <w:spacing w:after="100"/>
              <w:divId w:val="246619761"/>
              <w:rPr>
                <w:rFonts w:eastAsia="Times New Roman"/>
              </w:rPr>
            </w:pPr>
            <w:hyperlink w:anchor="i7b9367ce46184e39981dde9cbe7aec07_91" w:history="1">
              <w:r>
                <w:rPr>
                  <w:rStyle w:val="a3"/>
                  <w:rFonts w:eastAsia="Times New Roman"/>
                  <w:sz w:val="20"/>
                  <w:szCs w:val="20"/>
                </w:rPr>
                <w:t>Item 3. Quantitative and Qualitative Disclosures About Market Risk</w:t>
              </w:r>
            </w:hyperlink>
          </w:p>
        </w:tc>
        <w:tc>
          <w:tcPr>
            <w:tcW w:w="0" w:type="auto"/>
            <w:gridSpan w:val="3"/>
            <w:tcMar>
              <w:top w:w="30" w:type="dxa"/>
              <w:left w:w="20" w:type="dxa"/>
              <w:bottom w:w="30" w:type="dxa"/>
              <w:right w:w="20" w:type="dxa"/>
            </w:tcMar>
            <w:hideMark/>
          </w:tcPr>
          <w:p w:rsidR="00000000" w:rsidRDefault="00BE60E9">
            <w:pPr>
              <w:spacing w:after="100"/>
              <w:jc w:val="right"/>
              <w:rPr>
                <w:rFonts w:eastAsia="Times New Roman"/>
              </w:rPr>
            </w:pPr>
            <w:hyperlink w:anchor="i7b9367ce46184e39981dde9cbe7aec07_91" w:history="1">
              <w:r>
                <w:rPr>
                  <w:rStyle w:val="a3"/>
                  <w:rFonts w:eastAsia="Times New Roman"/>
                  <w:sz w:val="20"/>
                  <w:szCs w:val="20"/>
                </w:rPr>
                <w:t>51</w:t>
              </w:r>
            </w:hyperlink>
          </w:p>
        </w:tc>
      </w:tr>
      <w:tr w:rsidR="00000000">
        <w:trPr>
          <w:divId w:val="1533959960"/>
          <w:trHeight w:val="60"/>
        </w:trPr>
        <w:tc>
          <w:tcPr>
            <w:tcW w:w="0" w:type="auto"/>
            <w:gridSpan w:val="3"/>
            <w:tcMar>
              <w:top w:w="0" w:type="dxa"/>
              <w:left w:w="20" w:type="dxa"/>
              <w:bottom w:w="0" w:type="dxa"/>
              <w:right w:w="20" w:type="dxa"/>
            </w:tcMar>
            <w:vAlign w:val="center"/>
            <w:hideMark/>
          </w:tcPr>
          <w:p w:rsidR="00000000" w:rsidRDefault="00BE60E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533959960"/>
        </w:trPr>
        <w:tc>
          <w:tcPr>
            <w:tcW w:w="0" w:type="auto"/>
            <w:gridSpan w:val="3"/>
            <w:tcMar>
              <w:top w:w="30" w:type="dxa"/>
              <w:left w:w="20" w:type="dxa"/>
              <w:bottom w:w="30" w:type="dxa"/>
              <w:right w:w="20" w:type="dxa"/>
            </w:tcMar>
            <w:hideMark/>
          </w:tcPr>
          <w:p w:rsidR="00000000" w:rsidRDefault="00BE60E9">
            <w:pPr>
              <w:spacing w:after="100"/>
              <w:divId w:val="1551764094"/>
              <w:rPr>
                <w:rFonts w:eastAsia="Times New Roman"/>
              </w:rPr>
            </w:pPr>
            <w:hyperlink w:anchor="i7b9367ce46184e39981dde9cbe7aec07_94" w:history="1">
              <w:r>
                <w:rPr>
                  <w:rStyle w:val="a3"/>
                  <w:rFonts w:eastAsia="Times New Roman"/>
                  <w:sz w:val="20"/>
                  <w:szCs w:val="20"/>
                </w:rPr>
                <w:t>Item 4. Controls and Procedures</w:t>
              </w:r>
            </w:hyperlink>
          </w:p>
        </w:tc>
        <w:tc>
          <w:tcPr>
            <w:tcW w:w="0" w:type="auto"/>
            <w:gridSpan w:val="3"/>
            <w:tcMar>
              <w:top w:w="30" w:type="dxa"/>
              <w:left w:w="20" w:type="dxa"/>
              <w:bottom w:w="30" w:type="dxa"/>
              <w:right w:w="20" w:type="dxa"/>
            </w:tcMar>
            <w:hideMark/>
          </w:tcPr>
          <w:p w:rsidR="00000000" w:rsidRDefault="00BE60E9">
            <w:pPr>
              <w:spacing w:after="100"/>
              <w:jc w:val="right"/>
              <w:rPr>
                <w:rFonts w:eastAsia="Times New Roman"/>
              </w:rPr>
            </w:pPr>
            <w:hyperlink w:anchor="i7b9367ce46184e39981dde9cbe7aec07_94" w:history="1">
              <w:r>
                <w:rPr>
                  <w:rStyle w:val="a3"/>
                  <w:rFonts w:eastAsia="Times New Roman"/>
                  <w:sz w:val="20"/>
                  <w:szCs w:val="20"/>
                </w:rPr>
                <w:t>53</w:t>
              </w:r>
            </w:hyperlink>
          </w:p>
        </w:tc>
      </w:tr>
      <w:tr w:rsidR="00000000">
        <w:trPr>
          <w:divId w:val="1533959960"/>
          <w:trHeight w:val="60"/>
        </w:trPr>
        <w:tc>
          <w:tcPr>
            <w:tcW w:w="0" w:type="auto"/>
            <w:gridSpan w:val="3"/>
            <w:tcMar>
              <w:top w:w="0" w:type="dxa"/>
              <w:left w:w="20" w:type="dxa"/>
              <w:bottom w:w="0" w:type="dxa"/>
              <w:right w:w="20" w:type="dxa"/>
            </w:tcMar>
            <w:vAlign w:val="center"/>
            <w:hideMark/>
          </w:tcPr>
          <w:p w:rsidR="00000000" w:rsidRDefault="00BE60E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533959960"/>
        </w:trPr>
        <w:tc>
          <w:tcPr>
            <w:tcW w:w="0" w:type="auto"/>
            <w:gridSpan w:val="3"/>
            <w:tcMar>
              <w:top w:w="30" w:type="dxa"/>
              <w:left w:w="20" w:type="dxa"/>
              <w:bottom w:w="30" w:type="dxa"/>
              <w:right w:w="20" w:type="dxa"/>
            </w:tcMar>
            <w:hideMark/>
          </w:tcPr>
          <w:p w:rsidR="00000000" w:rsidRDefault="00BE60E9">
            <w:pPr>
              <w:spacing w:after="100"/>
              <w:divId w:val="417136838"/>
              <w:rPr>
                <w:rFonts w:eastAsia="Times New Roman"/>
              </w:rPr>
            </w:pPr>
            <w:hyperlink w:anchor="i7b9367ce46184e39981dde9cbe7aec07_97" w:history="1">
              <w:r>
                <w:rPr>
                  <w:rStyle w:val="a3"/>
                  <w:rFonts w:eastAsia="Times New Roman"/>
                  <w:b/>
                  <w:bCs/>
                  <w:sz w:val="20"/>
                  <w:szCs w:val="20"/>
                </w:rPr>
                <w:t>Part II Other Information</w:t>
              </w:r>
            </w:hyperlink>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r>
      <w:tr w:rsidR="00000000">
        <w:trPr>
          <w:divId w:val="1533959960"/>
          <w:trHeight w:val="60"/>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533959960"/>
        </w:trPr>
        <w:tc>
          <w:tcPr>
            <w:tcW w:w="0" w:type="auto"/>
            <w:gridSpan w:val="3"/>
            <w:tcMar>
              <w:top w:w="30" w:type="dxa"/>
              <w:left w:w="20" w:type="dxa"/>
              <w:bottom w:w="30" w:type="dxa"/>
              <w:right w:w="20" w:type="dxa"/>
            </w:tcMar>
            <w:hideMark/>
          </w:tcPr>
          <w:p w:rsidR="00000000" w:rsidRDefault="00BE60E9">
            <w:pPr>
              <w:spacing w:after="100"/>
              <w:divId w:val="1053820178"/>
              <w:rPr>
                <w:rFonts w:eastAsia="Times New Roman"/>
              </w:rPr>
            </w:pPr>
            <w:r>
              <w:rPr>
                <w:rFonts w:eastAsia="Times New Roman"/>
                <w:color w:val="0000FF"/>
                <w:sz w:val="20"/>
                <w:szCs w:val="20"/>
                <w:u w:val="single"/>
              </w:rPr>
              <w:t>Item 1. Legal Proceedings</w:t>
            </w:r>
          </w:p>
        </w:tc>
        <w:tc>
          <w:tcPr>
            <w:tcW w:w="0" w:type="auto"/>
            <w:gridSpan w:val="3"/>
            <w:tcMar>
              <w:top w:w="30" w:type="dxa"/>
              <w:left w:w="20" w:type="dxa"/>
              <w:bottom w:w="30" w:type="dxa"/>
              <w:right w:w="20" w:type="dxa"/>
            </w:tcMar>
            <w:hideMark/>
          </w:tcPr>
          <w:p w:rsidR="00000000" w:rsidRDefault="00BE60E9">
            <w:pPr>
              <w:spacing w:after="100"/>
              <w:jc w:val="right"/>
              <w:rPr>
                <w:rFonts w:eastAsia="Times New Roman"/>
              </w:rPr>
            </w:pPr>
            <w:hyperlink w:anchor="i7b9367ce46184e39981dde9cbe7aec07_100" w:history="1">
              <w:r>
                <w:rPr>
                  <w:rStyle w:val="a3"/>
                  <w:rFonts w:eastAsia="Times New Roman"/>
                  <w:sz w:val="20"/>
                  <w:szCs w:val="20"/>
                </w:rPr>
                <w:t>54</w:t>
              </w:r>
            </w:hyperlink>
          </w:p>
        </w:tc>
      </w:tr>
      <w:tr w:rsidR="00000000">
        <w:trPr>
          <w:divId w:val="1533959960"/>
          <w:trHeight w:val="60"/>
        </w:trPr>
        <w:tc>
          <w:tcPr>
            <w:tcW w:w="0" w:type="auto"/>
            <w:gridSpan w:val="3"/>
            <w:tcMar>
              <w:top w:w="0" w:type="dxa"/>
              <w:left w:w="20" w:type="dxa"/>
              <w:bottom w:w="0" w:type="dxa"/>
              <w:right w:w="20" w:type="dxa"/>
            </w:tcMar>
            <w:vAlign w:val="center"/>
            <w:hideMark/>
          </w:tcPr>
          <w:p w:rsidR="00000000" w:rsidRDefault="00BE60E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533959960"/>
        </w:trPr>
        <w:tc>
          <w:tcPr>
            <w:tcW w:w="0" w:type="auto"/>
            <w:gridSpan w:val="3"/>
            <w:tcMar>
              <w:top w:w="30" w:type="dxa"/>
              <w:left w:w="20" w:type="dxa"/>
              <w:bottom w:w="30" w:type="dxa"/>
              <w:right w:w="20" w:type="dxa"/>
            </w:tcMar>
            <w:hideMark/>
          </w:tcPr>
          <w:p w:rsidR="00000000" w:rsidRDefault="00BE60E9">
            <w:pPr>
              <w:spacing w:after="100"/>
              <w:divId w:val="435366622"/>
              <w:rPr>
                <w:rFonts w:eastAsia="Times New Roman"/>
              </w:rPr>
            </w:pPr>
            <w:hyperlink w:anchor="i7b9367ce46184e39981dde9cbe7aec07_100" w:history="1">
              <w:r>
                <w:rPr>
                  <w:rStyle w:val="a3"/>
                  <w:rFonts w:eastAsia="Times New Roman"/>
                  <w:sz w:val="20"/>
                  <w:szCs w:val="20"/>
                </w:rPr>
                <w:t>Item 1A. Risk Factors</w:t>
              </w:r>
            </w:hyperlink>
          </w:p>
        </w:tc>
        <w:tc>
          <w:tcPr>
            <w:tcW w:w="0" w:type="auto"/>
            <w:gridSpan w:val="3"/>
            <w:tcMar>
              <w:top w:w="30" w:type="dxa"/>
              <w:left w:w="20" w:type="dxa"/>
              <w:bottom w:w="30" w:type="dxa"/>
              <w:right w:w="20" w:type="dxa"/>
            </w:tcMar>
            <w:hideMark/>
          </w:tcPr>
          <w:p w:rsidR="00000000" w:rsidRDefault="00BE60E9">
            <w:pPr>
              <w:spacing w:after="100"/>
              <w:jc w:val="right"/>
              <w:rPr>
                <w:rFonts w:eastAsia="Times New Roman"/>
              </w:rPr>
            </w:pPr>
            <w:hyperlink w:anchor="i7b9367ce46184e39981dde9cbe7aec07_100" w:history="1">
              <w:r>
                <w:rPr>
                  <w:rStyle w:val="a3"/>
                  <w:rFonts w:eastAsia="Times New Roman"/>
                  <w:sz w:val="20"/>
                  <w:szCs w:val="20"/>
                </w:rPr>
                <w:t>54</w:t>
              </w:r>
            </w:hyperlink>
          </w:p>
        </w:tc>
      </w:tr>
      <w:tr w:rsidR="00000000">
        <w:trPr>
          <w:divId w:val="1533959960"/>
          <w:trHeight w:val="60"/>
        </w:trPr>
        <w:tc>
          <w:tcPr>
            <w:tcW w:w="0" w:type="auto"/>
            <w:gridSpan w:val="3"/>
            <w:tcMar>
              <w:top w:w="0" w:type="dxa"/>
              <w:left w:w="20" w:type="dxa"/>
              <w:bottom w:w="0" w:type="dxa"/>
              <w:right w:w="20" w:type="dxa"/>
            </w:tcMar>
            <w:vAlign w:val="center"/>
            <w:hideMark/>
          </w:tcPr>
          <w:p w:rsidR="00000000" w:rsidRDefault="00BE60E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533959960"/>
        </w:trPr>
        <w:tc>
          <w:tcPr>
            <w:tcW w:w="0" w:type="auto"/>
            <w:gridSpan w:val="3"/>
            <w:tcMar>
              <w:top w:w="30" w:type="dxa"/>
              <w:left w:w="20" w:type="dxa"/>
              <w:bottom w:w="30" w:type="dxa"/>
              <w:right w:w="20" w:type="dxa"/>
            </w:tcMar>
            <w:hideMark/>
          </w:tcPr>
          <w:p w:rsidR="00000000" w:rsidRDefault="00BE60E9">
            <w:pPr>
              <w:spacing w:after="100"/>
              <w:divId w:val="389156834"/>
              <w:rPr>
                <w:rFonts w:eastAsia="Times New Roman"/>
              </w:rPr>
            </w:pPr>
            <w:r>
              <w:rPr>
                <w:rFonts w:eastAsia="Times New Roman"/>
                <w:color w:val="0000FF"/>
                <w:sz w:val="20"/>
                <w:szCs w:val="20"/>
                <w:u w:val="single"/>
              </w:rPr>
              <w:lastRenderedPageBreak/>
              <w:t>Item 2. Unregistered Sales of Equity Securities and Use of Proceeds</w:t>
            </w:r>
          </w:p>
        </w:tc>
        <w:tc>
          <w:tcPr>
            <w:tcW w:w="0" w:type="auto"/>
            <w:gridSpan w:val="3"/>
            <w:tcMar>
              <w:top w:w="30" w:type="dxa"/>
              <w:left w:w="20" w:type="dxa"/>
              <w:bottom w:w="30" w:type="dxa"/>
              <w:right w:w="20" w:type="dxa"/>
            </w:tcMar>
            <w:hideMark/>
          </w:tcPr>
          <w:p w:rsidR="00000000" w:rsidRDefault="00BE60E9">
            <w:pPr>
              <w:spacing w:after="100"/>
              <w:jc w:val="right"/>
              <w:rPr>
                <w:rFonts w:eastAsia="Times New Roman"/>
              </w:rPr>
            </w:pPr>
            <w:hyperlink w:anchor="i7b9367ce46184e39981dde9cbe7aec07_939" w:history="1">
              <w:r>
                <w:rPr>
                  <w:rStyle w:val="a3"/>
                  <w:rFonts w:eastAsia="Times New Roman"/>
                  <w:sz w:val="20"/>
                  <w:szCs w:val="20"/>
                </w:rPr>
                <w:t>54</w:t>
              </w:r>
            </w:hyperlink>
          </w:p>
        </w:tc>
      </w:tr>
      <w:tr w:rsidR="00000000">
        <w:trPr>
          <w:divId w:val="1533959960"/>
          <w:trHeight w:val="60"/>
        </w:trPr>
        <w:tc>
          <w:tcPr>
            <w:tcW w:w="0" w:type="auto"/>
            <w:gridSpan w:val="3"/>
            <w:tcMar>
              <w:top w:w="0" w:type="dxa"/>
              <w:left w:w="20" w:type="dxa"/>
              <w:bottom w:w="0" w:type="dxa"/>
              <w:right w:w="20" w:type="dxa"/>
            </w:tcMar>
            <w:vAlign w:val="center"/>
            <w:hideMark/>
          </w:tcPr>
          <w:p w:rsidR="00000000" w:rsidRDefault="00BE60E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533959960"/>
        </w:trPr>
        <w:tc>
          <w:tcPr>
            <w:tcW w:w="0" w:type="auto"/>
            <w:gridSpan w:val="3"/>
            <w:tcMar>
              <w:top w:w="30" w:type="dxa"/>
              <w:left w:w="20" w:type="dxa"/>
              <w:bottom w:w="30" w:type="dxa"/>
              <w:right w:w="20" w:type="dxa"/>
            </w:tcMar>
            <w:hideMark/>
          </w:tcPr>
          <w:p w:rsidR="00000000" w:rsidRDefault="00BE60E9">
            <w:pPr>
              <w:spacing w:after="100"/>
              <w:divId w:val="1617830839"/>
              <w:rPr>
                <w:rFonts w:eastAsia="Times New Roman"/>
              </w:rPr>
            </w:pPr>
            <w:hyperlink w:anchor="i7b9367ce46184e39981dde9cbe7aec07_103" w:history="1">
              <w:r>
                <w:rPr>
                  <w:rStyle w:val="a3"/>
                  <w:rFonts w:eastAsia="Times New Roman"/>
                  <w:sz w:val="20"/>
                  <w:szCs w:val="20"/>
                </w:rPr>
                <w:t>Item 6. Exhibits</w:t>
              </w:r>
            </w:hyperlink>
          </w:p>
        </w:tc>
        <w:tc>
          <w:tcPr>
            <w:tcW w:w="0" w:type="auto"/>
            <w:gridSpan w:val="3"/>
            <w:tcMar>
              <w:top w:w="30" w:type="dxa"/>
              <w:left w:w="20" w:type="dxa"/>
              <w:bottom w:w="30" w:type="dxa"/>
              <w:right w:w="20" w:type="dxa"/>
            </w:tcMar>
            <w:hideMark/>
          </w:tcPr>
          <w:p w:rsidR="00000000" w:rsidRDefault="00BE60E9">
            <w:pPr>
              <w:spacing w:after="100"/>
              <w:jc w:val="right"/>
              <w:rPr>
                <w:rFonts w:eastAsia="Times New Roman"/>
              </w:rPr>
            </w:pPr>
            <w:hyperlink w:anchor="i7b9367ce46184e39981dde9cbe7aec07_103" w:history="1">
              <w:r>
                <w:rPr>
                  <w:rStyle w:val="a3"/>
                  <w:rFonts w:eastAsia="Times New Roman"/>
                  <w:sz w:val="20"/>
                  <w:szCs w:val="20"/>
                </w:rPr>
                <w:t>55</w:t>
              </w:r>
            </w:hyperlink>
          </w:p>
        </w:tc>
      </w:tr>
      <w:tr w:rsidR="00000000">
        <w:trPr>
          <w:divId w:val="1533959960"/>
          <w:trHeight w:val="60"/>
        </w:trPr>
        <w:tc>
          <w:tcPr>
            <w:tcW w:w="0" w:type="auto"/>
            <w:gridSpan w:val="3"/>
            <w:tcMar>
              <w:top w:w="0" w:type="dxa"/>
              <w:left w:w="20" w:type="dxa"/>
              <w:bottom w:w="0" w:type="dxa"/>
              <w:right w:w="20" w:type="dxa"/>
            </w:tcMar>
            <w:vAlign w:val="center"/>
            <w:hideMark/>
          </w:tcPr>
          <w:p w:rsidR="00000000" w:rsidRDefault="00BE60E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533959960"/>
        </w:trPr>
        <w:tc>
          <w:tcPr>
            <w:tcW w:w="0" w:type="auto"/>
            <w:gridSpan w:val="3"/>
            <w:tcMar>
              <w:top w:w="30" w:type="dxa"/>
              <w:left w:w="20" w:type="dxa"/>
              <w:bottom w:w="30" w:type="dxa"/>
              <w:right w:w="20" w:type="dxa"/>
            </w:tcMar>
            <w:hideMark/>
          </w:tcPr>
          <w:p w:rsidR="00000000" w:rsidRDefault="00BE60E9">
            <w:pPr>
              <w:spacing w:after="100"/>
              <w:divId w:val="1170410276"/>
              <w:rPr>
                <w:rFonts w:eastAsia="Times New Roman"/>
              </w:rPr>
            </w:pPr>
            <w:hyperlink w:anchor="i7b9367ce46184e39981dde9cbe7aec07_109" w:history="1">
              <w:r>
                <w:rPr>
                  <w:rStyle w:val="a3"/>
                  <w:rFonts w:eastAsia="Times New Roman"/>
                  <w:sz w:val="20"/>
                  <w:szCs w:val="20"/>
                </w:rPr>
                <w:t>Signatures</w:t>
              </w:r>
            </w:hyperlink>
          </w:p>
        </w:tc>
        <w:tc>
          <w:tcPr>
            <w:tcW w:w="0" w:type="auto"/>
            <w:gridSpan w:val="3"/>
            <w:tcMar>
              <w:top w:w="30" w:type="dxa"/>
              <w:left w:w="20" w:type="dxa"/>
              <w:bottom w:w="30" w:type="dxa"/>
              <w:right w:w="20" w:type="dxa"/>
            </w:tcMar>
            <w:hideMark/>
          </w:tcPr>
          <w:p w:rsidR="00000000" w:rsidRDefault="00BE60E9">
            <w:pPr>
              <w:spacing w:after="100"/>
              <w:jc w:val="right"/>
              <w:rPr>
                <w:rFonts w:eastAsia="Times New Roman"/>
              </w:rPr>
            </w:pPr>
            <w:hyperlink w:anchor="i7b9367ce46184e39981dde9cbe7aec07_109" w:history="1">
              <w:r>
                <w:rPr>
                  <w:rStyle w:val="a3"/>
                  <w:rFonts w:eastAsia="Times New Roman"/>
                  <w:sz w:val="20"/>
                  <w:szCs w:val="20"/>
                </w:rPr>
                <w:t>57</w:t>
              </w:r>
            </w:hyperlink>
          </w:p>
        </w:tc>
      </w:tr>
      <w:tr w:rsidR="00000000">
        <w:trPr>
          <w:divId w:val="1533959960"/>
          <w:trHeight w:val="60"/>
        </w:trPr>
        <w:tc>
          <w:tcPr>
            <w:tcW w:w="0" w:type="auto"/>
            <w:gridSpan w:val="3"/>
            <w:tcMar>
              <w:top w:w="0" w:type="dxa"/>
              <w:left w:w="20" w:type="dxa"/>
              <w:bottom w:w="0" w:type="dxa"/>
              <w:right w:w="20" w:type="dxa"/>
            </w:tcMar>
            <w:vAlign w:val="center"/>
            <w:hideMark/>
          </w:tcPr>
          <w:p w:rsidR="00000000" w:rsidRDefault="00BE60E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bl>
    <w:p w:rsidR="00000000" w:rsidRDefault="00BE60E9">
      <w:pPr>
        <w:jc w:val="center"/>
        <w:divId w:val="1126966600"/>
        <w:rPr>
          <w:rFonts w:eastAsia="Times New Roman"/>
        </w:rPr>
      </w:pPr>
      <w:r>
        <w:rPr>
          <w:rFonts w:eastAsia="Times New Roman"/>
          <w:color w:val="000000"/>
          <w:sz w:val="20"/>
          <w:szCs w:val="20"/>
        </w:rPr>
        <w:t>i</w:t>
      </w:r>
    </w:p>
    <w:p w:rsidR="00000000" w:rsidRDefault="00BE60E9">
      <w:pPr>
        <w:rPr>
          <w:rFonts w:eastAsia="Times New Roman"/>
        </w:rPr>
      </w:pPr>
      <w:r>
        <w:rPr>
          <w:rFonts w:eastAsia="Times New Roman"/>
        </w:rPr>
        <w:pict>
          <v:rect id="_x0000_i1026" style="width:0;height:1.5pt" o:hralign="center" o:hrstd="t" o:hr="t" fillcolor="#a0a0a0" stroked="f"/>
        </w:pict>
      </w:r>
    </w:p>
    <w:p w:rsidR="00000000" w:rsidRDefault="00BE60E9">
      <w:pPr>
        <w:divId w:val="1651639533"/>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1156722625"/>
        <w:rPr>
          <w:rFonts w:eastAsia="Times New Roman"/>
        </w:rPr>
      </w:pPr>
    </w:p>
    <w:p w:rsidR="00000000" w:rsidRDefault="00BE60E9">
      <w:pPr>
        <w:divId w:val="2109035030"/>
        <w:rPr>
          <w:rFonts w:eastAsia="Times New Roman"/>
        </w:rPr>
      </w:pPr>
    </w:p>
    <w:p w:rsidR="00000000" w:rsidRDefault="00BE60E9">
      <w:pPr>
        <w:jc w:val="center"/>
        <w:rPr>
          <w:rFonts w:eastAsia="Times New Roman"/>
        </w:rPr>
      </w:pPr>
      <w:r>
        <w:rPr>
          <w:rFonts w:eastAsia="Times New Roman"/>
          <w:b/>
          <w:bCs/>
          <w:color w:val="000000"/>
          <w:sz w:val="20"/>
          <w:szCs w:val="20"/>
        </w:rPr>
        <w:t>GLOSSARY OF TERMS AND ABBREVIATIONS</w:t>
      </w:r>
    </w:p>
    <w:p w:rsidR="00000000" w:rsidRDefault="00BE60E9">
      <w:pPr>
        <w:divId w:val="356272179"/>
        <w:rPr>
          <w:rFonts w:eastAsia="Times New Roman"/>
        </w:rPr>
      </w:pPr>
    </w:p>
    <w:p w:rsidR="00000000" w:rsidRDefault="00BE60E9">
      <w:pPr>
        <w:divId w:val="2010059495"/>
        <w:rPr>
          <w:rFonts w:eastAsia="Times New Roman"/>
        </w:rPr>
      </w:pPr>
      <w:r>
        <w:rPr>
          <w:rFonts w:eastAsia="Times New Roman"/>
          <w:color w:val="000000"/>
          <w:sz w:val="20"/>
          <w:szCs w:val="20"/>
        </w:rPr>
        <w:t>Terms and abbreviations used in this Form 10-Q are defined below:</w:t>
      </w:r>
    </w:p>
    <w:p w:rsidR="00000000" w:rsidRDefault="00BE60E9">
      <w:pPr>
        <w:divId w:val="865171113"/>
        <w:rPr>
          <w:rFonts w:eastAsia="Times New Roman"/>
        </w:rPr>
      </w:pPr>
    </w:p>
    <w:p w:rsidR="00000000" w:rsidRDefault="00BE60E9">
      <w:pPr>
        <w:jc w:val="center"/>
        <w:rPr>
          <w:rFonts w:eastAsia="Times New Roman"/>
        </w:rPr>
      </w:pPr>
      <w:r>
        <w:rPr>
          <w:rFonts w:eastAsia="Times New Roman"/>
          <w:b/>
          <w:bCs/>
          <w:i/>
          <w:iCs/>
          <w:color w:val="000000"/>
          <w:sz w:val="20"/>
          <w:szCs w:val="20"/>
          <w:u w:val="single"/>
        </w:rPr>
        <w:t>UGI Corporation and Related Entiti</w:t>
      </w:r>
      <w:r>
        <w:rPr>
          <w:rFonts w:eastAsia="Times New Roman"/>
          <w:b/>
          <w:bCs/>
          <w:i/>
          <w:iCs/>
          <w:color w:val="000000"/>
          <w:sz w:val="20"/>
          <w:szCs w:val="20"/>
          <w:u w:val="single"/>
        </w:rPr>
        <w:t>es</w:t>
      </w:r>
    </w:p>
    <w:p w:rsidR="00000000" w:rsidRDefault="00BE60E9">
      <w:pPr>
        <w:jc w:val="center"/>
        <w:rPr>
          <w:rFonts w:eastAsia="Times New Roman"/>
        </w:rPr>
      </w:pPr>
    </w:p>
    <w:p w:rsidR="00000000" w:rsidRDefault="00BE60E9">
      <w:pPr>
        <w:jc w:val="both"/>
        <w:divId w:val="1633630106"/>
        <w:rPr>
          <w:rFonts w:eastAsia="Times New Roman"/>
        </w:rPr>
      </w:pPr>
      <w:r>
        <w:rPr>
          <w:rFonts w:eastAsia="Times New Roman"/>
          <w:b/>
          <w:bCs/>
          <w:i/>
          <w:iCs/>
          <w:color w:val="000000"/>
          <w:sz w:val="20"/>
          <w:szCs w:val="20"/>
        </w:rPr>
        <w:t xml:space="preserve">AmeriGas OLP - </w:t>
      </w:r>
      <w:r>
        <w:rPr>
          <w:rFonts w:eastAsia="Times New Roman"/>
          <w:color w:val="000000"/>
          <w:sz w:val="20"/>
          <w:szCs w:val="20"/>
        </w:rPr>
        <w:t>AmeriGas Propane, L.P., the principal operating subsidiary of AmeriGas Partners</w:t>
      </w:r>
    </w:p>
    <w:p w:rsidR="00000000" w:rsidRDefault="00BE60E9">
      <w:pPr>
        <w:jc w:val="both"/>
        <w:divId w:val="788088414"/>
        <w:rPr>
          <w:rFonts w:eastAsia="Times New Roman"/>
        </w:rPr>
      </w:pPr>
      <w:r>
        <w:rPr>
          <w:rFonts w:eastAsia="Times New Roman"/>
          <w:b/>
          <w:bCs/>
          <w:i/>
          <w:iCs/>
          <w:color w:val="000000"/>
          <w:sz w:val="20"/>
          <w:szCs w:val="20"/>
        </w:rPr>
        <w:t>AmeriGas Partners -</w:t>
      </w:r>
      <w:r>
        <w:rPr>
          <w:rFonts w:eastAsia="Times New Roman"/>
          <w:color w:val="000000"/>
          <w:sz w:val="20"/>
          <w:szCs w:val="20"/>
        </w:rPr>
        <w:t xml:space="preserve"> </w:t>
      </w:r>
      <w:r>
        <w:rPr>
          <w:rFonts w:eastAsia="Times New Roman"/>
          <w:color w:val="000000"/>
          <w:sz w:val="20"/>
          <w:szCs w:val="20"/>
        </w:rPr>
        <w:t>AmeriGas Partners, L.P., a Delaware limited partnership and an indirect wholly-owned subsidiary of UGI; also referred to as the “Partnership”</w:t>
      </w:r>
    </w:p>
    <w:p w:rsidR="00000000" w:rsidRDefault="00BE60E9">
      <w:pPr>
        <w:jc w:val="both"/>
        <w:divId w:val="788205871"/>
        <w:rPr>
          <w:rFonts w:eastAsia="Times New Roman"/>
        </w:rPr>
      </w:pPr>
      <w:r>
        <w:rPr>
          <w:rFonts w:eastAsia="Times New Roman"/>
          <w:b/>
          <w:bCs/>
          <w:i/>
          <w:iCs/>
          <w:color w:val="000000"/>
          <w:sz w:val="20"/>
          <w:szCs w:val="20"/>
        </w:rPr>
        <w:t>AmeriGas Propane -</w:t>
      </w:r>
      <w:r>
        <w:rPr>
          <w:rFonts w:eastAsia="Times New Roman"/>
          <w:color w:val="000000"/>
          <w:sz w:val="20"/>
          <w:szCs w:val="20"/>
        </w:rPr>
        <w:t xml:space="preserve"> </w:t>
      </w:r>
      <w:r>
        <w:rPr>
          <w:rFonts w:eastAsia="Times New Roman"/>
          <w:color w:val="000000"/>
          <w:sz w:val="20"/>
          <w:szCs w:val="20"/>
        </w:rPr>
        <w:t>Reportable segment comprising AmeriGas Propane, Inc. and its subsidiaries, including AmeriGas Partners and AmeriGas OLP</w:t>
      </w:r>
    </w:p>
    <w:p w:rsidR="00000000" w:rsidRDefault="00BE60E9">
      <w:pPr>
        <w:jc w:val="both"/>
        <w:divId w:val="843978330"/>
        <w:rPr>
          <w:rFonts w:eastAsia="Times New Roman"/>
        </w:rPr>
      </w:pPr>
      <w:r>
        <w:rPr>
          <w:rFonts w:eastAsia="Times New Roman"/>
          <w:b/>
          <w:bCs/>
          <w:i/>
          <w:iCs/>
          <w:color w:val="000000"/>
          <w:sz w:val="20"/>
          <w:szCs w:val="20"/>
        </w:rPr>
        <w:t>AmeriGas Propane, Inc. -</w:t>
      </w:r>
      <w:r>
        <w:rPr>
          <w:rFonts w:eastAsia="Times New Roman"/>
          <w:color w:val="000000"/>
          <w:sz w:val="20"/>
          <w:szCs w:val="20"/>
        </w:rPr>
        <w:t xml:space="preserve"> A wholly owned second-tier subsidiary of UGI and the general partner of AmeriGas Partners</w:t>
      </w:r>
    </w:p>
    <w:p w:rsidR="00000000" w:rsidRDefault="00BE60E9">
      <w:pPr>
        <w:jc w:val="both"/>
        <w:divId w:val="247346125"/>
        <w:rPr>
          <w:rFonts w:eastAsia="Times New Roman"/>
        </w:rPr>
      </w:pPr>
      <w:r>
        <w:rPr>
          <w:rFonts w:eastAsia="Times New Roman"/>
          <w:b/>
          <w:bCs/>
          <w:i/>
          <w:iCs/>
          <w:color w:val="000000"/>
          <w:sz w:val="20"/>
          <w:szCs w:val="20"/>
        </w:rPr>
        <w:t>AvantiGas -</w:t>
      </w:r>
      <w:r>
        <w:rPr>
          <w:rFonts w:eastAsia="Times New Roman"/>
          <w:color w:val="000000"/>
          <w:sz w:val="20"/>
          <w:szCs w:val="20"/>
        </w:rPr>
        <w:t xml:space="preserve"> AvantiGas</w:t>
      </w:r>
      <w:r>
        <w:rPr>
          <w:rFonts w:eastAsia="Times New Roman"/>
          <w:color w:val="000000"/>
          <w:sz w:val="20"/>
          <w:szCs w:val="20"/>
        </w:rPr>
        <w:t xml:space="preserve"> Limited, an indirect wholly owned subsidiary of UGI International, LLC</w:t>
      </w:r>
    </w:p>
    <w:p w:rsidR="00000000" w:rsidRDefault="00BE60E9">
      <w:pPr>
        <w:jc w:val="both"/>
        <w:divId w:val="1203253679"/>
        <w:rPr>
          <w:rFonts w:eastAsia="Times New Roman"/>
        </w:rPr>
      </w:pPr>
      <w:r>
        <w:rPr>
          <w:rFonts w:eastAsia="Times New Roman"/>
          <w:b/>
          <w:bCs/>
          <w:i/>
          <w:iCs/>
          <w:color w:val="000000"/>
          <w:sz w:val="20"/>
          <w:szCs w:val="20"/>
        </w:rPr>
        <w:t>Company -</w:t>
      </w:r>
      <w:r>
        <w:rPr>
          <w:rFonts w:eastAsia="Times New Roman"/>
          <w:color w:val="000000"/>
          <w:sz w:val="20"/>
          <w:szCs w:val="20"/>
        </w:rPr>
        <w:t xml:space="preserve"> UGI and its consolidated subsidiaries collectively</w:t>
      </w:r>
    </w:p>
    <w:p w:rsidR="00000000" w:rsidRDefault="00BE60E9">
      <w:pPr>
        <w:jc w:val="both"/>
        <w:divId w:val="805007248"/>
        <w:rPr>
          <w:rFonts w:eastAsia="Times New Roman"/>
        </w:rPr>
      </w:pPr>
      <w:r>
        <w:rPr>
          <w:rFonts w:eastAsia="Times New Roman"/>
          <w:b/>
          <w:bCs/>
          <w:i/>
          <w:iCs/>
          <w:color w:val="000000"/>
          <w:sz w:val="20"/>
          <w:szCs w:val="20"/>
        </w:rPr>
        <w:t>DVEP -</w:t>
      </w:r>
      <w:r>
        <w:rPr>
          <w:rFonts w:eastAsia="Times New Roman"/>
          <w:color w:val="000000"/>
          <w:sz w:val="20"/>
          <w:szCs w:val="20"/>
        </w:rPr>
        <w:t xml:space="preserve"> DVEP Investeringen B.V., an indirect wholly owned subsidiary of UGI International, LLC</w:t>
      </w:r>
    </w:p>
    <w:p w:rsidR="00000000" w:rsidRDefault="00BE60E9">
      <w:pPr>
        <w:jc w:val="both"/>
        <w:divId w:val="85083228"/>
        <w:rPr>
          <w:rFonts w:eastAsia="Times New Roman"/>
        </w:rPr>
      </w:pPr>
      <w:r>
        <w:rPr>
          <w:rFonts w:eastAsia="Times New Roman"/>
          <w:b/>
          <w:bCs/>
          <w:i/>
          <w:iCs/>
          <w:color w:val="000000"/>
          <w:sz w:val="20"/>
          <w:szCs w:val="20"/>
        </w:rPr>
        <w:t>Electric Utility -</w:t>
      </w:r>
      <w:r>
        <w:rPr>
          <w:rFonts w:eastAsia="Times New Roman"/>
          <w:color w:val="000000"/>
          <w:sz w:val="20"/>
          <w:szCs w:val="20"/>
        </w:rPr>
        <w:t xml:space="preserve"> UGI Utilit</w:t>
      </w:r>
      <w:r>
        <w:rPr>
          <w:rFonts w:eastAsia="Times New Roman"/>
          <w:color w:val="000000"/>
          <w:sz w:val="20"/>
          <w:szCs w:val="20"/>
        </w:rPr>
        <w:t>ies’ regulated electric distribution utility located in Pennsylvania</w:t>
      </w:r>
    </w:p>
    <w:p w:rsidR="00000000" w:rsidRDefault="00BE60E9">
      <w:pPr>
        <w:jc w:val="both"/>
        <w:divId w:val="200674211"/>
        <w:rPr>
          <w:rFonts w:eastAsia="Times New Roman"/>
        </w:rPr>
      </w:pPr>
      <w:r>
        <w:rPr>
          <w:rFonts w:eastAsia="Times New Roman"/>
          <w:b/>
          <w:bCs/>
          <w:i/>
          <w:iCs/>
          <w:color w:val="000000"/>
          <w:sz w:val="20"/>
          <w:szCs w:val="20"/>
        </w:rPr>
        <w:t>Energy Services -</w:t>
      </w:r>
      <w:r>
        <w:rPr>
          <w:rFonts w:eastAsia="Times New Roman"/>
          <w:color w:val="000000"/>
          <w:sz w:val="20"/>
          <w:szCs w:val="20"/>
        </w:rPr>
        <w:t xml:space="preserve"> UGI Energy Services, LLC, a wholly owned second-tier subsidiary of UGI</w:t>
      </w:r>
    </w:p>
    <w:p w:rsidR="00000000" w:rsidRDefault="00BE60E9">
      <w:pPr>
        <w:jc w:val="both"/>
        <w:divId w:val="2070642382"/>
        <w:rPr>
          <w:rFonts w:eastAsia="Times New Roman"/>
        </w:rPr>
      </w:pPr>
      <w:r>
        <w:rPr>
          <w:rFonts w:eastAsia="Times New Roman"/>
          <w:b/>
          <w:bCs/>
          <w:i/>
          <w:iCs/>
          <w:color w:val="000000"/>
          <w:sz w:val="20"/>
          <w:szCs w:val="20"/>
        </w:rPr>
        <w:t>ESFC -</w:t>
      </w:r>
      <w:r>
        <w:rPr>
          <w:rFonts w:eastAsia="Times New Roman"/>
          <w:color w:val="000000"/>
          <w:sz w:val="20"/>
          <w:szCs w:val="20"/>
        </w:rPr>
        <w:t xml:space="preserve"> Energy Services Funding Corporation, a wholly owned subsidiary of Energy Services</w:t>
      </w:r>
    </w:p>
    <w:p w:rsidR="00000000" w:rsidRDefault="00BE60E9">
      <w:pPr>
        <w:jc w:val="both"/>
        <w:divId w:val="1687830916"/>
        <w:rPr>
          <w:rFonts w:eastAsia="Times New Roman"/>
        </w:rPr>
      </w:pPr>
      <w:r>
        <w:rPr>
          <w:rFonts w:eastAsia="Times New Roman"/>
          <w:b/>
          <w:bCs/>
          <w:i/>
          <w:iCs/>
          <w:color w:val="000000"/>
          <w:sz w:val="20"/>
          <w:szCs w:val="20"/>
        </w:rPr>
        <w:t xml:space="preserve">Flaga - </w:t>
      </w:r>
      <w:r>
        <w:rPr>
          <w:rFonts w:eastAsia="Times New Roman"/>
          <w:color w:val="000000"/>
          <w:sz w:val="20"/>
          <w:szCs w:val="20"/>
        </w:rPr>
        <w:t>F</w:t>
      </w:r>
      <w:r>
        <w:rPr>
          <w:rFonts w:eastAsia="Times New Roman"/>
          <w:color w:val="000000"/>
          <w:sz w:val="20"/>
          <w:szCs w:val="20"/>
        </w:rPr>
        <w:t>laga GmbH, an indirect wholly owned subsidiary of UGI International, LLC</w:t>
      </w:r>
    </w:p>
    <w:p w:rsidR="00000000" w:rsidRDefault="00BE60E9">
      <w:pPr>
        <w:jc w:val="both"/>
        <w:divId w:val="109707598"/>
        <w:rPr>
          <w:rFonts w:eastAsia="Times New Roman"/>
        </w:rPr>
      </w:pPr>
      <w:r>
        <w:rPr>
          <w:rFonts w:eastAsia="Times New Roman"/>
          <w:b/>
          <w:bCs/>
          <w:i/>
          <w:iCs/>
          <w:color w:val="000000"/>
          <w:sz w:val="20"/>
          <w:szCs w:val="20"/>
        </w:rPr>
        <w:t>Gas Utility -</w:t>
      </w:r>
      <w:r>
        <w:rPr>
          <w:rFonts w:eastAsia="Times New Roman"/>
          <w:color w:val="000000"/>
          <w:sz w:val="20"/>
          <w:szCs w:val="20"/>
        </w:rPr>
        <w:t xml:space="preserve"> UGI’s regulated natural gas businesses, inclusive of PA Gas Utility and WV Gas Utility</w:t>
      </w:r>
    </w:p>
    <w:p w:rsidR="00000000" w:rsidRDefault="00BE60E9">
      <w:pPr>
        <w:jc w:val="both"/>
        <w:divId w:val="479612565"/>
        <w:rPr>
          <w:rFonts w:eastAsia="Times New Roman"/>
        </w:rPr>
      </w:pPr>
      <w:r>
        <w:rPr>
          <w:rFonts w:eastAsia="Times New Roman"/>
          <w:b/>
          <w:bCs/>
          <w:i/>
          <w:iCs/>
          <w:color w:val="000000"/>
          <w:sz w:val="20"/>
          <w:szCs w:val="20"/>
        </w:rPr>
        <w:t xml:space="preserve">GHI - </w:t>
      </w:r>
      <w:r>
        <w:rPr>
          <w:rFonts w:eastAsia="Times New Roman"/>
          <w:color w:val="000000"/>
          <w:sz w:val="20"/>
          <w:szCs w:val="20"/>
        </w:rPr>
        <w:t>GHI Energy, LLC, a Houston-based RNG company and indirect wholly owned subsi</w:t>
      </w:r>
      <w:r>
        <w:rPr>
          <w:rFonts w:eastAsia="Times New Roman"/>
          <w:color w:val="000000"/>
          <w:sz w:val="20"/>
          <w:szCs w:val="20"/>
        </w:rPr>
        <w:t>diary of Energy Services</w:t>
      </w:r>
    </w:p>
    <w:p w:rsidR="00000000" w:rsidRDefault="00BE60E9">
      <w:pPr>
        <w:jc w:val="both"/>
        <w:divId w:val="1246261173"/>
        <w:rPr>
          <w:rFonts w:eastAsia="Times New Roman"/>
        </w:rPr>
      </w:pPr>
      <w:r>
        <w:rPr>
          <w:rFonts w:eastAsia="Times New Roman"/>
          <w:b/>
          <w:bCs/>
          <w:i/>
          <w:iCs/>
          <w:color w:val="000000"/>
          <w:sz w:val="20"/>
          <w:szCs w:val="20"/>
        </w:rPr>
        <w:t>Midstream &amp; Marketing -</w:t>
      </w:r>
      <w:r>
        <w:rPr>
          <w:rFonts w:eastAsia="Times New Roman"/>
          <w:color w:val="000000"/>
          <w:sz w:val="20"/>
          <w:szCs w:val="20"/>
        </w:rPr>
        <w:t xml:space="preserve"> Reportable segment comprising Energy Services and UGID</w:t>
      </w:r>
    </w:p>
    <w:p w:rsidR="00000000" w:rsidRDefault="00BE60E9">
      <w:pPr>
        <w:jc w:val="both"/>
        <w:divId w:val="603656355"/>
        <w:rPr>
          <w:rFonts w:eastAsia="Times New Roman"/>
        </w:rPr>
      </w:pPr>
      <w:r>
        <w:rPr>
          <w:rFonts w:eastAsia="Times New Roman"/>
          <w:b/>
          <w:bCs/>
          <w:i/>
          <w:iCs/>
          <w:color w:val="000000"/>
          <w:sz w:val="20"/>
          <w:szCs w:val="20"/>
        </w:rPr>
        <w:t xml:space="preserve">Mountaineer - </w:t>
      </w:r>
      <w:r>
        <w:rPr>
          <w:rFonts w:eastAsia="Times New Roman"/>
          <w:color w:val="000000"/>
          <w:sz w:val="20"/>
          <w:szCs w:val="20"/>
        </w:rPr>
        <w:t>Mountaineer Gas Company, a natural gas distribution company in West Virginia and an indirect wholly owned subsidiary of Mountaintop Energy</w:t>
      </w:r>
      <w:r>
        <w:rPr>
          <w:rFonts w:eastAsia="Times New Roman"/>
          <w:color w:val="000000"/>
          <w:sz w:val="20"/>
          <w:szCs w:val="20"/>
        </w:rPr>
        <w:t xml:space="preserve"> Holdings, LLC</w:t>
      </w:r>
    </w:p>
    <w:p w:rsidR="00000000" w:rsidRDefault="00BE60E9">
      <w:pPr>
        <w:divId w:val="924149410"/>
        <w:rPr>
          <w:rFonts w:eastAsia="Times New Roman"/>
        </w:rPr>
      </w:pPr>
      <w:r>
        <w:rPr>
          <w:rFonts w:eastAsia="Times New Roman"/>
          <w:b/>
          <w:bCs/>
          <w:i/>
          <w:iCs/>
          <w:color w:val="000000"/>
          <w:sz w:val="20"/>
          <w:szCs w:val="20"/>
        </w:rPr>
        <w:t xml:space="preserve">Mountaintop Energy Holdings, LLC - </w:t>
      </w:r>
      <w:r>
        <w:rPr>
          <w:rFonts w:eastAsia="Times New Roman"/>
          <w:color w:val="000000"/>
          <w:sz w:val="20"/>
          <w:szCs w:val="20"/>
        </w:rPr>
        <w:t>Indirect parent company of Mountaineer and wholly owned subsidiary of UGI, acquired on September 1, 2021</w:t>
      </w:r>
    </w:p>
    <w:p w:rsidR="00000000" w:rsidRDefault="00BE60E9">
      <w:pPr>
        <w:divId w:val="138958260"/>
        <w:rPr>
          <w:rFonts w:eastAsia="Times New Roman"/>
        </w:rPr>
      </w:pPr>
      <w:r>
        <w:rPr>
          <w:rFonts w:eastAsia="Times New Roman"/>
          <w:b/>
          <w:bCs/>
          <w:i/>
          <w:iCs/>
          <w:color w:val="000000"/>
          <w:sz w:val="20"/>
          <w:szCs w:val="20"/>
        </w:rPr>
        <w:t xml:space="preserve">PA Gas Utility - </w:t>
      </w:r>
      <w:r>
        <w:rPr>
          <w:rFonts w:eastAsia="Times New Roman"/>
          <w:color w:val="000000"/>
          <w:sz w:val="20"/>
          <w:szCs w:val="20"/>
        </w:rPr>
        <w:t>UGI Utilities’ regulated natural gas distribution business, primarily located in Pen</w:t>
      </w:r>
      <w:r>
        <w:rPr>
          <w:rFonts w:eastAsia="Times New Roman"/>
          <w:color w:val="000000"/>
          <w:sz w:val="20"/>
          <w:szCs w:val="20"/>
        </w:rPr>
        <w:t>nsylvania</w:t>
      </w:r>
    </w:p>
    <w:p w:rsidR="00000000" w:rsidRDefault="00BE60E9">
      <w:pPr>
        <w:divId w:val="253250052"/>
        <w:rPr>
          <w:rFonts w:eastAsia="Times New Roman"/>
        </w:rPr>
      </w:pPr>
      <w:r>
        <w:rPr>
          <w:rFonts w:eastAsia="Times New Roman"/>
          <w:b/>
          <w:bCs/>
          <w:i/>
          <w:iCs/>
          <w:color w:val="000000"/>
          <w:sz w:val="20"/>
          <w:szCs w:val="20"/>
        </w:rPr>
        <w:t>Partnership -</w:t>
      </w:r>
      <w:r>
        <w:rPr>
          <w:rFonts w:eastAsia="Times New Roman"/>
          <w:color w:val="000000"/>
          <w:sz w:val="20"/>
          <w:szCs w:val="20"/>
        </w:rPr>
        <w:t xml:space="preserve"> AmeriGas Partners and its consolidated subsidiaries, including AmeriGas OLP; also referred to as “AmeriGas Partners”</w:t>
      </w:r>
    </w:p>
    <w:p w:rsidR="00000000" w:rsidRDefault="00BE60E9">
      <w:pPr>
        <w:divId w:val="725572557"/>
        <w:rPr>
          <w:rFonts w:eastAsia="Times New Roman"/>
        </w:rPr>
      </w:pPr>
      <w:r>
        <w:rPr>
          <w:rFonts w:eastAsia="Times New Roman"/>
          <w:b/>
          <w:bCs/>
          <w:i/>
          <w:iCs/>
          <w:color w:val="000000"/>
          <w:sz w:val="20"/>
          <w:szCs w:val="20"/>
        </w:rPr>
        <w:lastRenderedPageBreak/>
        <w:t>Pennant -</w:t>
      </w:r>
      <w:r>
        <w:rPr>
          <w:rFonts w:eastAsia="Times New Roman"/>
          <w:color w:val="000000"/>
          <w:sz w:val="20"/>
          <w:szCs w:val="20"/>
        </w:rPr>
        <w:t xml:space="preserve"> Pennant Midstream, LLC, a Delaware limited liability corporation</w:t>
      </w:r>
    </w:p>
    <w:p w:rsidR="00000000" w:rsidRDefault="00BE60E9">
      <w:pPr>
        <w:divId w:val="1816532389"/>
        <w:rPr>
          <w:rFonts w:eastAsia="Times New Roman"/>
        </w:rPr>
      </w:pPr>
      <w:r>
        <w:rPr>
          <w:rFonts w:eastAsia="Times New Roman"/>
          <w:b/>
          <w:bCs/>
          <w:i/>
          <w:iCs/>
          <w:color w:val="000000"/>
          <w:sz w:val="20"/>
          <w:szCs w:val="20"/>
        </w:rPr>
        <w:t>PennEast -</w:t>
      </w:r>
      <w:r>
        <w:rPr>
          <w:rFonts w:eastAsia="Times New Roman"/>
          <w:color w:val="000000"/>
          <w:sz w:val="20"/>
          <w:szCs w:val="20"/>
        </w:rPr>
        <w:t xml:space="preserve"> PennEast Pipeline Company, LL</w:t>
      </w:r>
      <w:r>
        <w:rPr>
          <w:rFonts w:eastAsia="Times New Roman"/>
          <w:color w:val="000000"/>
          <w:sz w:val="20"/>
          <w:szCs w:val="20"/>
        </w:rPr>
        <w:t>C</w:t>
      </w:r>
    </w:p>
    <w:p w:rsidR="00000000" w:rsidRDefault="00BE60E9">
      <w:pPr>
        <w:jc w:val="both"/>
        <w:divId w:val="1478693159"/>
        <w:rPr>
          <w:rFonts w:eastAsia="Times New Roman"/>
        </w:rPr>
      </w:pPr>
      <w:r>
        <w:rPr>
          <w:rFonts w:eastAsia="Times New Roman"/>
          <w:b/>
          <w:bCs/>
          <w:i/>
          <w:iCs/>
          <w:color w:val="000000"/>
          <w:sz w:val="20"/>
          <w:szCs w:val="20"/>
        </w:rPr>
        <w:t xml:space="preserve">Pine Run </w:t>
      </w:r>
      <w:r>
        <w:rPr>
          <w:rFonts w:eastAsia="Times New Roman"/>
          <w:color w:val="000000"/>
          <w:sz w:val="20"/>
          <w:szCs w:val="20"/>
        </w:rPr>
        <w:t>- Pine Run Gathering, LLC</w:t>
      </w:r>
    </w:p>
    <w:p w:rsidR="00000000" w:rsidRDefault="00BE60E9">
      <w:pPr>
        <w:jc w:val="both"/>
        <w:divId w:val="407465596"/>
        <w:rPr>
          <w:rFonts w:eastAsia="Times New Roman"/>
        </w:rPr>
      </w:pPr>
      <w:r>
        <w:rPr>
          <w:rFonts w:eastAsia="Times New Roman"/>
          <w:b/>
          <w:bCs/>
          <w:i/>
          <w:iCs/>
          <w:color w:val="000000"/>
          <w:sz w:val="20"/>
          <w:szCs w:val="20"/>
        </w:rPr>
        <w:t>Stonehenge</w:t>
      </w:r>
      <w:r>
        <w:rPr>
          <w:rFonts w:eastAsia="Times New Roman"/>
          <w:color w:val="000000"/>
          <w:sz w:val="20"/>
          <w:szCs w:val="20"/>
        </w:rPr>
        <w:t xml:space="preserve"> - Stonehenge Appalachia, LLC, a midstream natural gas gathering business, which includes 47 miles of pipeline and associated compression assets</w:t>
      </w:r>
    </w:p>
    <w:p w:rsidR="00000000" w:rsidRDefault="00BE60E9">
      <w:pPr>
        <w:jc w:val="both"/>
        <w:divId w:val="754058981"/>
        <w:rPr>
          <w:rFonts w:eastAsia="Times New Roman"/>
        </w:rPr>
      </w:pPr>
      <w:r>
        <w:rPr>
          <w:rFonts w:eastAsia="Times New Roman"/>
          <w:b/>
          <w:bCs/>
          <w:i/>
          <w:iCs/>
          <w:color w:val="000000"/>
          <w:sz w:val="20"/>
          <w:szCs w:val="20"/>
        </w:rPr>
        <w:t>UGI</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UGI Corporation or, collectively, UGI Corporation and its </w:t>
      </w:r>
      <w:r>
        <w:rPr>
          <w:rFonts w:eastAsia="Times New Roman"/>
          <w:color w:val="000000"/>
          <w:sz w:val="20"/>
          <w:szCs w:val="20"/>
        </w:rPr>
        <w:t>consolidated subsidiaries</w:t>
      </w:r>
    </w:p>
    <w:p w:rsidR="00000000" w:rsidRDefault="00BE60E9">
      <w:pPr>
        <w:jc w:val="both"/>
        <w:divId w:val="258104486"/>
        <w:rPr>
          <w:rFonts w:eastAsia="Times New Roman"/>
        </w:rPr>
      </w:pPr>
      <w:r>
        <w:rPr>
          <w:rFonts w:eastAsia="Times New Roman"/>
          <w:b/>
          <w:bCs/>
          <w:i/>
          <w:iCs/>
          <w:color w:val="000000"/>
          <w:sz w:val="20"/>
          <w:szCs w:val="20"/>
        </w:rPr>
        <w:t xml:space="preserve">UGI France - </w:t>
      </w:r>
      <w:r>
        <w:rPr>
          <w:rFonts w:eastAsia="Times New Roman"/>
          <w:color w:val="000000"/>
          <w:sz w:val="20"/>
          <w:szCs w:val="20"/>
        </w:rPr>
        <w:t>UGI France SAS (</w:t>
      </w:r>
      <w:r>
        <w:rPr>
          <w:rFonts w:eastAsia="Times New Roman"/>
          <w:i/>
          <w:iCs/>
          <w:color w:val="000000"/>
          <w:sz w:val="20"/>
          <w:szCs w:val="20"/>
        </w:rPr>
        <w:t>a Société par actions simplifiée</w:t>
      </w:r>
      <w:r>
        <w:rPr>
          <w:rFonts w:eastAsia="Times New Roman"/>
          <w:color w:val="000000"/>
          <w:sz w:val="20"/>
          <w:szCs w:val="20"/>
        </w:rPr>
        <w:t>), an indirect wholly owned subsidiary of UGI International, LLC</w:t>
      </w:r>
    </w:p>
    <w:p w:rsidR="00000000" w:rsidRDefault="00BE60E9">
      <w:pPr>
        <w:jc w:val="both"/>
        <w:divId w:val="1965843141"/>
        <w:rPr>
          <w:rFonts w:eastAsia="Times New Roman"/>
        </w:rPr>
      </w:pPr>
      <w:r>
        <w:rPr>
          <w:rFonts w:eastAsia="Times New Roman"/>
          <w:b/>
          <w:bCs/>
          <w:i/>
          <w:iCs/>
          <w:color w:val="000000"/>
          <w:sz w:val="20"/>
          <w:szCs w:val="20"/>
        </w:rPr>
        <w:t>UGI International</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w:t>
      </w:r>
      <w:r>
        <w:rPr>
          <w:rFonts w:eastAsia="Times New Roman"/>
          <w:color w:val="000000"/>
          <w:sz w:val="20"/>
          <w:szCs w:val="20"/>
        </w:rPr>
        <w:t>Reportable segment principally comprising UGI’s foreign operations</w:t>
      </w:r>
    </w:p>
    <w:p w:rsidR="00000000" w:rsidRDefault="00BE60E9">
      <w:pPr>
        <w:jc w:val="center"/>
        <w:divId w:val="1169906293"/>
        <w:rPr>
          <w:rFonts w:eastAsia="Times New Roman"/>
        </w:rPr>
      </w:pPr>
      <w:r>
        <w:rPr>
          <w:rFonts w:eastAsia="Times New Roman"/>
          <w:color w:val="000000"/>
          <w:sz w:val="20"/>
          <w:szCs w:val="20"/>
        </w:rPr>
        <w:t>1</w:t>
      </w:r>
    </w:p>
    <w:p w:rsidR="00000000" w:rsidRDefault="00BE60E9">
      <w:pPr>
        <w:rPr>
          <w:rFonts w:eastAsia="Times New Roman"/>
        </w:rPr>
      </w:pPr>
      <w:r>
        <w:rPr>
          <w:rFonts w:eastAsia="Times New Roman"/>
        </w:rPr>
        <w:pict>
          <v:rect id="_x0000_i1027" style="width:0;height:1.5pt" o:hralign="center" o:hrstd="t" o:hr="t" fillcolor="#a0a0a0" stroked="f"/>
        </w:pict>
      </w:r>
    </w:p>
    <w:p w:rsidR="00000000" w:rsidRDefault="00BE60E9">
      <w:pPr>
        <w:divId w:val="1992825557"/>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148715403"/>
        <w:rPr>
          <w:rFonts w:eastAsia="Times New Roman"/>
        </w:rPr>
      </w:pPr>
    </w:p>
    <w:p w:rsidR="00000000" w:rsidRDefault="00BE60E9">
      <w:pPr>
        <w:divId w:val="2011563652"/>
        <w:rPr>
          <w:rFonts w:eastAsia="Times New Roman"/>
        </w:rPr>
      </w:pPr>
    </w:p>
    <w:p w:rsidR="00000000" w:rsidRDefault="00BE60E9">
      <w:pPr>
        <w:jc w:val="both"/>
        <w:divId w:val="1844125029"/>
        <w:rPr>
          <w:rFonts w:eastAsia="Times New Roman"/>
        </w:rPr>
      </w:pPr>
      <w:r>
        <w:rPr>
          <w:rFonts w:eastAsia="Times New Roman"/>
          <w:b/>
          <w:bCs/>
          <w:i/>
          <w:iCs/>
          <w:color w:val="000000"/>
          <w:sz w:val="20"/>
          <w:szCs w:val="20"/>
        </w:rPr>
        <w:t>UGI International, LLC</w:t>
      </w:r>
      <w:r>
        <w:rPr>
          <w:rFonts w:eastAsia="Times New Roman"/>
          <w:color w:val="000000"/>
          <w:sz w:val="20"/>
          <w:szCs w:val="20"/>
        </w:rPr>
        <w:t xml:space="preserve"> </w:t>
      </w:r>
      <w:r>
        <w:rPr>
          <w:rFonts w:eastAsia="Times New Roman"/>
          <w:b/>
          <w:bCs/>
          <w:i/>
          <w:iCs/>
          <w:color w:val="000000"/>
          <w:sz w:val="20"/>
          <w:szCs w:val="20"/>
        </w:rPr>
        <w:t xml:space="preserve">- </w:t>
      </w:r>
      <w:r>
        <w:rPr>
          <w:rFonts w:eastAsia="Times New Roman"/>
          <w:color w:val="000000"/>
          <w:sz w:val="20"/>
          <w:szCs w:val="20"/>
        </w:rPr>
        <w:t>UGI International, LLC, a wholly owned second-tier subsidiary of UGI</w:t>
      </w:r>
    </w:p>
    <w:p w:rsidR="00000000" w:rsidRDefault="00BE60E9">
      <w:pPr>
        <w:jc w:val="both"/>
        <w:divId w:val="1238705645"/>
        <w:rPr>
          <w:rFonts w:eastAsia="Times New Roman"/>
        </w:rPr>
      </w:pPr>
      <w:r>
        <w:rPr>
          <w:rFonts w:eastAsia="Times New Roman"/>
          <w:b/>
          <w:bCs/>
          <w:i/>
          <w:iCs/>
          <w:color w:val="000000"/>
          <w:sz w:val="20"/>
          <w:szCs w:val="20"/>
        </w:rPr>
        <w:t>UGI Moraine East -</w:t>
      </w:r>
      <w:r>
        <w:rPr>
          <w:rFonts w:eastAsia="Times New Roman"/>
          <w:color w:val="000000"/>
          <w:sz w:val="20"/>
          <w:szCs w:val="20"/>
        </w:rPr>
        <w:t xml:space="preserve"> UGI Moraine East Gathering LLC, a wholly owned subsidiary comprising the assets acquired in the Stonehenge Acquisition</w:t>
      </w:r>
    </w:p>
    <w:p w:rsidR="00000000" w:rsidRDefault="00BE60E9">
      <w:pPr>
        <w:jc w:val="both"/>
        <w:divId w:val="372924100"/>
        <w:rPr>
          <w:rFonts w:eastAsia="Times New Roman"/>
        </w:rPr>
      </w:pPr>
      <w:r>
        <w:rPr>
          <w:rFonts w:eastAsia="Times New Roman"/>
          <w:b/>
          <w:bCs/>
          <w:i/>
          <w:iCs/>
          <w:color w:val="000000"/>
          <w:sz w:val="20"/>
          <w:szCs w:val="20"/>
        </w:rPr>
        <w:t>UGI PennEast, LLC -</w:t>
      </w:r>
      <w:r>
        <w:rPr>
          <w:rFonts w:eastAsia="Times New Roman"/>
          <w:color w:val="000000"/>
          <w:sz w:val="20"/>
          <w:szCs w:val="20"/>
        </w:rPr>
        <w:t xml:space="preserve"> A wholly owned subsidiary of </w:t>
      </w:r>
      <w:r>
        <w:rPr>
          <w:rFonts w:eastAsia="Times New Roman"/>
          <w:color w:val="000000"/>
          <w:sz w:val="20"/>
          <w:szCs w:val="20"/>
        </w:rPr>
        <w:t>Energy Services that holds a 20% membership interest in PennEast</w:t>
      </w:r>
    </w:p>
    <w:p w:rsidR="00000000" w:rsidRDefault="00BE60E9">
      <w:pPr>
        <w:jc w:val="both"/>
        <w:divId w:val="402990340"/>
        <w:rPr>
          <w:rFonts w:eastAsia="Times New Roman"/>
        </w:rPr>
      </w:pPr>
      <w:r>
        <w:rPr>
          <w:rFonts w:eastAsia="Times New Roman"/>
          <w:b/>
          <w:bCs/>
          <w:i/>
          <w:iCs/>
          <w:color w:val="000000"/>
          <w:sz w:val="20"/>
          <w:szCs w:val="20"/>
        </w:rPr>
        <w:t>UGI Utilities -</w:t>
      </w:r>
      <w:r>
        <w:rPr>
          <w:rFonts w:eastAsia="Times New Roman"/>
          <w:color w:val="000000"/>
          <w:sz w:val="20"/>
          <w:szCs w:val="20"/>
        </w:rPr>
        <w:t xml:space="preserve"> UGI Utilities, Inc., a wholly owned subsidiary of UGI comprising PA Gas Utility and Electric Utility</w:t>
      </w:r>
    </w:p>
    <w:p w:rsidR="00000000" w:rsidRDefault="00BE60E9">
      <w:pPr>
        <w:jc w:val="both"/>
        <w:divId w:val="432626234"/>
        <w:rPr>
          <w:rFonts w:eastAsia="Times New Roman"/>
        </w:rPr>
      </w:pPr>
      <w:r>
        <w:rPr>
          <w:rFonts w:eastAsia="Times New Roman"/>
          <w:b/>
          <w:bCs/>
          <w:i/>
          <w:iCs/>
          <w:color w:val="000000"/>
          <w:sz w:val="20"/>
          <w:szCs w:val="20"/>
        </w:rPr>
        <w:t>UGID -</w:t>
      </w:r>
      <w:r>
        <w:rPr>
          <w:rFonts w:eastAsia="Times New Roman"/>
          <w:color w:val="000000"/>
          <w:sz w:val="20"/>
          <w:szCs w:val="20"/>
        </w:rPr>
        <w:t xml:space="preserve"> UGI Development Company, a wholly owned subsidiary of Energy Servic</w:t>
      </w:r>
      <w:r>
        <w:rPr>
          <w:rFonts w:eastAsia="Times New Roman"/>
          <w:color w:val="000000"/>
          <w:sz w:val="20"/>
          <w:szCs w:val="20"/>
        </w:rPr>
        <w:t>es</w:t>
      </w:r>
    </w:p>
    <w:p w:rsidR="00000000" w:rsidRDefault="00BE60E9">
      <w:pPr>
        <w:jc w:val="both"/>
        <w:divId w:val="191693001"/>
        <w:rPr>
          <w:rFonts w:eastAsia="Times New Roman"/>
        </w:rPr>
      </w:pPr>
      <w:r>
        <w:rPr>
          <w:rFonts w:eastAsia="Times New Roman"/>
          <w:b/>
          <w:bCs/>
          <w:i/>
          <w:iCs/>
          <w:color w:val="000000"/>
          <w:sz w:val="20"/>
          <w:szCs w:val="20"/>
        </w:rPr>
        <w:t>UniverGas -</w:t>
      </w:r>
      <w:r>
        <w:rPr>
          <w:rFonts w:eastAsia="Times New Roman"/>
          <w:color w:val="000000"/>
          <w:sz w:val="20"/>
          <w:szCs w:val="20"/>
        </w:rPr>
        <w:t xml:space="preserve"> UniverGas Italia S.r.l, an indirect wholly owned subsidiary of UGI International, LLC</w:t>
      </w:r>
    </w:p>
    <w:p w:rsidR="00000000" w:rsidRDefault="00BE60E9">
      <w:pPr>
        <w:jc w:val="both"/>
        <w:divId w:val="396248043"/>
        <w:rPr>
          <w:rFonts w:eastAsia="Times New Roman"/>
        </w:rPr>
      </w:pPr>
      <w:r>
        <w:rPr>
          <w:rFonts w:eastAsia="Times New Roman"/>
          <w:b/>
          <w:bCs/>
          <w:i/>
          <w:iCs/>
          <w:color w:val="000000"/>
          <w:sz w:val="20"/>
          <w:szCs w:val="20"/>
        </w:rPr>
        <w:t xml:space="preserve">Utilities - </w:t>
      </w:r>
      <w:r>
        <w:rPr>
          <w:rFonts w:eastAsia="Times New Roman"/>
          <w:color w:val="000000"/>
          <w:sz w:val="20"/>
          <w:szCs w:val="20"/>
        </w:rPr>
        <w:t>Reportable segment comprising UGI Utilities and Mountaintop Energy Holdings, LLC</w:t>
      </w:r>
    </w:p>
    <w:p w:rsidR="00000000" w:rsidRDefault="00BE60E9">
      <w:pPr>
        <w:jc w:val="both"/>
        <w:divId w:val="811218845"/>
        <w:rPr>
          <w:rFonts w:eastAsia="Times New Roman"/>
        </w:rPr>
      </w:pPr>
      <w:r>
        <w:rPr>
          <w:rFonts w:eastAsia="Times New Roman"/>
          <w:b/>
          <w:bCs/>
          <w:i/>
          <w:iCs/>
          <w:color w:val="000000"/>
          <w:sz w:val="20"/>
          <w:szCs w:val="20"/>
        </w:rPr>
        <w:t>WV Gas Utility</w:t>
      </w:r>
      <w:r>
        <w:rPr>
          <w:rFonts w:eastAsia="Times New Roman"/>
          <w:color w:val="000000"/>
          <w:sz w:val="20"/>
          <w:szCs w:val="20"/>
        </w:rPr>
        <w:t xml:space="preserve"> - Mountaineer’s regulated natural gas distribut</w:t>
      </w:r>
      <w:r>
        <w:rPr>
          <w:rFonts w:eastAsia="Times New Roman"/>
          <w:color w:val="000000"/>
          <w:sz w:val="20"/>
          <w:szCs w:val="20"/>
        </w:rPr>
        <w:t>ion business, located in West Virginia</w:t>
      </w:r>
    </w:p>
    <w:p w:rsidR="00000000" w:rsidRDefault="00BE60E9">
      <w:pPr>
        <w:jc w:val="center"/>
        <w:divId w:val="717172072"/>
        <w:rPr>
          <w:rFonts w:eastAsia="Times New Roman"/>
        </w:rPr>
      </w:pPr>
      <w:r>
        <w:rPr>
          <w:rFonts w:eastAsia="Times New Roman"/>
          <w:b/>
          <w:bCs/>
          <w:i/>
          <w:iCs/>
          <w:color w:val="000000"/>
          <w:sz w:val="20"/>
          <w:szCs w:val="20"/>
          <w:u w:val="single"/>
        </w:rPr>
        <w:t>Other Terms and Abbreviations</w:t>
      </w:r>
    </w:p>
    <w:p w:rsidR="00000000" w:rsidRDefault="00BE60E9">
      <w:pPr>
        <w:jc w:val="both"/>
        <w:divId w:val="392848396"/>
        <w:rPr>
          <w:rFonts w:eastAsia="Times New Roman"/>
        </w:rPr>
      </w:pPr>
      <w:r>
        <w:rPr>
          <w:rFonts w:eastAsia="Times New Roman"/>
          <w:b/>
          <w:bCs/>
          <w:i/>
          <w:iCs/>
          <w:color w:val="000000"/>
          <w:sz w:val="20"/>
          <w:szCs w:val="20"/>
        </w:rPr>
        <w:t>4.75% Senior Note</w:t>
      </w:r>
      <w:r>
        <w:rPr>
          <w:rFonts w:eastAsia="Times New Roman"/>
          <w:color w:val="000000"/>
          <w:sz w:val="20"/>
          <w:szCs w:val="20"/>
        </w:rPr>
        <w:t xml:space="preserve"> - A private placement of $90 million principal amount of senior notes due July 2032, issued by UGI Utilities</w:t>
      </w:r>
    </w:p>
    <w:p w:rsidR="00000000" w:rsidRDefault="00BE60E9">
      <w:pPr>
        <w:jc w:val="both"/>
        <w:divId w:val="1196385545"/>
        <w:rPr>
          <w:rFonts w:eastAsia="Times New Roman"/>
        </w:rPr>
      </w:pPr>
      <w:r>
        <w:rPr>
          <w:rFonts w:eastAsia="Times New Roman"/>
          <w:b/>
          <w:bCs/>
          <w:i/>
          <w:iCs/>
          <w:color w:val="000000"/>
          <w:sz w:val="20"/>
          <w:szCs w:val="20"/>
        </w:rPr>
        <w:t xml:space="preserve">4.99% Senior Note </w:t>
      </w:r>
      <w:r>
        <w:rPr>
          <w:rFonts w:eastAsia="Times New Roman"/>
          <w:color w:val="000000"/>
          <w:sz w:val="20"/>
          <w:szCs w:val="20"/>
        </w:rPr>
        <w:t>- A private placement of $85 million princ</w:t>
      </w:r>
      <w:r>
        <w:rPr>
          <w:rFonts w:eastAsia="Times New Roman"/>
          <w:color w:val="000000"/>
          <w:sz w:val="20"/>
          <w:szCs w:val="20"/>
        </w:rPr>
        <w:t>ipal amount of senior notes due September 2052, to be issued by UGI Utilities on or before September 15, 2022</w:t>
      </w:r>
    </w:p>
    <w:p w:rsidR="00000000" w:rsidRDefault="00BE60E9">
      <w:pPr>
        <w:jc w:val="both"/>
        <w:divId w:val="1056395437"/>
        <w:rPr>
          <w:rFonts w:eastAsia="Times New Roman"/>
        </w:rPr>
      </w:pPr>
      <w:r>
        <w:rPr>
          <w:rFonts w:eastAsia="Times New Roman"/>
          <w:b/>
          <w:bCs/>
          <w:i/>
          <w:iCs/>
          <w:color w:val="000000"/>
          <w:sz w:val="20"/>
          <w:szCs w:val="20"/>
        </w:rPr>
        <w:t>4.49% Senior Note</w:t>
      </w:r>
      <w:r>
        <w:rPr>
          <w:rFonts w:eastAsia="Times New Roman"/>
          <w:color w:val="000000"/>
          <w:sz w:val="20"/>
          <w:szCs w:val="20"/>
        </w:rPr>
        <w:t xml:space="preserve"> - A private placement of $40 million principal amount of senior notes due August 2052, to be issued by Mountaineer on or before </w:t>
      </w:r>
      <w:r>
        <w:rPr>
          <w:rFonts w:eastAsia="Times New Roman"/>
          <w:color w:val="000000"/>
          <w:sz w:val="20"/>
          <w:szCs w:val="20"/>
        </w:rPr>
        <w:t>August 16, 2022</w:t>
      </w:r>
    </w:p>
    <w:p w:rsidR="00000000" w:rsidRDefault="00BE60E9">
      <w:pPr>
        <w:jc w:val="both"/>
        <w:divId w:val="709064402"/>
        <w:rPr>
          <w:rFonts w:eastAsia="Times New Roman"/>
        </w:rPr>
      </w:pPr>
      <w:r>
        <w:rPr>
          <w:rFonts w:eastAsia="Times New Roman"/>
          <w:b/>
          <w:bCs/>
          <w:i/>
          <w:iCs/>
          <w:color w:val="000000"/>
          <w:sz w:val="20"/>
          <w:szCs w:val="20"/>
        </w:rPr>
        <w:t>2021 Annual Report -</w:t>
      </w:r>
      <w:r>
        <w:rPr>
          <w:rFonts w:eastAsia="Times New Roman"/>
          <w:b/>
          <w:bCs/>
          <w:color w:val="000000"/>
          <w:sz w:val="20"/>
          <w:szCs w:val="20"/>
        </w:rPr>
        <w:t xml:space="preserve"> </w:t>
      </w:r>
      <w:r>
        <w:rPr>
          <w:rFonts w:eastAsia="Times New Roman"/>
          <w:color w:val="000000"/>
          <w:sz w:val="20"/>
          <w:szCs w:val="20"/>
        </w:rPr>
        <w:t>UGI Annual Report on Form 10-K for the fiscal year ended September 30, 2021</w:t>
      </w:r>
    </w:p>
    <w:p w:rsidR="00000000" w:rsidRDefault="00BE60E9">
      <w:pPr>
        <w:jc w:val="both"/>
        <w:divId w:val="246118150"/>
        <w:rPr>
          <w:rFonts w:eastAsia="Times New Roman"/>
        </w:rPr>
      </w:pPr>
      <w:r>
        <w:rPr>
          <w:rFonts w:eastAsia="Times New Roman"/>
          <w:b/>
          <w:bCs/>
          <w:i/>
          <w:iCs/>
          <w:color w:val="000000"/>
          <w:sz w:val="20"/>
          <w:szCs w:val="20"/>
        </w:rPr>
        <w:t>2021 nine-month period -</w:t>
      </w:r>
      <w:r>
        <w:rPr>
          <w:rFonts w:eastAsia="Times New Roman"/>
          <w:b/>
          <w:bCs/>
          <w:color w:val="000000"/>
          <w:sz w:val="20"/>
          <w:szCs w:val="20"/>
        </w:rPr>
        <w:t xml:space="preserve"> </w:t>
      </w:r>
      <w:r>
        <w:rPr>
          <w:rFonts w:eastAsia="Times New Roman"/>
          <w:color w:val="000000"/>
          <w:sz w:val="20"/>
          <w:szCs w:val="20"/>
        </w:rPr>
        <w:t>Nine months ended June 30, 2021</w:t>
      </w:r>
    </w:p>
    <w:p w:rsidR="00000000" w:rsidRDefault="00BE60E9">
      <w:pPr>
        <w:jc w:val="both"/>
        <w:divId w:val="1420567455"/>
        <w:rPr>
          <w:rFonts w:eastAsia="Times New Roman"/>
        </w:rPr>
      </w:pPr>
      <w:r>
        <w:rPr>
          <w:rFonts w:eastAsia="Times New Roman"/>
          <w:b/>
          <w:bCs/>
          <w:i/>
          <w:iCs/>
          <w:color w:val="000000"/>
          <w:sz w:val="20"/>
          <w:szCs w:val="20"/>
        </w:rPr>
        <w:t>2021 three-month period -</w:t>
      </w:r>
      <w:r>
        <w:rPr>
          <w:rFonts w:eastAsia="Times New Roman"/>
          <w:b/>
          <w:bCs/>
          <w:color w:val="000000"/>
          <w:sz w:val="20"/>
          <w:szCs w:val="20"/>
        </w:rPr>
        <w:t xml:space="preserve"> </w:t>
      </w:r>
      <w:r>
        <w:rPr>
          <w:rFonts w:eastAsia="Times New Roman"/>
          <w:color w:val="000000"/>
          <w:sz w:val="20"/>
          <w:szCs w:val="20"/>
        </w:rPr>
        <w:t>Three months ended June 30, 2021</w:t>
      </w:r>
    </w:p>
    <w:p w:rsidR="00000000" w:rsidRDefault="00BE60E9">
      <w:pPr>
        <w:jc w:val="both"/>
        <w:divId w:val="565183643"/>
        <w:rPr>
          <w:rFonts w:eastAsia="Times New Roman"/>
        </w:rPr>
      </w:pPr>
      <w:r>
        <w:rPr>
          <w:rFonts w:eastAsia="Times New Roman"/>
          <w:b/>
          <w:bCs/>
          <w:i/>
          <w:iCs/>
          <w:color w:val="000000"/>
          <w:sz w:val="20"/>
          <w:szCs w:val="20"/>
        </w:rPr>
        <w:t>2022 nine-month period -</w:t>
      </w:r>
      <w:r>
        <w:rPr>
          <w:rFonts w:eastAsia="Times New Roman"/>
          <w:b/>
          <w:bCs/>
          <w:color w:val="000000"/>
          <w:sz w:val="20"/>
          <w:szCs w:val="20"/>
        </w:rPr>
        <w:t xml:space="preserve"> </w:t>
      </w:r>
      <w:r>
        <w:rPr>
          <w:rFonts w:eastAsia="Times New Roman"/>
          <w:color w:val="000000"/>
          <w:sz w:val="20"/>
          <w:szCs w:val="20"/>
        </w:rPr>
        <w:t>Nine months ended June 30, 2022</w:t>
      </w:r>
    </w:p>
    <w:p w:rsidR="00000000" w:rsidRDefault="00BE60E9">
      <w:pPr>
        <w:jc w:val="both"/>
        <w:divId w:val="1115714005"/>
        <w:rPr>
          <w:rFonts w:eastAsia="Times New Roman"/>
        </w:rPr>
      </w:pPr>
      <w:r>
        <w:rPr>
          <w:rFonts w:eastAsia="Times New Roman"/>
          <w:b/>
          <w:bCs/>
          <w:i/>
          <w:iCs/>
          <w:color w:val="000000"/>
          <w:sz w:val="20"/>
          <w:szCs w:val="20"/>
        </w:rPr>
        <w:t>2022 three-month period -</w:t>
      </w:r>
      <w:r>
        <w:rPr>
          <w:rFonts w:eastAsia="Times New Roman"/>
          <w:b/>
          <w:bCs/>
          <w:color w:val="000000"/>
          <w:sz w:val="20"/>
          <w:szCs w:val="20"/>
        </w:rPr>
        <w:t xml:space="preserve"> </w:t>
      </w:r>
      <w:r>
        <w:rPr>
          <w:rFonts w:eastAsia="Times New Roman"/>
          <w:color w:val="000000"/>
          <w:sz w:val="20"/>
          <w:szCs w:val="20"/>
        </w:rPr>
        <w:t>Three months ended June 30, 2022</w:t>
      </w:r>
    </w:p>
    <w:p w:rsidR="00000000" w:rsidRDefault="00BE60E9">
      <w:pPr>
        <w:jc w:val="both"/>
        <w:divId w:val="489057337"/>
        <w:rPr>
          <w:rFonts w:eastAsia="Times New Roman"/>
        </w:rPr>
      </w:pPr>
      <w:r>
        <w:rPr>
          <w:rFonts w:eastAsia="Times New Roman"/>
          <w:b/>
          <w:bCs/>
          <w:i/>
          <w:iCs/>
          <w:color w:val="000000"/>
          <w:sz w:val="20"/>
          <w:szCs w:val="20"/>
        </w:rPr>
        <w:lastRenderedPageBreak/>
        <w:t xml:space="preserve">2024 Purchase Contract </w:t>
      </w:r>
      <w:r>
        <w:rPr>
          <w:rFonts w:eastAsia="Times New Roman"/>
          <w:color w:val="000000"/>
          <w:sz w:val="20"/>
          <w:szCs w:val="20"/>
        </w:rPr>
        <w:t>- A forward stock purchase contract issued by UGI Corporation as a part of the issua</w:t>
      </w:r>
      <w:r>
        <w:rPr>
          <w:rFonts w:eastAsia="Times New Roman"/>
          <w:color w:val="000000"/>
          <w:sz w:val="20"/>
          <w:szCs w:val="20"/>
        </w:rPr>
        <w:t>nce of Equity Units which obligates holders to purchase a number of shares of UGI common stock from the Company on June 1, 2024</w:t>
      </w:r>
    </w:p>
    <w:p w:rsidR="00000000" w:rsidRDefault="00BE60E9">
      <w:pPr>
        <w:jc w:val="both"/>
        <w:divId w:val="1611621947"/>
        <w:rPr>
          <w:rFonts w:eastAsia="Times New Roman"/>
        </w:rPr>
      </w:pPr>
      <w:r>
        <w:rPr>
          <w:rFonts w:eastAsia="Times New Roman"/>
          <w:b/>
          <w:bCs/>
          <w:i/>
          <w:iCs/>
          <w:color w:val="000000"/>
          <w:sz w:val="20"/>
          <w:szCs w:val="20"/>
        </w:rPr>
        <w:t xml:space="preserve">AOCI - </w:t>
      </w:r>
      <w:r>
        <w:rPr>
          <w:rFonts w:eastAsia="Times New Roman"/>
          <w:color w:val="000000"/>
          <w:sz w:val="20"/>
          <w:szCs w:val="20"/>
        </w:rPr>
        <w:t>Accumulated Other Comprehensive Income (Loss)</w:t>
      </w:r>
    </w:p>
    <w:p w:rsidR="00000000" w:rsidRDefault="00BE60E9">
      <w:pPr>
        <w:jc w:val="both"/>
        <w:divId w:val="380642059"/>
        <w:rPr>
          <w:rFonts w:eastAsia="Times New Roman"/>
        </w:rPr>
      </w:pPr>
      <w:r>
        <w:rPr>
          <w:rFonts w:eastAsia="Times New Roman"/>
          <w:b/>
          <w:bCs/>
          <w:i/>
          <w:iCs/>
          <w:color w:val="000000"/>
          <w:sz w:val="20"/>
          <w:szCs w:val="20"/>
        </w:rPr>
        <w:t>ASC -</w:t>
      </w:r>
      <w:r>
        <w:rPr>
          <w:rFonts w:eastAsia="Times New Roman"/>
          <w:color w:val="000000"/>
          <w:sz w:val="20"/>
          <w:szCs w:val="20"/>
        </w:rPr>
        <w:t xml:space="preserve"> Accounting Standards Codification</w:t>
      </w:r>
    </w:p>
    <w:p w:rsidR="00000000" w:rsidRDefault="00BE60E9">
      <w:pPr>
        <w:jc w:val="both"/>
        <w:divId w:val="1877815789"/>
        <w:rPr>
          <w:rFonts w:eastAsia="Times New Roman"/>
        </w:rPr>
      </w:pPr>
      <w:r>
        <w:rPr>
          <w:rFonts w:eastAsia="Times New Roman"/>
          <w:b/>
          <w:bCs/>
          <w:i/>
          <w:iCs/>
          <w:color w:val="000000"/>
          <w:sz w:val="20"/>
          <w:szCs w:val="20"/>
        </w:rPr>
        <w:t>ASC 606</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ASC 606, “Revenue from Co</w:t>
      </w:r>
      <w:r>
        <w:rPr>
          <w:rFonts w:eastAsia="Times New Roman"/>
          <w:color w:val="000000"/>
          <w:sz w:val="20"/>
          <w:szCs w:val="20"/>
        </w:rPr>
        <w:t>ntracts with Customers”</w:t>
      </w:r>
    </w:p>
    <w:p w:rsidR="00000000" w:rsidRDefault="00BE60E9">
      <w:pPr>
        <w:jc w:val="both"/>
        <w:divId w:val="1468694426"/>
        <w:rPr>
          <w:rFonts w:eastAsia="Times New Roman"/>
        </w:rPr>
      </w:pPr>
      <w:r>
        <w:rPr>
          <w:rFonts w:eastAsia="Times New Roman"/>
          <w:b/>
          <w:bCs/>
          <w:i/>
          <w:iCs/>
          <w:color w:val="000000"/>
          <w:sz w:val="20"/>
          <w:szCs w:val="20"/>
        </w:rPr>
        <w:t>ASC 980</w:t>
      </w:r>
      <w:r>
        <w:rPr>
          <w:rFonts w:eastAsia="Times New Roman"/>
          <w:color w:val="000000"/>
          <w:sz w:val="20"/>
          <w:szCs w:val="20"/>
        </w:rPr>
        <w:t xml:space="preserve"> - ASC 980, “Regulated Operations”</w:t>
      </w:r>
    </w:p>
    <w:p w:rsidR="00000000" w:rsidRDefault="00BE60E9">
      <w:pPr>
        <w:jc w:val="both"/>
        <w:divId w:val="1845778727"/>
        <w:rPr>
          <w:rFonts w:eastAsia="Times New Roman"/>
        </w:rPr>
      </w:pPr>
      <w:r>
        <w:rPr>
          <w:rFonts w:eastAsia="Times New Roman"/>
          <w:b/>
          <w:bCs/>
          <w:i/>
          <w:iCs/>
          <w:color w:val="000000"/>
          <w:sz w:val="20"/>
          <w:szCs w:val="20"/>
        </w:rPr>
        <w:t xml:space="preserve">ASU - </w:t>
      </w:r>
      <w:r>
        <w:rPr>
          <w:rFonts w:eastAsia="Times New Roman"/>
          <w:color w:val="000000"/>
          <w:sz w:val="20"/>
          <w:szCs w:val="20"/>
        </w:rPr>
        <w:t>Accounting Standards Update</w:t>
      </w:r>
    </w:p>
    <w:p w:rsidR="00000000" w:rsidRDefault="00BE60E9">
      <w:pPr>
        <w:jc w:val="both"/>
        <w:divId w:val="1018577425"/>
        <w:rPr>
          <w:rFonts w:eastAsia="Times New Roman"/>
        </w:rPr>
      </w:pPr>
      <w:r>
        <w:rPr>
          <w:rFonts w:eastAsia="Times New Roman"/>
          <w:b/>
          <w:bCs/>
          <w:i/>
          <w:iCs/>
          <w:color w:val="000000"/>
          <w:sz w:val="20"/>
          <w:szCs w:val="20"/>
        </w:rPr>
        <w:t>Bcf -</w:t>
      </w:r>
      <w:r>
        <w:rPr>
          <w:rFonts w:eastAsia="Times New Roman"/>
          <w:color w:val="000000"/>
          <w:sz w:val="20"/>
          <w:szCs w:val="20"/>
        </w:rPr>
        <w:t xml:space="preserve"> Billions of cubic feet</w:t>
      </w:r>
    </w:p>
    <w:p w:rsidR="00000000" w:rsidRDefault="00BE60E9">
      <w:pPr>
        <w:jc w:val="both"/>
        <w:divId w:val="689257252"/>
        <w:rPr>
          <w:rFonts w:eastAsia="Times New Roman"/>
        </w:rPr>
      </w:pPr>
      <w:r>
        <w:rPr>
          <w:rFonts w:eastAsia="Times New Roman"/>
          <w:b/>
          <w:bCs/>
          <w:i/>
          <w:iCs/>
          <w:color w:val="000000"/>
          <w:sz w:val="20"/>
          <w:szCs w:val="20"/>
        </w:rPr>
        <w:t xml:space="preserve">CARES Act - </w:t>
      </w:r>
      <w:r>
        <w:rPr>
          <w:rFonts w:eastAsia="Times New Roman"/>
          <w:color w:val="000000"/>
          <w:sz w:val="20"/>
          <w:szCs w:val="20"/>
        </w:rPr>
        <w:t>Coronavirus Aid, Relief, and Economic Security Act</w:t>
      </w:r>
    </w:p>
    <w:p w:rsidR="00000000" w:rsidRDefault="00BE60E9">
      <w:pPr>
        <w:jc w:val="both"/>
        <w:divId w:val="1974216844"/>
        <w:rPr>
          <w:rFonts w:eastAsia="Times New Roman"/>
        </w:rPr>
      </w:pPr>
      <w:r>
        <w:rPr>
          <w:rFonts w:eastAsia="Times New Roman"/>
          <w:b/>
          <w:bCs/>
          <w:i/>
          <w:iCs/>
          <w:color w:val="000000"/>
          <w:sz w:val="20"/>
          <w:szCs w:val="20"/>
        </w:rPr>
        <w:t>CDC</w:t>
      </w:r>
      <w:r>
        <w:rPr>
          <w:rFonts w:eastAsia="Times New Roman"/>
          <w:color w:val="000000"/>
          <w:sz w:val="20"/>
          <w:szCs w:val="20"/>
        </w:rPr>
        <w:t xml:space="preserve"> - Centers for Disease Control and Prevention</w:t>
      </w:r>
    </w:p>
    <w:p w:rsidR="00000000" w:rsidRDefault="00BE60E9">
      <w:pPr>
        <w:jc w:val="both"/>
        <w:divId w:val="289946157"/>
        <w:rPr>
          <w:rFonts w:eastAsia="Times New Roman"/>
        </w:rPr>
      </w:pPr>
      <w:r>
        <w:rPr>
          <w:rFonts w:eastAsia="Times New Roman"/>
          <w:b/>
          <w:bCs/>
          <w:i/>
          <w:iCs/>
          <w:color w:val="000000"/>
          <w:sz w:val="20"/>
          <w:szCs w:val="20"/>
        </w:rPr>
        <w:t>COA -</w:t>
      </w:r>
      <w:r>
        <w:rPr>
          <w:rFonts w:eastAsia="Times New Roman"/>
          <w:color w:val="000000"/>
          <w:sz w:val="20"/>
          <w:szCs w:val="20"/>
        </w:rPr>
        <w:t xml:space="preserve"> Consent O</w:t>
      </w:r>
      <w:r>
        <w:rPr>
          <w:rFonts w:eastAsia="Times New Roman"/>
          <w:color w:val="000000"/>
          <w:sz w:val="20"/>
          <w:szCs w:val="20"/>
        </w:rPr>
        <w:t>rder and Agreement</w:t>
      </w:r>
    </w:p>
    <w:p w:rsidR="00000000" w:rsidRDefault="00BE60E9">
      <w:pPr>
        <w:jc w:val="both"/>
        <w:divId w:val="1774469842"/>
        <w:rPr>
          <w:rFonts w:eastAsia="Times New Roman"/>
        </w:rPr>
      </w:pPr>
      <w:r>
        <w:rPr>
          <w:rFonts w:eastAsia="Times New Roman"/>
          <w:b/>
          <w:bCs/>
          <w:i/>
          <w:iCs/>
          <w:color w:val="000000"/>
          <w:sz w:val="20"/>
          <w:szCs w:val="20"/>
        </w:rPr>
        <w:t>CODM -</w:t>
      </w:r>
      <w:r>
        <w:rPr>
          <w:rFonts w:eastAsia="Times New Roman"/>
          <w:color w:val="000000"/>
          <w:sz w:val="20"/>
          <w:szCs w:val="20"/>
        </w:rPr>
        <w:t xml:space="preserve"> Chief Operating Decision Maker as defined in ASC 280, “Segment Reporting”</w:t>
      </w:r>
    </w:p>
    <w:p w:rsidR="00000000" w:rsidRDefault="00BE60E9">
      <w:pPr>
        <w:jc w:val="both"/>
        <w:divId w:val="370999591"/>
        <w:rPr>
          <w:rFonts w:eastAsia="Times New Roman"/>
        </w:rPr>
      </w:pPr>
      <w:r>
        <w:rPr>
          <w:rFonts w:eastAsia="Times New Roman"/>
          <w:b/>
          <w:bCs/>
          <w:i/>
          <w:iCs/>
          <w:color w:val="000000"/>
          <w:sz w:val="20"/>
          <w:szCs w:val="20"/>
        </w:rPr>
        <w:t xml:space="preserve">Common Stock - </w:t>
      </w:r>
      <w:r>
        <w:rPr>
          <w:rFonts w:eastAsia="Times New Roman"/>
          <w:color w:val="000000"/>
          <w:sz w:val="20"/>
          <w:szCs w:val="20"/>
        </w:rPr>
        <w:t>shares of UGI common stock</w:t>
      </w:r>
    </w:p>
    <w:p w:rsidR="00000000" w:rsidRDefault="00BE60E9">
      <w:pPr>
        <w:jc w:val="center"/>
        <w:divId w:val="1234507887"/>
        <w:rPr>
          <w:rFonts w:eastAsia="Times New Roman"/>
        </w:rPr>
      </w:pPr>
      <w:r>
        <w:rPr>
          <w:rFonts w:eastAsia="Times New Roman"/>
          <w:color w:val="000000"/>
          <w:sz w:val="20"/>
          <w:szCs w:val="20"/>
        </w:rPr>
        <w:t>2</w:t>
      </w:r>
    </w:p>
    <w:p w:rsidR="00000000" w:rsidRDefault="00BE60E9">
      <w:pPr>
        <w:rPr>
          <w:rFonts w:eastAsia="Times New Roman"/>
        </w:rPr>
      </w:pPr>
      <w:r>
        <w:rPr>
          <w:rFonts w:eastAsia="Times New Roman"/>
        </w:rPr>
        <w:pict>
          <v:rect id="_x0000_i1028" style="width:0;height:1.5pt" o:hralign="center" o:hrstd="t" o:hr="t" fillcolor="#a0a0a0" stroked="f"/>
        </w:pict>
      </w:r>
    </w:p>
    <w:p w:rsidR="00000000" w:rsidRDefault="00BE60E9">
      <w:pPr>
        <w:divId w:val="384372781"/>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1509098320"/>
        <w:rPr>
          <w:rFonts w:eastAsia="Times New Roman"/>
        </w:rPr>
      </w:pPr>
    </w:p>
    <w:p w:rsidR="00000000" w:rsidRDefault="00BE60E9">
      <w:pPr>
        <w:divId w:val="567619449"/>
        <w:rPr>
          <w:rFonts w:eastAsia="Times New Roman"/>
        </w:rPr>
      </w:pPr>
    </w:p>
    <w:p w:rsidR="00000000" w:rsidRDefault="00BE60E9">
      <w:pPr>
        <w:jc w:val="both"/>
        <w:divId w:val="298657887"/>
        <w:rPr>
          <w:rFonts w:eastAsia="Times New Roman"/>
        </w:rPr>
      </w:pPr>
      <w:r>
        <w:rPr>
          <w:rFonts w:eastAsia="Times New Roman"/>
          <w:b/>
          <w:bCs/>
          <w:i/>
          <w:iCs/>
          <w:color w:val="000000"/>
          <w:sz w:val="20"/>
          <w:szCs w:val="20"/>
        </w:rPr>
        <w:t>Convertible Preferred Stock</w:t>
      </w:r>
      <w:r>
        <w:rPr>
          <w:rFonts w:eastAsia="Times New Roman"/>
          <w:color w:val="000000"/>
          <w:sz w:val="20"/>
          <w:szCs w:val="20"/>
        </w:rPr>
        <w:t xml:space="preserve"> </w:t>
      </w:r>
      <w:r>
        <w:rPr>
          <w:rFonts w:eastAsia="Times New Roman"/>
          <w:color w:val="000000"/>
          <w:sz w:val="20"/>
          <w:szCs w:val="20"/>
        </w:rPr>
        <w:t>- Preferred stock of UGI titled 0.125% series A cumulative perpetual convertible preferred stock without par value and having a liquidation preference of $1,000 per share</w:t>
      </w:r>
    </w:p>
    <w:p w:rsidR="00000000" w:rsidRDefault="00BE60E9">
      <w:pPr>
        <w:jc w:val="both"/>
        <w:divId w:val="1322588398"/>
        <w:rPr>
          <w:rFonts w:eastAsia="Times New Roman"/>
        </w:rPr>
      </w:pPr>
      <w:r>
        <w:rPr>
          <w:rFonts w:eastAsia="Times New Roman"/>
          <w:b/>
          <w:bCs/>
          <w:i/>
          <w:iCs/>
          <w:color w:val="000000"/>
          <w:sz w:val="20"/>
          <w:szCs w:val="20"/>
        </w:rPr>
        <w:t>COVID-19 -</w:t>
      </w:r>
      <w:r>
        <w:rPr>
          <w:rFonts w:eastAsia="Times New Roman"/>
          <w:color w:val="000000"/>
          <w:sz w:val="20"/>
          <w:szCs w:val="20"/>
        </w:rPr>
        <w:t xml:space="preserve"> A novel strain of coronavirus disease discovered in 2019</w:t>
      </w:r>
    </w:p>
    <w:p w:rsidR="00000000" w:rsidRDefault="00BE60E9">
      <w:pPr>
        <w:jc w:val="both"/>
        <w:divId w:val="1834712432"/>
        <w:rPr>
          <w:rFonts w:eastAsia="Times New Roman"/>
        </w:rPr>
      </w:pPr>
      <w:r>
        <w:rPr>
          <w:rFonts w:eastAsia="Times New Roman"/>
          <w:b/>
          <w:bCs/>
          <w:i/>
          <w:iCs/>
          <w:color w:val="000000"/>
          <w:sz w:val="20"/>
          <w:szCs w:val="20"/>
        </w:rPr>
        <w:t>DS -</w:t>
      </w:r>
      <w:r>
        <w:rPr>
          <w:rFonts w:eastAsia="Times New Roman"/>
          <w:color w:val="000000"/>
          <w:sz w:val="20"/>
          <w:szCs w:val="20"/>
        </w:rPr>
        <w:t xml:space="preserve"> Default serv</w:t>
      </w:r>
      <w:r>
        <w:rPr>
          <w:rFonts w:eastAsia="Times New Roman"/>
          <w:color w:val="000000"/>
          <w:sz w:val="20"/>
          <w:szCs w:val="20"/>
        </w:rPr>
        <w:t>ice</w:t>
      </w:r>
    </w:p>
    <w:p w:rsidR="00000000" w:rsidRDefault="00BE60E9">
      <w:pPr>
        <w:jc w:val="both"/>
        <w:divId w:val="1676767718"/>
        <w:rPr>
          <w:rFonts w:eastAsia="Times New Roman"/>
        </w:rPr>
      </w:pPr>
      <w:r>
        <w:rPr>
          <w:rFonts w:eastAsia="Times New Roman"/>
          <w:b/>
          <w:bCs/>
          <w:i/>
          <w:iCs/>
          <w:color w:val="000000"/>
          <w:sz w:val="20"/>
          <w:szCs w:val="20"/>
        </w:rPr>
        <w:t>DSIC</w:t>
      </w:r>
      <w:r>
        <w:rPr>
          <w:rFonts w:eastAsia="Times New Roman"/>
          <w:color w:val="000000"/>
          <w:sz w:val="20"/>
          <w:szCs w:val="20"/>
        </w:rPr>
        <w:t xml:space="preserve"> - Distribution System Improvement Charge</w:t>
      </w:r>
    </w:p>
    <w:p w:rsidR="00000000" w:rsidRDefault="00BE60E9">
      <w:pPr>
        <w:jc w:val="both"/>
        <w:divId w:val="992411694"/>
        <w:rPr>
          <w:rFonts w:eastAsia="Times New Roman"/>
        </w:rPr>
      </w:pPr>
      <w:r>
        <w:rPr>
          <w:rFonts w:eastAsia="Times New Roman"/>
          <w:b/>
          <w:bCs/>
          <w:i/>
          <w:iCs/>
          <w:color w:val="000000"/>
          <w:sz w:val="20"/>
          <w:szCs w:val="20"/>
        </w:rPr>
        <w:t xml:space="preserve">Equity Unit - </w:t>
      </w:r>
      <w:r>
        <w:rPr>
          <w:rFonts w:eastAsia="Times New Roman"/>
          <w:color w:val="000000"/>
          <w:sz w:val="20"/>
          <w:szCs w:val="20"/>
        </w:rPr>
        <w:t>A corporate unit consisting of a 2024 Purchase Contract and 1/10th or 10% undivided interest in one share of Convertible Preferred Stock</w:t>
      </w:r>
    </w:p>
    <w:p w:rsidR="00000000" w:rsidRDefault="00BE60E9">
      <w:pPr>
        <w:divId w:val="1610311597"/>
        <w:rPr>
          <w:rFonts w:eastAsia="Times New Roman"/>
        </w:rPr>
      </w:pPr>
      <w:r>
        <w:rPr>
          <w:rFonts w:eastAsia="Times New Roman"/>
          <w:b/>
          <w:bCs/>
          <w:i/>
          <w:iCs/>
          <w:color w:val="000000"/>
          <w:sz w:val="20"/>
          <w:szCs w:val="20"/>
        </w:rPr>
        <w:t>Exchange Act -</w:t>
      </w:r>
      <w:r>
        <w:rPr>
          <w:rFonts w:eastAsia="Times New Roman"/>
          <w:color w:val="000000"/>
          <w:sz w:val="20"/>
          <w:szCs w:val="20"/>
        </w:rPr>
        <w:t xml:space="preserve"> Securities Exchange Act of 1934, as amen</w:t>
      </w:r>
      <w:r>
        <w:rPr>
          <w:rFonts w:eastAsia="Times New Roman"/>
          <w:color w:val="000000"/>
          <w:sz w:val="20"/>
          <w:szCs w:val="20"/>
        </w:rPr>
        <w:t>ded</w:t>
      </w:r>
    </w:p>
    <w:p w:rsidR="00000000" w:rsidRDefault="00BE60E9">
      <w:pPr>
        <w:divId w:val="60951745"/>
        <w:rPr>
          <w:rFonts w:eastAsia="Times New Roman"/>
        </w:rPr>
      </w:pPr>
      <w:r>
        <w:rPr>
          <w:rFonts w:eastAsia="Times New Roman"/>
          <w:b/>
          <w:bCs/>
          <w:i/>
          <w:iCs/>
          <w:color w:val="000000"/>
          <w:sz w:val="20"/>
          <w:szCs w:val="20"/>
        </w:rPr>
        <w:t>FASB -</w:t>
      </w:r>
      <w:r>
        <w:rPr>
          <w:rFonts w:eastAsia="Times New Roman"/>
          <w:color w:val="000000"/>
          <w:sz w:val="20"/>
          <w:szCs w:val="20"/>
        </w:rPr>
        <w:t xml:space="preserve"> Financial Accounting Standards Board</w:t>
      </w:r>
    </w:p>
    <w:p w:rsidR="00000000" w:rsidRDefault="00BE60E9">
      <w:pPr>
        <w:jc w:val="both"/>
        <w:divId w:val="1297372228"/>
        <w:rPr>
          <w:rFonts w:eastAsia="Times New Roman"/>
        </w:rPr>
      </w:pPr>
      <w:r>
        <w:rPr>
          <w:rFonts w:eastAsia="Times New Roman"/>
          <w:b/>
          <w:bCs/>
          <w:i/>
          <w:iCs/>
          <w:color w:val="000000"/>
          <w:sz w:val="20"/>
          <w:szCs w:val="20"/>
        </w:rPr>
        <w:t>FDIC -</w:t>
      </w:r>
      <w:r>
        <w:rPr>
          <w:rFonts w:eastAsia="Times New Roman"/>
          <w:color w:val="000000"/>
          <w:sz w:val="20"/>
          <w:szCs w:val="20"/>
        </w:rPr>
        <w:t xml:space="preserve"> Federal Deposit Insurance Corporation</w:t>
      </w:r>
    </w:p>
    <w:p w:rsidR="00000000" w:rsidRDefault="00BE60E9">
      <w:pPr>
        <w:jc w:val="both"/>
        <w:divId w:val="1129278501"/>
        <w:rPr>
          <w:rFonts w:eastAsia="Times New Roman"/>
        </w:rPr>
      </w:pPr>
      <w:r>
        <w:rPr>
          <w:rFonts w:eastAsia="Times New Roman"/>
          <w:b/>
          <w:bCs/>
          <w:i/>
          <w:iCs/>
          <w:color w:val="000000"/>
          <w:sz w:val="20"/>
          <w:szCs w:val="20"/>
        </w:rPr>
        <w:t>FERC -</w:t>
      </w:r>
      <w:r>
        <w:rPr>
          <w:rFonts w:eastAsia="Times New Roman"/>
          <w:color w:val="000000"/>
          <w:sz w:val="20"/>
          <w:szCs w:val="20"/>
        </w:rPr>
        <w:t xml:space="preserve"> Federal Energy Regulatory Commission</w:t>
      </w:r>
    </w:p>
    <w:p w:rsidR="00000000" w:rsidRDefault="00BE60E9">
      <w:pPr>
        <w:jc w:val="both"/>
        <w:divId w:val="1920403052"/>
        <w:rPr>
          <w:rFonts w:eastAsia="Times New Roman"/>
        </w:rPr>
      </w:pPr>
      <w:r>
        <w:rPr>
          <w:rFonts w:eastAsia="Times New Roman"/>
          <w:b/>
          <w:bCs/>
          <w:i/>
          <w:iCs/>
          <w:color w:val="000000"/>
          <w:sz w:val="20"/>
          <w:szCs w:val="20"/>
        </w:rPr>
        <w:t>Fiscal 2019</w:t>
      </w:r>
      <w:r>
        <w:rPr>
          <w:rFonts w:eastAsia="Times New Roman"/>
          <w:color w:val="000000"/>
          <w:sz w:val="20"/>
          <w:szCs w:val="20"/>
        </w:rPr>
        <w:t xml:space="preserve"> - The fiscal year ended September 30, 2019</w:t>
      </w:r>
    </w:p>
    <w:p w:rsidR="00000000" w:rsidRDefault="00BE60E9">
      <w:pPr>
        <w:jc w:val="both"/>
        <w:divId w:val="1475950882"/>
        <w:rPr>
          <w:rFonts w:eastAsia="Times New Roman"/>
        </w:rPr>
      </w:pPr>
      <w:r>
        <w:rPr>
          <w:rFonts w:eastAsia="Times New Roman"/>
          <w:b/>
          <w:bCs/>
          <w:i/>
          <w:iCs/>
          <w:color w:val="000000"/>
          <w:sz w:val="20"/>
          <w:szCs w:val="20"/>
        </w:rPr>
        <w:t>Fiscal 2020</w:t>
      </w:r>
      <w:r>
        <w:rPr>
          <w:rFonts w:eastAsia="Times New Roman"/>
          <w:color w:val="000000"/>
          <w:sz w:val="20"/>
          <w:szCs w:val="20"/>
        </w:rPr>
        <w:t xml:space="preserve"> - The fiscal year ended September 30, 2020</w:t>
      </w:r>
    </w:p>
    <w:p w:rsidR="00000000" w:rsidRDefault="00BE60E9">
      <w:pPr>
        <w:jc w:val="both"/>
        <w:divId w:val="1924294265"/>
        <w:rPr>
          <w:rFonts w:eastAsia="Times New Roman"/>
        </w:rPr>
      </w:pPr>
      <w:r>
        <w:rPr>
          <w:rFonts w:eastAsia="Times New Roman"/>
          <w:b/>
          <w:bCs/>
          <w:i/>
          <w:iCs/>
          <w:color w:val="000000"/>
          <w:sz w:val="20"/>
          <w:szCs w:val="20"/>
        </w:rPr>
        <w:t>Fiscal 20</w:t>
      </w:r>
      <w:r>
        <w:rPr>
          <w:rFonts w:eastAsia="Times New Roman"/>
          <w:b/>
          <w:bCs/>
          <w:i/>
          <w:iCs/>
          <w:color w:val="000000"/>
          <w:sz w:val="20"/>
          <w:szCs w:val="20"/>
        </w:rPr>
        <w:t>21</w:t>
      </w:r>
      <w:r>
        <w:rPr>
          <w:rFonts w:eastAsia="Times New Roman"/>
          <w:color w:val="000000"/>
          <w:sz w:val="20"/>
          <w:szCs w:val="20"/>
        </w:rPr>
        <w:t xml:space="preserve"> - The fiscal year ended September 30, 2021</w:t>
      </w:r>
    </w:p>
    <w:p w:rsidR="00000000" w:rsidRDefault="00BE60E9">
      <w:pPr>
        <w:jc w:val="both"/>
        <w:divId w:val="1574703012"/>
        <w:rPr>
          <w:rFonts w:eastAsia="Times New Roman"/>
        </w:rPr>
      </w:pPr>
      <w:r>
        <w:rPr>
          <w:rFonts w:eastAsia="Times New Roman"/>
          <w:b/>
          <w:bCs/>
          <w:i/>
          <w:iCs/>
          <w:color w:val="000000"/>
          <w:sz w:val="20"/>
          <w:szCs w:val="20"/>
        </w:rPr>
        <w:t>Fiscal 2022</w:t>
      </w:r>
      <w:r>
        <w:rPr>
          <w:rFonts w:eastAsia="Times New Roman"/>
          <w:color w:val="000000"/>
          <w:sz w:val="20"/>
          <w:szCs w:val="20"/>
        </w:rPr>
        <w:t xml:space="preserve"> - The fiscal year ending September 30, 2022</w:t>
      </w:r>
    </w:p>
    <w:p w:rsidR="00000000" w:rsidRDefault="00BE60E9">
      <w:pPr>
        <w:jc w:val="both"/>
        <w:divId w:val="329187605"/>
        <w:rPr>
          <w:rFonts w:eastAsia="Times New Roman"/>
        </w:rPr>
      </w:pPr>
      <w:r>
        <w:rPr>
          <w:rFonts w:eastAsia="Times New Roman"/>
          <w:b/>
          <w:bCs/>
          <w:i/>
          <w:iCs/>
          <w:color w:val="000000"/>
          <w:sz w:val="20"/>
          <w:szCs w:val="20"/>
        </w:rPr>
        <w:t>Fiscal 2023</w:t>
      </w:r>
      <w:r>
        <w:rPr>
          <w:rFonts w:eastAsia="Times New Roman"/>
          <w:color w:val="000000"/>
          <w:sz w:val="20"/>
          <w:szCs w:val="20"/>
        </w:rPr>
        <w:t xml:space="preserve"> - The fiscal year ending September 30, 2023</w:t>
      </w:r>
    </w:p>
    <w:p w:rsidR="00000000" w:rsidRDefault="00BE60E9">
      <w:pPr>
        <w:jc w:val="both"/>
        <w:divId w:val="392001029"/>
        <w:rPr>
          <w:rFonts w:eastAsia="Times New Roman"/>
        </w:rPr>
      </w:pPr>
      <w:r>
        <w:rPr>
          <w:rFonts w:eastAsia="Times New Roman"/>
          <w:b/>
          <w:bCs/>
          <w:i/>
          <w:iCs/>
          <w:color w:val="000000"/>
          <w:sz w:val="20"/>
          <w:szCs w:val="20"/>
        </w:rPr>
        <w:t>GAAP -</w:t>
      </w:r>
      <w:r>
        <w:rPr>
          <w:rFonts w:eastAsia="Times New Roman"/>
          <w:color w:val="000000"/>
          <w:sz w:val="20"/>
          <w:szCs w:val="20"/>
        </w:rPr>
        <w:t xml:space="preserve"> U.S. generally accepted accounting principles</w:t>
      </w:r>
    </w:p>
    <w:p w:rsidR="00000000" w:rsidRDefault="00BE60E9">
      <w:pPr>
        <w:jc w:val="both"/>
        <w:divId w:val="1159425753"/>
        <w:rPr>
          <w:rFonts w:eastAsia="Times New Roman"/>
        </w:rPr>
      </w:pPr>
      <w:r>
        <w:rPr>
          <w:rFonts w:eastAsia="Times New Roman"/>
          <w:b/>
          <w:bCs/>
          <w:i/>
          <w:iCs/>
          <w:color w:val="000000"/>
          <w:sz w:val="20"/>
          <w:szCs w:val="20"/>
        </w:rPr>
        <w:lastRenderedPageBreak/>
        <w:t>Gwh -</w:t>
      </w:r>
      <w:r>
        <w:rPr>
          <w:rFonts w:eastAsia="Times New Roman"/>
          <w:color w:val="000000"/>
          <w:sz w:val="20"/>
          <w:szCs w:val="20"/>
        </w:rPr>
        <w:t xml:space="preserve"> Millions of kilowatt hours</w:t>
      </w:r>
    </w:p>
    <w:p w:rsidR="00000000" w:rsidRDefault="00BE60E9">
      <w:pPr>
        <w:jc w:val="both"/>
        <w:divId w:val="469132368"/>
        <w:rPr>
          <w:rFonts w:eastAsia="Times New Roman"/>
        </w:rPr>
      </w:pPr>
      <w:r>
        <w:rPr>
          <w:rFonts w:eastAsia="Times New Roman"/>
          <w:b/>
          <w:bCs/>
          <w:i/>
          <w:iCs/>
          <w:color w:val="000000"/>
          <w:sz w:val="20"/>
          <w:szCs w:val="20"/>
        </w:rPr>
        <w:t>ICE -</w:t>
      </w:r>
      <w:r>
        <w:rPr>
          <w:rFonts w:eastAsia="Times New Roman"/>
          <w:color w:val="000000"/>
          <w:sz w:val="20"/>
          <w:szCs w:val="20"/>
        </w:rPr>
        <w:t xml:space="preserve"> Interc</w:t>
      </w:r>
      <w:r>
        <w:rPr>
          <w:rFonts w:eastAsia="Times New Roman"/>
          <w:color w:val="000000"/>
          <w:sz w:val="20"/>
          <w:szCs w:val="20"/>
        </w:rPr>
        <w:t>ontinental Exchange</w:t>
      </w:r>
    </w:p>
    <w:p w:rsidR="00000000" w:rsidRDefault="00BE60E9">
      <w:pPr>
        <w:jc w:val="both"/>
        <w:divId w:val="13310410"/>
        <w:rPr>
          <w:rFonts w:eastAsia="Times New Roman"/>
        </w:rPr>
      </w:pPr>
      <w:r>
        <w:rPr>
          <w:rFonts w:eastAsia="Times New Roman"/>
          <w:b/>
          <w:bCs/>
          <w:i/>
          <w:iCs/>
          <w:color w:val="000000"/>
          <w:sz w:val="20"/>
          <w:szCs w:val="20"/>
        </w:rPr>
        <w:t>IRPA -</w:t>
      </w:r>
      <w:r>
        <w:rPr>
          <w:rFonts w:eastAsia="Times New Roman"/>
          <w:color w:val="000000"/>
          <w:sz w:val="20"/>
          <w:szCs w:val="20"/>
        </w:rPr>
        <w:t xml:space="preserve"> Interest rate protection agreement</w:t>
      </w:r>
    </w:p>
    <w:p w:rsidR="00000000" w:rsidRDefault="00BE60E9">
      <w:pPr>
        <w:jc w:val="both"/>
        <w:divId w:val="1947080417"/>
        <w:rPr>
          <w:rFonts w:eastAsia="Times New Roman"/>
        </w:rPr>
      </w:pPr>
      <w:r>
        <w:rPr>
          <w:rFonts w:eastAsia="Times New Roman"/>
          <w:b/>
          <w:bCs/>
          <w:i/>
          <w:iCs/>
          <w:color w:val="000000"/>
          <w:sz w:val="20"/>
          <w:szCs w:val="20"/>
        </w:rPr>
        <w:t>LNG -</w:t>
      </w:r>
      <w:r>
        <w:rPr>
          <w:rFonts w:eastAsia="Times New Roman"/>
          <w:color w:val="000000"/>
          <w:sz w:val="20"/>
          <w:szCs w:val="20"/>
        </w:rPr>
        <w:t xml:space="preserve"> Liquefied natural gas</w:t>
      </w:r>
    </w:p>
    <w:p w:rsidR="00000000" w:rsidRDefault="00BE60E9">
      <w:pPr>
        <w:jc w:val="both"/>
        <w:divId w:val="1024794227"/>
        <w:rPr>
          <w:rFonts w:eastAsia="Times New Roman"/>
        </w:rPr>
      </w:pPr>
      <w:r>
        <w:rPr>
          <w:rFonts w:eastAsia="Times New Roman"/>
          <w:b/>
          <w:bCs/>
          <w:i/>
          <w:iCs/>
          <w:color w:val="000000"/>
          <w:sz w:val="20"/>
          <w:szCs w:val="20"/>
        </w:rPr>
        <w:t>LPG -</w:t>
      </w:r>
      <w:r>
        <w:rPr>
          <w:rFonts w:eastAsia="Times New Roman"/>
          <w:color w:val="000000"/>
          <w:sz w:val="20"/>
          <w:szCs w:val="20"/>
        </w:rPr>
        <w:t xml:space="preserve"> Liquefied petroleum gas</w:t>
      </w:r>
    </w:p>
    <w:p w:rsidR="00000000" w:rsidRDefault="00BE60E9">
      <w:pPr>
        <w:jc w:val="both"/>
        <w:divId w:val="624845611"/>
        <w:rPr>
          <w:rFonts w:eastAsia="Times New Roman"/>
        </w:rPr>
      </w:pPr>
      <w:r>
        <w:rPr>
          <w:rFonts w:eastAsia="Times New Roman"/>
          <w:b/>
          <w:bCs/>
          <w:i/>
          <w:iCs/>
          <w:color w:val="000000"/>
          <w:sz w:val="20"/>
          <w:szCs w:val="20"/>
        </w:rPr>
        <w:t xml:space="preserve">MDPSC - </w:t>
      </w:r>
      <w:r>
        <w:rPr>
          <w:rFonts w:eastAsia="Times New Roman"/>
          <w:color w:val="000000"/>
          <w:sz w:val="20"/>
          <w:szCs w:val="20"/>
        </w:rPr>
        <w:t>Maryland Public Service Commission</w:t>
      </w:r>
    </w:p>
    <w:p w:rsidR="00000000" w:rsidRDefault="00BE60E9">
      <w:pPr>
        <w:jc w:val="both"/>
        <w:divId w:val="2116360127"/>
        <w:rPr>
          <w:rFonts w:eastAsia="Times New Roman"/>
        </w:rPr>
      </w:pPr>
      <w:r>
        <w:rPr>
          <w:rFonts w:eastAsia="Times New Roman"/>
          <w:b/>
          <w:bCs/>
          <w:i/>
          <w:iCs/>
          <w:color w:val="000000"/>
          <w:sz w:val="20"/>
          <w:szCs w:val="20"/>
        </w:rPr>
        <w:t xml:space="preserve">MGP - </w:t>
      </w:r>
      <w:r>
        <w:rPr>
          <w:rFonts w:eastAsia="Times New Roman"/>
          <w:color w:val="000000"/>
          <w:sz w:val="20"/>
          <w:szCs w:val="20"/>
        </w:rPr>
        <w:t>Manufactured gas plant</w:t>
      </w:r>
    </w:p>
    <w:p w:rsidR="00000000" w:rsidRDefault="00BE60E9">
      <w:pPr>
        <w:jc w:val="both"/>
        <w:divId w:val="327633818"/>
        <w:rPr>
          <w:rFonts w:eastAsia="Times New Roman"/>
        </w:rPr>
      </w:pPr>
      <w:r>
        <w:rPr>
          <w:rFonts w:eastAsia="Times New Roman"/>
          <w:b/>
          <w:bCs/>
          <w:i/>
          <w:iCs/>
          <w:color w:val="000000"/>
          <w:sz w:val="20"/>
          <w:szCs w:val="20"/>
        </w:rPr>
        <w:t>Mountaineer Acquisition</w:t>
      </w:r>
      <w:r>
        <w:rPr>
          <w:rFonts w:eastAsia="Times New Roman"/>
          <w:b/>
          <w:bCs/>
          <w:color w:val="000000"/>
          <w:sz w:val="20"/>
          <w:szCs w:val="20"/>
        </w:rPr>
        <w:t xml:space="preserve"> -</w:t>
      </w:r>
      <w:r>
        <w:rPr>
          <w:rFonts w:eastAsia="Times New Roman"/>
          <w:color w:val="000000"/>
          <w:sz w:val="20"/>
          <w:szCs w:val="20"/>
        </w:rPr>
        <w:t xml:space="preserve"> </w:t>
      </w:r>
      <w:r>
        <w:rPr>
          <w:rFonts w:eastAsia="Times New Roman"/>
          <w:color w:val="000000"/>
          <w:sz w:val="20"/>
          <w:szCs w:val="20"/>
        </w:rPr>
        <w:t>Acquisition of Mountaintop Energy Holdings LLC, which closed on September 1, 2021</w:t>
      </w:r>
    </w:p>
    <w:p w:rsidR="00000000" w:rsidRDefault="00BE60E9">
      <w:pPr>
        <w:jc w:val="both"/>
        <w:divId w:val="1591783"/>
        <w:rPr>
          <w:rFonts w:eastAsia="Times New Roman"/>
        </w:rPr>
      </w:pPr>
      <w:r>
        <w:rPr>
          <w:rFonts w:eastAsia="Times New Roman"/>
          <w:b/>
          <w:bCs/>
          <w:i/>
          <w:iCs/>
          <w:color w:val="000000"/>
          <w:sz w:val="20"/>
          <w:szCs w:val="20"/>
        </w:rPr>
        <w:t>NOAA -</w:t>
      </w:r>
      <w:r>
        <w:rPr>
          <w:rFonts w:eastAsia="Times New Roman"/>
          <w:color w:val="000000"/>
          <w:sz w:val="20"/>
          <w:szCs w:val="20"/>
        </w:rPr>
        <w:t xml:space="preserve"> National Oceanic and Atmospheric Administration</w:t>
      </w:r>
    </w:p>
    <w:p w:rsidR="00000000" w:rsidRDefault="00BE60E9">
      <w:pPr>
        <w:jc w:val="both"/>
        <w:divId w:val="1252473468"/>
        <w:rPr>
          <w:rFonts w:eastAsia="Times New Roman"/>
        </w:rPr>
      </w:pPr>
      <w:r>
        <w:rPr>
          <w:rFonts w:eastAsia="Times New Roman"/>
          <w:b/>
          <w:bCs/>
          <w:i/>
          <w:iCs/>
          <w:color w:val="000000"/>
          <w:sz w:val="20"/>
          <w:szCs w:val="20"/>
        </w:rPr>
        <w:t>NPNS -</w:t>
      </w:r>
      <w:r>
        <w:rPr>
          <w:rFonts w:eastAsia="Times New Roman"/>
          <w:color w:val="000000"/>
          <w:sz w:val="20"/>
          <w:szCs w:val="20"/>
        </w:rPr>
        <w:t xml:space="preserve"> Normal purchase and normal sale</w:t>
      </w:r>
    </w:p>
    <w:p w:rsidR="00000000" w:rsidRDefault="00BE60E9">
      <w:pPr>
        <w:jc w:val="both"/>
        <w:divId w:val="1041593664"/>
        <w:rPr>
          <w:rFonts w:eastAsia="Times New Roman"/>
        </w:rPr>
      </w:pPr>
      <w:r>
        <w:rPr>
          <w:rFonts w:eastAsia="Times New Roman"/>
          <w:b/>
          <w:bCs/>
          <w:i/>
          <w:iCs/>
          <w:color w:val="000000"/>
          <w:sz w:val="20"/>
          <w:szCs w:val="20"/>
        </w:rPr>
        <w:t xml:space="preserve">NYDEC - </w:t>
      </w:r>
      <w:r>
        <w:rPr>
          <w:rFonts w:eastAsia="Times New Roman"/>
          <w:color w:val="000000"/>
          <w:sz w:val="20"/>
          <w:szCs w:val="20"/>
        </w:rPr>
        <w:t>New York State Department of Environmental Conservation</w:t>
      </w:r>
    </w:p>
    <w:p w:rsidR="00000000" w:rsidRDefault="00BE60E9">
      <w:pPr>
        <w:jc w:val="both"/>
        <w:divId w:val="1401714004"/>
        <w:rPr>
          <w:rFonts w:eastAsia="Times New Roman"/>
        </w:rPr>
      </w:pPr>
      <w:r>
        <w:rPr>
          <w:rFonts w:eastAsia="Times New Roman"/>
          <w:b/>
          <w:bCs/>
          <w:i/>
          <w:iCs/>
          <w:color w:val="000000"/>
          <w:sz w:val="20"/>
          <w:szCs w:val="20"/>
        </w:rPr>
        <w:t>NYMEX -</w:t>
      </w:r>
      <w:r>
        <w:rPr>
          <w:rFonts w:eastAsia="Times New Roman"/>
          <w:color w:val="000000"/>
          <w:sz w:val="20"/>
          <w:szCs w:val="20"/>
        </w:rPr>
        <w:t xml:space="preserve"> New York</w:t>
      </w:r>
      <w:r>
        <w:rPr>
          <w:rFonts w:eastAsia="Times New Roman"/>
          <w:color w:val="000000"/>
          <w:sz w:val="20"/>
          <w:szCs w:val="20"/>
        </w:rPr>
        <w:t xml:space="preserve"> Mercantile Exchange</w:t>
      </w:r>
    </w:p>
    <w:p w:rsidR="00000000" w:rsidRDefault="00BE60E9">
      <w:pPr>
        <w:jc w:val="both"/>
        <w:divId w:val="1320381499"/>
        <w:rPr>
          <w:rFonts w:eastAsia="Times New Roman"/>
        </w:rPr>
      </w:pPr>
      <w:r>
        <w:rPr>
          <w:rFonts w:eastAsia="Times New Roman"/>
          <w:b/>
          <w:bCs/>
          <w:i/>
          <w:iCs/>
          <w:color w:val="000000"/>
          <w:sz w:val="20"/>
          <w:szCs w:val="20"/>
        </w:rPr>
        <w:t>PADEP -</w:t>
      </w:r>
      <w:r>
        <w:rPr>
          <w:rFonts w:eastAsia="Times New Roman"/>
          <w:color w:val="000000"/>
          <w:sz w:val="20"/>
          <w:szCs w:val="20"/>
        </w:rPr>
        <w:t xml:space="preserve"> Pennsylvania Department of Environmental Protection</w:t>
      </w:r>
    </w:p>
    <w:p w:rsidR="00000000" w:rsidRDefault="00BE60E9">
      <w:pPr>
        <w:jc w:val="both"/>
        <w:divId w:val="820465474"/>
        <w:rPr>
          <w:rFonts w:eastAsia="Times New Roman"/>
        </w:rPr>
      </w:pPr>
      <w:r>
        <w:rPr>
          <w:rFonts w:eastAsia="Times New Roman"/>
          <w:b/>
          <w:bCs/>
          <w:i/>
          <w:iCs/>
          <w:color w:val="000000"/>
          <w:sz w:val="20"/>
          <w:szCs w:val="20"/>
        </w:rPr>
        <w:t>PAPUC -</w:t>
      </w:r>
      <w:r>
        <w:rPr>
          <w:rFonts w:eastAsia="Times New Roman"/>
          <w:color w:val="000000"/>
          <w:sz w:val="20"/>
          <w:szCs w:val="20"/>
        </w:rPr>
        <w:t xml:space="preserve"> Pennsylvania Public Utility Commission</w:t>
      </w:r>
    </w:p>
    <w:p w:rsidR="00000000" w:rsidRDefault="00BE60E9">
      <w:pPr>
        <w:jc w:val="both"/>
        <w:divId w:val="919558344"/>
        <w:rPr>
          <w:rFonts w:eastAsia="Times New Roman"/>
        </w:rPr>
      </w:pPr>
      <w:r>
        <w:rPr>
          <w:rFonts w:eastAsia="Times New Roman"/>
          <w:b/>
          <w:bCs/>
          <w:i/>
          <w:iCs/>
          <w:color w:val="000000"/>
          <w:sz w:val="20"/>
          <w:szCs w:val="20"/>
        </w:rPr>
        <w:t>PGC -</w:t>
      </w:r>
      <w:r>
        <w:rPr>
          <w:rFonts w:eastAsia="Times New Roman"/>
          <w:color w:val="000000"/>
          <w:sz w:val="20"/>
          <w:szCs w:val="20"/>
        </w:rPr>
        <w:t xml:space="preserve"> Purchased gas costs</w:t>
      </w:r>
    </w:p>
    <w:p w:rsidR="00000000" w:rsidRDefault="00BE60E9">
      <w:pPr>
        <w:jc w:val="both"/>
        <w:divId w:val="148719838"/>
        <w:rPr>
          <w:rFonts w:eastAsia="Times New Roman"/>
        </w:rPr>
      </w:pPr>
      <w:r>
        <w:rPr>
          <w:rFonts w:eastAsia="Times New Roman"/>
          <w:b/>
          <w:bCs/>
          <w:i/>
          <w:iCs/>
          <w:color w:val="000000"/>
          <w:sz w:val="20"/>
          <w:szCs w:val="20"/>
        </w:rPr>
        <w:t xml:space="preserve">PRP - </w:t>
      </w:r>
      <w:r>
        <w:rPr>
          <w:rFonts w:eastAsia="Times New Roman"/>
          <w:color w:val="000000"/>
          <w:sz w:val="20"/>
          <w:szCs w:val="20"/>
        </w:rPr>
        <w:t>Potentially Responsible Party</w:t>
      </w:r>
    </w:p>
    <w:p w:rsidR="00000000" w:rsidRDefault="00BE60E9">
      <w:pPr>
        <w:jc w:val="center"/>
        <w:divId w:val="279721670"/>
        <w:rPr>
          <w:rFonts w:eastAsia="Times New Roman"/>
        </w:rPr>
      </w:pPr>
      <w:r>
        <w:rPr>
          <w:rFonts w:eastAsia="Times New Roman"/>
          <w:color w:val="000000"/>
          <w:sz w:val="20"/>
          <w:szCs w:val="20"/>
        </w:rPr>
        <w:t>3</w:t>
      </w:r>
    </w:p>
    <w:p w:rsidR="00000000" w:rsidRDefault="00BE60E9">
      <w:pPr>
        <w:rPr>
          <w:rFonts w:eastAsia="Times New Roman"/>
        </w:rPr>
      </w:pPr>
      <w:r>
        <w:rPr>
          <w:rFonts w:eastAsia="Times New Roman"/>
        </w:rPr>
        <w:pict>
          <v:rect id="_x0000_i1029" style="width:0;height:1.5pt" o:hralign="center" o:hrstd="t" o:hr="t" fillcolor="#a0a0a0" stroked="f"/>
        </w:pict>
      </w:r>
    </w:p>
    <w:p w:rsidR="00000000" w:rsidRDefault="00BE60E9">
      <w:pPr>
        <w:divId w:val="266233082"/>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1599631180"/>
        <w:rPr>
          <w:rFonts w:eastAsia="Times New Roman"/>
        </w:rPr>
      </w:pPr>
    </w:p>
    <w:p w:rsidR="00000000" w:rsidRDefault="00BE60E9">
      <w:pPr>
        <w:divId w:val="1718968993"/>
        <w:rPr>
          <w:rFonts w:eastAsia="Times New Roman"/>
        </w:rPr>
      </w:pPr>
    </w:p>
    <w:p w:rsidR="00000000" w:rsidRDefault="00BE60E9">
      <w:pPr>
        <w:divId w:val="1606424468"/>
        <w:rPr>
          <w:rFonts w:eastAsia="Times New Roman"/>
        </w:rPr>
      </w:pPr>
      <w:r>
        <w:rPr>
          <w:rFonts w:eastAsia="Times New Roman"/>
          <w:b/>
          <w:bCs/>
          <w:i/>
          <w:iCs/>
          <w:color w:val="000000"/>
          <w:sz w:val="20"/>
          <w:szCs w:val="20"/>
        </w:rPr>
        <w:t xml:space="preserve">Purchase Contracts - </w:t>
      </w:r>
      <w:r>
        <w:rPr>
          <w:rFonts w:eastAsia="Times New Roman"/>
          <w:color w:val="000000"/>
          <w:sz w:val="20"/>
          <w:szCs w:val="20"/>
        </w:rPr>
        <w:t>F</w:t>
      </w:r>
      <w:r>
        <w:rPr>
          <w:rFonts w:eastAsia="Times New Roman"/>
          <w:color w:val="000000"/>
          <w:sz w:val="20"/>
          <w:szCs w:val="20"/>
          <w:shd w:val="clear" w:color="auto" w:fill="FFFFFF"/>
        </w:rPr>
        <w:t xml:space="preserve">orward stock purchase contracts issued by UGI Corporation in May 2021, which obligate holders to purchase a number of </w:t>
      </w:r>
      <w:r>
        <w:rPr>
          <w:rFonts w:eastAsia="Times New Roman"/>
          <w:color w:val="000000"/>
          <w:sz w:val="20"/>
          <w:szCs w:val="20"/>
          <w:shd w:val="clear" w:color="auto" w:fill="FFFFFF"/>
        </w:rPr>
        <w:t>shares of UGI common stock from the Company on June 1, 2024</w:t>
      </w:r>
    </w:p>
    <w:p w:rsidR="00000000" w:rsidRDefault="00BE60E9">
      <w:pPr>
        <w:jc w:val="both"/>
        <w:divId w:val="516309247"/>
        <w:rPr>
          <w:rFonts w:eastAsia="Times New Roman"/>
        </w:rPr>
      </w:pPr>
      <w:r>
        <w:rPr>
          <w:rFonts w:eastAsia="Times New Roman"/>
          <w:b/>
          <w:bCs/>
          <w:i/>
          <w:iCs/>
          <w:color w:val="000000"/>
          <w:sz w:val="20"/>
          <w:szCs w:val="20"/>
        </w:rPr>
        <w:t>Receivables Facility -</w:t>
      </w:r>
      <w:r>
        <w:rPr>
          <w:rFonts w:eastAsia="Times New Roman"/>
          <w:color w:val="000000"/>
          <w:sz w:val="20"/>
          <w:szCs w:val="20"/>
        </w:rPr>
        <w:t xml:space="preserve"> A receivables purchase facility of Energy Services with an issuer of receivables-backed commercial paper</w:t>
      </w:r>
    </w:p>
    <w:p w:rsidR="00000000" w:rsidRDefault="00BE60E9">
      <w:pPr>
        <w:jc w:val="both"/>
        <w:divId w:val="520240762"/>
        <w:rPr>
          <w:rFonts w:eastAsia="Times New Roman"/>
        </w:rPr>
      </w:pPr>
      <w:r>
        <w:rPr>
          <w:rFonts w:eastAsia="Times New Roman"/>
          <w:b/>
          <w:bCs/>
          <w:i/>
          <w:iCs/>
          <w:color w:val="000000"/>
          <w:sz w:val="20"/>
          <w:szCs w:val="20"/>
        </w:rPr>
        <w:t>Retail core-market -</w:t>
      </w:r>
      <w:r>
        <w:rPr>
          <w:rFonts w:eastAsia="Times New Roman"/>
          <w:color w:val="000000"/>
          <w:sz w:val="20"/>
          <w:szCs w:val="20"/>
        </w:rPr>
        <w:t xml:space="preserve"> Comprises firm residential, commercial and indu</w:t>
      </w:r>
      <w:r>
        <w:rPr>
          <w:rFonts w:eastAsia="Times New Roman"/>
          <w:color w:val="000000"/>
          <w:sz w:val="20"/>
          <w:szCs w:val="20"/>
        </w:rPr>
        <w:t>strial customers to whom Utilities has a statutory obligation to provide service that purchase their natural gas from Utilities</w:t>
      </w:r>
    </w:p>
    <w:p w:rsidR="00000000" w:rsidRDefault="00BE60E9">
      <w:pPr>
        <w:jc w:val="both"/>
        <w:divId w:val="1901359317"/>
        <w:rPr>
          <w:rFonts w:eastAsia="Times New Roman"/>
        </w:rPr>
      </w:pPr>
      <w:r>
        <w:rPr>
          <w:rFonts w:eastAsia="Times New Roman"/>
          <w:b/>
          <w:bCs/>
          <w:i/>
          <w:iCs/>
          <w:color w:val="000000"/>
          <w:sz w:val="20"/>
          <w:szCs w:val="20"/>
        </w:rPr>
        <w:t xml:space="preserve">RNG </w:t>
      </w:r>
      <w:r>
        <w:rPr>
          <w:rFonts w:eastAsia="Times New Roman"/>
          <w:color w:val="000000"/>
          <w:sz w:val="20"/>
          <w:szCs w:val="20"/>
        </w:rPr>
        <w:t>- Renewable natural gas</w:t>
      </w:r>
    </w:p>
    <w:p w:rsidR="00000000" w:rsidRDefault="00BE60E9">
      <w:pPr>
        <w:jc w:val="both"/>
        <w:divId w:val="1153791389"/>
        <w:rPr>
          <w:rFonts w:eastAsia="Times New Roman"/>
        </w:rPr>
      </w:pPr>
      <w:r>
        <w:rPr>
          <w:rFonts w:eastAsia="Times New Roman"/>
          <w:b/>
          <w:bCs/>
          <w:i/>
          <w:iCs/>
          <w:color w:val="000000"/>
          <w:sz w:val="20"/>
          <w:szCs w:val="20"/>
        </w:rPr>
        <w:t xml:space="preserve">ROD - </w:t>
      </w:r>
      <w:r>
        <w:rPr>
          <w:rFonts w:eastAsia="Times New Roman"/>
          <w:color w:val="000000"/>
          <w:sz w:val="20"/>
          <w:szCs w:val="20"/>
        </w:rPr>
        <w:t>Record of Decision</w:t>
      </w:r>
    </w:p>
    <w:p w:rsidR="00000000" w:rsidRDefault="00BE60E9">
      <w:pPr>
        <w:jc w:val="both"/>
        <w:divId w:val="910239566"/>
        <w:rPr>
          <w:rFonts w:eastAsia="Times New Roman"/>
        </w:rPr>
      </w:pPr>
      <w:r>
        <w:rPr>
          <w:rFonts w:eastAsia="Times New Roman"/>
          <w:b/>
          <w:bCs/>
          <w:i/>
          <w:iCs/>
          <w:color w:val="000000"/>
          <w:sz w:val="20"/>
          <w:szCs w:val="20"/>
        </w:rPr>
        <w:t>SEC -</w:t>
      </w:r>
      <w:r>
        <w:rPr>
          <w:rFonts w:eastAsia="Times New Roman"/>
          <w:color w:val="000000"/>
          <w:sz w:val="20"/>
          <w:szCs w:val="20"/>
        </w:rPr>
        <w:t xml:space="preserve"> U.S. Securities and Exchange Commission</w:t>
      </w:r>
    </w:p>
    <w:p w:rsidR="00000000" w:rsidRDefault="00BE60E9">
      <w:pPr>
        <w:jc w:val="both"/>
        <w:divId w:val="1722947555"/>
        <w:rPr>
          <w:rFonts w:eastAsia="Times New Roman"/>
        </w:rPr>
      </w:pPr>
      <w:r>
        <w:rPr>
          <w:rFonts w:eastAsia="Times New Roman"/>
          <w:b/>
          <w:bCs/>
          <w:i/>
          <w:iCs/>
          <w:color w:val="000000"/>
          <w:sz w:val="20"/>
          <w:szCs w:val="20"/>
        </w:rPr>
        <w:t>Stonehenge Acquisition</w:t>
      </w:r>
      <w:r>
        <w:rPr>
          <w:rFonts w:eastAsia="Times New Roman"/>
          <w:color w:val="000000"/>
          <w:sz w:val="20"/>
          <w:szCs w:val="20"/>
        </w:rPr>
        <w:t xml:space="preserve"> - Acqu</w:t>
      </w:r>
      <w:r>
        <w:rPr>
          <w:rFonts w:eastAsia="Times New Roman"/>
          <w:color w:val="000000"/>
          <w:sz w:val="20"/>
          <w:szCs w:val="20"/>
        </w:rPr>
        <w:t>isition of Stonehenge Appalachia, LLC, which closed January 27, 2022</w:t>
      </w:r>
    </w:p>
    <w:p w:rsidR="00000000" w:rsidRDefault="00BE60E9">
      <w:pPr>
        <w:jc w:val="both"/>
        <w:divId w:val="2109423119"/>
        <w:rPr>
          <w:rFonts w:eastAsia="Times New Roman"/>
        </w:rPr>
      </w:pPr>
      <w:r>
        <w:rPr>
          <w:rFonts w:eastAsia="Times New Roman"/>
          <w:b/>
          <w:bCs/>
          <w:i/>
          <w:iCs/>
          <w:color w:val="000000"/>
          <w:sz w:val="20"/>
          <w:szCs w:val="20"/>
        </w:rPr>
        <w:t xml:space="preserve">UGI Corporation Senior Credit Facility - </w:t>
      </w:r>
      <w:r>
        <w:rPr>
          <w:rFonts w:eastAsia="Times New Roman"/>
          <w:color w:val="000000"/>
          <w:sz w:val="20"/>
          <w:szCs w:val="20"/>
        </w:rPr>
        <w:t xml:space="preserve">An amended unsecured senior facilities agreement entered into on May 4, 2021, by UGI comprising (1) a $250 million term loan due August 2024; (2) </w:t>
      </w:r>
      <w:r>
        <w:rPr>
          <w:rFonts w:eastAsia="Times New Roman"/>
          <w:color w:val="000000"/>
          <w:sz w:val="20"/>
          <w:szCs w:val="20"/>
        </w:rPr>
        <w:t>a $300 million term loan due May 2025; (3) a $215 million term loan due May 2025 and (3) a five-year $300 million revolving credit facility (including a $10 million sublimit for letters of credit)</w:t>
      </w:r>
    </w:p>
    <w:p w:rsidR="00000000" w:rsidRDefault="00BE60E9">
      <w:pPr>
        <w:jc w:val="both"/>
        <w:divId w:val="1394307878"/>
        <w:rPr>
          <w:rFonts w:eastAsia="Times New Roman"/>
        </w:rPr>
      </w:pPr>
      <w:r>
        <w:rPr>
          <w:rFonts w:eastAsia="Times New Roman"/>
          <w:b/>
          <w:bCs/>
          <w:i/>
          <w:iCs/>
          <w:color w:val="000000"/>
          <w:sz w:val="20"/>
          <w:szCs w:val="20"/>
        </w:rPr>
        <w:t>UGI International 2.50% Senior Notes -</w:t>
      </w:r>
      <w:r>
        <w:rPr>
          <w:rFonts w:eastAsia="Times New Roman"/>
          <w:color w:val="000000"/>
          <w:sz w:val="20"/>
          <w:szCs w:val="20"/>
        </w:rPr>
        <w:t xml:space="preserve"> An underwritten priv</w:t>
      </w:r>
      <w:r>
        <w:rPr>
          <w:rFonts w:eastAsia="Times New Roman"/>
          <w:color w:val="000000"/>
          <w:sz w:val="20"/>
          <w:szCs w:val="20"/>
        </w:rPr>
        <w:t>ate placement of €400 million principal amount of senior unsecured notes due December 1, 2029, issued by UGI International, LLC</w:t>
      </w:r>
    </w:p>
    <w:p w:rsidR="00000000" w:rsidRDefault="00BE60E9">
      <w:pPr>
        <w:jc w:val="both"/>
        <w:divId w:val="894971334"/>
        <w:rPr>
          <w:rFonts w:eastAsia="Times New Roman"/>
        </w:rPr>
      </w:pPr>
      <w:r>
        <w:rPr>
          <w:rFonts w:eastAsia="Times New Roman"/>
          <w:b/>
          <w:bCs/>
          <w:i/>
          <w:iCs/>
          <w:color w:val="000000"/>
          <w:sz w:val="20"/>
          <w:szCs w:val="20"/>
        </w:rPr>
        <w:t>UGI International 3.25% Senior Notes -</w:t>
      </w:r>
      <w:r>
        <w:rPr>
          <w:rFonts w:eastAsia="Times New Roman"/>
          <w:color w:val="000000"/>
          <w:sz w:val="20"/>
          <w:szCs w:val="20"/>
        </w:rPr>
        <w:t xml:space="preserve"> An underwritten private placement of €350 million principal amount of senior unsecured no</w:t>
      </w:r>
      <w:r>
        <w:rPr>
          <w:rFonts w:eastAsia="Times New Roman"/>
          <w:color w:val="000000"/>
          <w:sz w:val="20"/>
          <w:szCs w:val="20"/>
        </w:rPr>
        <w:t>tes due November 1, 2025, issued by UGI International, LLC</w:t>
      </w:r>
    </w:p>
    <w:p w:rsidR="00000000" w:rsidRDefault="00BE60E9">
      <w:pPr>
        <w:jc w:val="both"/>
        <w:divId w:val="141889338"/>
        <w:rPr>
          <w:rFonts w:eastAsia="Times New Roman"/>
        </w:rPr>
      </w:pPr>
      <w:r>
        <w:rPr>
          <w:rFonts w:eastAsia="Times New Roman"/>
          <w:b/>
          <w:bCs/>
          <w:i/>
          <w:iCs/>
          <w:color w:val="000000"/>
          <w:sz w:val="20"/>
          <w:szCs w:val="20"/>
        </w:rPr>
        <w:t xml:space="preserve">UGI International Credit Facilities Agreement - </w:t>
      </w:r>
      <w:r>
        <w:rPr>
          <w:rFonts w:eastAsia="Times New Roman"/>
          <w:color w:val="000000"/>
          <w:sz w:val="20"/>
          <w:szCs w:val="20"/>
        </w:rPr>
        <w:t>A five-year unsecured senior facilities agreement entered into in October 2018, by UGI International, LLC comprising a €300 million term loan facilit</w:t>
      </w:r>
      <w:r>
        <w:rPr>
          <w:rFonts w:eastAsia="Times New Roman"/>
          <w:color w:val="000000"/>
          <w:sz w:val="20"/>
          <w:szCs w:val="20"/>
        </w:rPr>
        <w:t>y and a €300 million revolving credit facility, scheduled to expire in October 2023</w:t>
      </w:r>
    </w:p>
    <w:p w:rsidR="00000000" w:rsidRDefault="00BE60E9">
      <w:pPr>
        <w:jc w:val="both"/>
        <w:divId w:val="908658532"/>
        <w:rPr>
          <w:rFonts w:eastAsia="Times New Roman"/>
        </w:rPr>
      </w:pPr>
      <w:r>
        <w:rPr>
          <w:rFonts w:eastAsia="Times New Roman"/>
          <w:b/>
          <w:bCs/>
          <w:i/>
          <w:iCs/>
          <w:color w:val="000000"/>
          <w:sz w:val="20"/>
          <w:szCs w:val="20"/>
        </w:rPr>
        <w:t>U.S.</w:t>
      </w:r>
      <w:r>
        <w:rPr>
          <w:rFonts w:eastAsia="Times New Roman"/>
          <w:color w:val="000000"/>
          <w:sz w:val="20"/>
          <w:szCs w:val="20"/>
        </w:rPr>
        <w:t xml:space="preserve"> - United States of America</w:t>
      </w:r>
    </w:p>
    <w:p w:rsidR="00000000" w:rsidRDefault="00BE60E9">
      <w:pPr>
        <w:jc w:val="both"/>
        <w:divId w:val="130482666"/>
        <w:rPr>
          <w:rFonts w:eastAsia="Times New Roman"/>
        </w:rPr>
      </w:pPr>
      <w:r>
        <w:rPr>
          <w:rFonts w:eastAsia="Times New Roman"/>
          <w:b/>
          <w:bCs/>
          <w:i/>
          <w:iCs/>
          <w:color w:val="000000"/>
          <w:sz w:val="20"/>
          <w:szCs w:val="20"/>
        </w:rPr>
        <w:t xml:space="preserve">USD </w:t>
      </w:r>
      <w:r>
        <w:rPr>
          <w:rFonts w:eastAsia="Times New Roman"/>
          <w:color w:val="000000"/>
          <w:sz w:val="20"/>
          <w:szCs w:val="20"/>
        </w:rPr>
        <w:t>- U.S. dollar</w:t>
      </w:r>
    </w:p>
    <w:p w:rsidR="00000000" w:rsidRDefault="00BE60E9">
      <w:pPr>
        <w:jc w:val="both"/>
        <w:divId w:val="1710839335"/>
        <w:rPr>
          <w:rFonts w:eastAsia="Times New Roman"/>
        </w:rPr>
      </w:pPr>
      <w:r>
        <w:rPr>
          <w:rFonts w:eastAsia="Times New Roman"/>
          <w:b/>
          <w:bCs/>
          <w:i/>
          <w:iCs/>
          <w:color w:val="000000"/>
          <w:sz w:val="20"/>
          <w:szCs w:val="20"/>
        </w:rPr>
        <w:t>Utilities Term Loan -</w:t>
      </w:r>
      <w:r>
        <w:rPr>
          <w:rFonts w:eastAsia="Times New Roman"/>
          <w:color w:val="000000"/>
          <w:sz w:val="20"/>
          <w:szCs w:val="20"/>
        </w:rPr>
        <w:t xml:space="preserve"> A $125 million unsecured variable-rate term loan agreement entered into in October 2017, by UGI Util</w:t>
      </w:r>
      <w:r>
        <w:rPr>
          <w:rFonts w:eastAsia="Times New Roman"/>
          <w:color w:val="000000"/>
          <w:sz w:val="20"/>
          <w:szCs w:val="20"/>
        </w:rPr>
        <w:t>ities, Inc., which was amended in July 2022 to extend its maturity date from October 2022 to July 2027</w:t>
      </w:r>
    </w:p>
    <w:p w:rsidR="00000000" w:rsidRDefault="00BE60E9">
      <w:pPr>
        <w:jc w:val="both"/>
        <w:divId w:val="1169561911"/>
        <w:rPr>
          <w:rFonts w:eastAsia="Times New Roman"/>
        </w:rPr>
      </w:pPr>
      <w:r>
        <w:rPr>
          <w:rFonts w:eastAsia="Times New Roman"/>
          <w:b/>
          <w:bCs/>
          <w:i/>
          <w:iCs/>
          <w:color w:val="000000"/>
          <w:sz w:val="20"/>
          <w:szCs w:val="20"/>
        </w:rPr>
        <w:t>WHO</w:t>
      </w:r>
      <w:r>
        <w:rPr>
          <w:rFonts w:eastAsia="Times New Roman"/>
          <w:color w:val="000000"/>
          <w:sz w:val="20"/>
          <w:szCs w:val="20"/>
        </w:rPr>
        <w:t xml:space="preserve"> - World Health Organization</w:t>
      </w:r>
    </w:p>
    <w:p w:rsidR="00000000" w:rsidRDefault="00BE60E9">
      <w:pPr>
        <w:jc w:val="both"/>
        <w:divId w:val="1385643136"/>
        <w:rPr>
          <w:rFonts w:eastAsia="Times New Roman"/>
        </w:rPr>
      </w:pPr>
      <w:r>
        <w:rPr>
          <w:rFonts w:eastAsia="Times New Roman"/>
          <w:b/>
          <w:bCs/>
          <w:i/>
          <w:iCs/>
          <w:color w:val="000000"/>
          <w:sz w:val="20"/>
          <w:szCs w:val="20"/>
        </w:rPr>
        <w:t>WVPSC</w:t>
      </w:r>
      <w:r>
        <w:rPr>
          <w:rFonts w:eastAsia="Times New Roman"/>
          <w:color w:val="000000"/>
          <w:sz w:val="20"/>
          <w:szCs w:val="20"/>
        </w:rPr>
        <w:t xml:space="preserve"> - Public Service Commission of West Virginia</w:t>
      </w:r>
    </w:p>
    <w:p w:rsidR="00000000" w:rsidRDefault="00BE60E9">
      <w:pPr>
        <w:jc w:val="center"/>
        <w:divId w:val="376854696"/>
        <w:rPr>
          <w:rFonts w:eastAsia="Times New Roman"/>
        </w:rPr>
      </w:pPr>
      <w:r>
        <w:rPr>
          <w:rFonts w:eastAsia="Times New Roman"/>
          <w:color w:val="000000"/>
          <w:sz w:val="20"/>
          <w:szCs w:val="20"/>
        </w:rPr>
        <w:t>4</w:t>
      </w:r>
    </w:p>
    <w:p w:rsidR="00000000" w:rsidRDefault="00BE60E9">
      <w:pPr>
        <w:rPr>
          <w:rFonts w:eastAsia="Times New Roman"/>
        </w:rPr>
      </w:pPr>
      <w:r>
        <w:rPr>
          <w:rFonts w:eastAsia="Times New Roman"/>
        </w:rPr>
        <w:pict>
          <v:rect id="_x0000_i1030" style="width:0;height:1.5pt" o:hralign="center" o:hrstd="t" o:hr="t" fillcolor="#a0a0a0" stroked="f"/>
        </w:pict>
      </w:r>
    </w:p>
    <w:p w:rsidR="00000000" w:rsidRDefault="00BE60E9">
      <w:pPr>
        <w:divId w:val="293753559"/>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625889227"/>
        <w:rPr>
          <w:rFonts w:eastAsia="Times New Roman"/>
        </w:rPr>
      </w:pPr>
      <w:r>
        <w:rPr>
          <w:rFonts w:eastAsia="Times New Roman"/>
          <w:b/>
          <w:bCs/>
          <w:color w:val="000000"/>
          <w:sz w:val="20"/>
          <w:szCs w:val="20"/>
        </w:rPr>
        <w:t>UGI CORPORATION AND SUBSIDIARIES</w:t>
      </w:r>
    </w:p>
    <w:p w:rsidR="00000000" w:rsidRDefault="00BE60E9">
      <w:pPr>
        <w:jc w:val="center"/>
        <w:divId w:val="1010526712"/>
        <w:rPr>
          <w:rFonts w:eastAsia="Times New Roman"/>
        </w:rPr>
      </w:pPr>
      <w:r>
        <w:rPr>
          <w:rFonts w:eastAsia="Times New Roman"/>
          <w:b/>
          <w:bCs/>
          <w:color w:val="000000"/>
          <w:sz w:val="20"/>
          <w:szCs w:val="20"/>
        </w:rPr>
        <w:t>PART I FINANCIAL INFORMATION</w:t>
      </w:r>
    </w:p>
    <w:p w:rsidR="00000000" w:rsidRDefault="00BE60E9">
      <w:pPr>
        <w:jc w:val="center"/>
        <w:divId w:val="1691564962"/>
        <w:rPr>
          <w:rFonts w:eastAsia="Times New Roman"/>
        </w:rPr>
      </w:pPr>
      <w:r>
        <w:rPr>
          <w:rFonts w:eastAsia="Times New Roman"/>
          <w:b/>
          <w:bCs/>
          <w:color w:val="000000"/>
          <w:sz w:val="20"/>
          <w:szCs w:val="20"/>
        </w:rPr>
        <w:t>ITEM 1. FINANCIAL STATEMENTS</w:t>
      </w:r>
    </w:p>
    <w:p w:rsidR="00000000" w:rsidRDefault="00BE60E9">
      <w:pPr>
        <w:jc w:val="center"/>
        <w:rPr>
          <w:rFonts w:eastAsia="Times New Roman"/>
        </w:rPr>
      </w:pPr>
      <w:r>
        <w:rPr>
          <w:rFonts w:eastAsia="Times New Roman"/>
          <w:b/>
          <w:bCs/>
          <w:color w:val="000000"/>
          <w:sz w:val="20"/>
          <w:szCs w:val="20"/>
        </w:rPr>
        <w:t>CONDENSED CONSOLIDATED BALANCE SHEETS</w:t>
      </w:r>
    </w:p>
    <w:p w:rsidR="00000000" w:rsidRDefault="00BE60E9">
      <w:pPr>
        <w:jc w:val="center"/>
        <w:rPr>
          <w:rFonts w:eastAsia="Times New Roman"/>
        </w:rPr>
      </w:pPr>
      <w:r>
        <w:rPr>
          <w:rFonts w:eastAsia="Times New Roman"/>
          <w:color w:val="000000"/>
          <w:sz w:val="20"/>
          <w:szCs w:val="20"/>
        </w:rPr>
        <w:t>(unaudited)</w:t>
      </w:r>
    </w:p>
    <w:p w:rsidR="00000000" w:rsidRDefault="00BE60E9">
      <w:pPr>
        <w:jc w:val="center"/>
        <w:rPr>
          <w:rFonts w:eastAsia="Times New Roman"/>
        </w:rPr>
      </w:pPr>
      <w:r>
        <w:rPr>
          <w:rFonts w:eastAsia="Times New Roman"/>
          <w:color w:val="000000"/>
          <w:sz w:val="20"/>
          <w:szCs w:val="20"/>
        </w:rPr>
        <w:t>(Mi</w:t>
      </w:r>
      <w:r>
        <w:rPr>
          <w:rFonts w:eastAsia="Times New Roman"/>
          <w:color w:val="000000"/>
          <w:sz w:val="20"/>
          <w:szCs w:val="20"/>
        </w:rPr>
        <w:t>llions of dollars)</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085"/>
        <w:gridCol w:w="39"/>
        <w:gridCol w:w="36"/>
        <w:gridCol w:w="36"/>
        <w:gridCol w:w="36"/>
        <w:gridCol w:w="110"/>
        <w:gridCol w:w="784"/>
        <w:gridCol w:w="36"/>
        <w:gridCol w:w="36"/>
        <w:gridCol w:w="36"/>
        <w:gridCol w:w="36"/>
        <w:gridCol w:w="111"/>
        <w:gridCol w:w="796"/>
        <w:gridCol w:w="36"/>
        <w:gridCol w:w="36"/>
        <w:gridCol w:w="36"/>
        <w:gridCol w:w="36"/>
        <w:gridCol w:w="110"/>
        <w:gridCol w:w="798"/>
        <w:gridCol w:w="36"/>
      </w:tblGrid>
      <w:tr w:rsidR="00000000">
        <w:trPr>
          <w:divId w:val="1532494445"/>
          <w:jc w:val="center"/>
        </w:trPr>
        <w:tc>
          <w:tcPr>
            <w:tcW w:w="50" w:type="pct"/>
            <w:vAlign w:val="center"/>
            <w:hideMark/>
          </w:tcPr>
          <w:p w:rsidR="00000000" w:rsidRDefault="00BE60E9">
            <w:pPr>
              <w:jc w:val="center"/>
              <w:rPr>
                <w:rFonts w:eastAsia="Times New Roman"/>
              </w:rPr>
            </w:pPr>
          </w:p>
        </w:tc>
        <w:tc>
          <w:tcPr>
            <w:tcW w:w="3088"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2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29"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30"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rPr>
          <w:divId w:val="1532494445"/>
          <w:jc w:val="center"/>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June 30,</w:t>
            </w:r>
            <w:r>
              <w:rPr>
                <w:rFonts w:eastAsia="Times New Roman"/>
                <w:color w:val="000000"/>
                <w:sz w:val="18"/>
                <w:szCs w:val="18"/>
              </w:rPr>
              <w:br/>
              <w:t>2022</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September 30,</w:t>
            </w:r>
            <w:r>
              <w:rPr>
                <w:rFonts w:eastAsia="Times New Roman"/>
                <w:color w:val="000000"/>
                <w:sz w:val="18"/>
                <w:szCs w:val="18"/>
              </w:rPr>
              <w:br/>
              <w:t>2021</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June 30,</w:t>
            </w:r>
            <w:r>
              <w:rPr>
                <w:rFonts w:eastAsia="Times New Roman"/>
                <w:color w:val="000000"/>
                <w:sz w:val="18"/>
                <w:szCs w:val="18"/>
              </w:rPr>
              <w:br/>
              <w:t>2021</w:t>
            </w:r>
          </w:p>
        </w:tc>
      </w:tr>
      <w:tr w:rsidR="00000000">
        <w:trPr>
          <w:divId w:val="1532494445"/>
          <w:jc w:val="center"/>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532494445"/>
          <w:jc w:val="center"/>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532494445"/>
          <w:jc w:val="center"/>
        </w:trPr>
        <w:tc>
          <w:tcPr>
            <w:tcW w:w="0" w:type="auto"/>
            <w:gridSpan w:val="3"/>
            <w:shd w:val="clear" w:color="auto" w:fill="CCEEFF"/>
            <w:tcMar>
              <w:top w:w="30" w:type="dxa"/>
              <w:left w:w="38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670 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855 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545 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32494445"/>
          <w:jc w:val="center"/>
        </w:trPr>
        <w:tc>
          <w:tcPr>
            <w:tcW w:w="0" w:type="auto"/>
            <w:gridSpan w:val="3"/>
            <w:shd w:val="clear" w:color="auto" w:fill="FFFFFF"/>
            <w:tcMar>
              <w:top w:w="30" w:type="dxa"/>
              <w:left w:w="38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Restricted cash</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22 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31 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32494445"/>
          <w:jc w:val="center"/>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divId w:val="1101219999"/>
              <w:rPr>
                <w:rFonts w:eastAsia="Times New Roman"/>
              </w:rPr>
            </w:pPr>
            <w:r>
              <w:rPr>
                <w:rFonts w:eastAsia="Times New Roman"/>
                <w:color w:val="000000"/>
                <w:sz w:val="18"/>
                <w:szCs w:val="18"/>
              </w:rPr>
              <w:t>Accounts receivable (less allowances for doubtful accounts of $66, $53 and $51, respectively)</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1,234 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880 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848 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32494445"/>
          <w:jc w:val="center"/>
        </w:trPr>
        <w:tc>
          <w:tcPr>
            <w:tcW w:w="0" w:type="auto"/>
            <w:gridSpan w:val="3"/>
            <w:shd w:val="clear" w:color="auto" w:fill="FFFFFF"/>
            <w:tcMar>
              <w:top w:w="30" w:type="dxa"/>
              <w:left w:w="38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Accrued utility revenues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32494445"/>
          <w:jc w:val="center"/>
        </w:trPr>
        <w:tc>
          <w:tcPr>
            <w:tcW w:w="0" w:type="auto"/>
            <w:gridSpan w:val="3"/>
            <w:shd w:val="clear" w:color="auto" w:fill="CCEEFF"/>
            <w:tcMar>
              <w:top w:w="30" w:type="dxa"/>
              <w:left w:w="38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Income taxes receivable</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127 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128 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128 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32494445"/>
          <w:jc w:val="center"/>
        </w:trPr>
        <w:tc>
          <w:tcPr>
            <w:tcW w:w="0" w:type="auto"/>
            <w:gridSpan w:val="3"/>
            <w:shd w:val="clear" w:color="auto" w:fill="FFFFFF"/>
            <w:tcMar>
              <w:top w:w="30" w:type="dxa"/>
              <w:left w:w="38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Inventories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496 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469 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296 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32494445"/>
          <w:jc w:val="center"/>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532494445"/>
          <w:jc w:val="center"/>
        </w:trPr>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532494445"/>
          <w:jc w:val="center"/>
        </w:trPr>
        <w:tc>
          <w:tcPr>
            <w:tcW w:w="0" w:type="auto"/>
            <w:gridSpan w:val="3"/>
            <w:shd w:val="clear" w:color="auto" w:fill="CCEEFF"/>
            <w:tcMar>
              <w:top w:w="30" w:type="dxa"/>
              <w:left w:w="38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Derivative instruments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773 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665 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350 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32494445"/>
          <w:jc w:val="center"/>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532494445"/>
          <w:jc w:val="center"/>
        </w:trPr>
        <w:tc>
          <w:tcPr>
            <w:tcW w:w="0" w:type="auto"/>
            <w:gridSpan w:val="3"/>
            <w:shd w:val="clear" w:color="auto" w:fill="FFFFFF"/>
            <w:tcMar>
              <w:top w:w="30" w:type="dxa"/>
              <w:left w:w="38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Prepaid expenses and other current assets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176 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236 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171 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32494445"/>
          <w:jc w:val="center"/>
        </w:trPr>
        <w:tc>
          <w:tcPr>
            <w:tcW w:w="0" w:type="auto"/>
            <w:gridSpan w:val="3"/>
            <w:shd w:val="clear" w:color="auto" w:fill="CCEEFF"/>
            <w:tcMar>
              <w:top w:w="30" w:type="dxa"/>
              <w:left w:w="74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Total current assets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3,509 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3,270 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2,377 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32494445"/>
          <w:jc w:val="center"/>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divId w:val="519051860"/>
              <w:rPr>
                <w:rFonts w:eastAsia="Times New Roman"/>
              </w:rPr>
            </w:pPr>
            <w:r>
              <w:rPr>
                <w:rFonts w:eastAsia="Times New Roman"/>
                <w:color w:val="000000"/>
                <w:sz w:val="18"/>
                <w:szCs w:val="18"/>
              </w:rPr>
              <w:t>Property, plant and equipment, (less accumulated depreciation of $4,160, $3,950 and $3,923, respectively)</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7,839 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7,558 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7,085 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32494445"/>
          <w:jc w:val="center"/>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Goodwill</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3,671 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3,770 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3,543 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32494445"/>
          <w:jc w:val="center"/>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Intangible assets, net</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523 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583 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624 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32494445"/>
          <w:jc w:val="center"/>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Utility regulatory assets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352 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373 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389 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32494445"/>
          <w:jc w:val="center"/>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Derivative instruments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410 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338 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129 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32494445"/>
          <w:jc w:val="center"/>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532494445"/>
          <w:jc w:val="center"/>
        </w:trPr>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532494445"/>
          <w:jc w:val="center"/>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807 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831 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859 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32494445"/>
          <w:jc w:val="center"/>
        </w:trPr>
        <w:tc>
          <w:tcPr>
            <w:tcW w:w="0" w:type="auto"/>
            <w:gridSpan w:val="3"/>
            <w:shd w:val="clear" w:color="auto" w:fill="FFFFFF"/>
            <w:tcMar>
              <w:top w:w="30" w:type="dxa"/>
              <w:left w:w="74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17,111 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16,723 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15,006 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32494445"/>
          <w:jc w:val="center"/>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18"/>
                <w:szCs w:val="18"/>
              </w:rPr>
              <w:t>LIABILITIES AND EQUITY</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532494445"/>
          <w:jc w:val="center"/>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532494445"/>
          <w:jc w:val="center"/>
        </w:trPr>
        <w:tc>
          <w:tcPr>
            <w:tcW w:w="0" w:type="auto"/>
            <w:gridSpan w:val="3"/>
            <w:shd w:val="clear" w:color="auto" w:fill="CCEEFF"/>
            <w:tcMar>
              <w:top w:w="30" w:type="dxa"/>
              <w:left w:w="38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Current maturities of long-term debt</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47 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110 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36 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32494445"/>
          <w:jc w:val="center"/>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532494445"/>
          <w:jc w:val="center"/>
        </w:trPr>
        <w:tc>
          <w:tcPr>
            <w:tcW w:w="0" w:type="auto"/>
            <w:gridSpan w:val="3"/>
            <w:shd w:val="clear" w:color="auto" w:fill="FFFFFF"/>
            <w:tcMar>
              <w:top w:w="30" w:type="dxa"/>
              <w:left w:w="38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Short-term borrowings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276 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367 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207 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32494445"/>
          <w:jc w:val="center"/>
        </w:trPr>
        <w:tc>
          <w:tcPr>
            <w:tcW w:w="0" w:type="auto"/>
            <w:gridSpan w:val="3"/>
            <w:shd w:val="clear" w:color="auto" w:fill="CCEEFF"/>
            <w:tcMar>
              <w:top w:w="30" w:type="dxa"/>
              <w:left w:w="38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Accounts payable</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843 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837 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579 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32494445"/>
          <w:jc w:val="center"/>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532494445"/>
          <w:jc w:val="center"/>
        </w:trPr>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532494445"/>
          <w:jc w:val="center"/>
        </w:trPr>
        <w:tc>
          <w:tcPr>
            <w:tcW w:w="0" w:type="auto"/>
            <w:gridSpan w:val="3"/>
            <w:shd w:val="clear" w:color="auto" w:fill="FFFFFF"/>
            <w:tcMar>
              <w:top w:w="30" w:type="dxa"/>
              <w:left w:w="38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Derivative instruments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70 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60 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67 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32494445"/>
          <w:jc w:val="center"/>
        </w:trPr>
        <w:tc>
          <w:tcPr>
            <w:tcW w:w="0" w:type="auto"/>
            <w:gridSpan w:val="3"/>
            <w:shd w:val="clear" w:color="auto" w:fill="CCEEFF"/>
            <w:tcMar>
              <w:top w:w="30" w:type="dxa"/>
              <w:left w:w="38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Other current liabilities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832 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923 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812 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32494445"/>
          <w:jc w:val="center"/>
        </w:trPr>
        <w:tc>
          <w:tcPr>
            <w:tcW w:w="0" w:type="auto"/>
            <w:gridSpan w:val="3"/>
            <w:shd w:val="clear" w:color="auto" w:fill="FFFFFF"/>
            <w:tcMar>
              <w:top w:w="30" w:type="dxa"/>
              <w:left w:w="74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Total current liabilities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2,068 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2,297 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1,701 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32494445"/>
          <w:jc w:val="center"/>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Long-term debt</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6,399 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6,339 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5,811 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32494445"/>
          <w:jc w:val="center"/>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532494445"/>
          <w:jc w:val="center"/>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Deferred income taxes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1,291 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1,137 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919 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32494445"/>
          <w:jc w:val="center"/>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532494445"/>
          <w:jc w:val="center"/>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Derivative instruments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54 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38 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49 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32494445"/>
          <w:jc w:val="center"/>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Other noncurrent liabilities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1,294 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1,381 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1,420 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32494445"/>
          <w:jc w:val="center"/>
        </w:trPr>
        <w:tc>
          <w:tcPr>
            <w:tcW w:w="0" w:type="auto"/>
            <w:gridSpan w:val="3"/>
            <w:shd w:val="clear" w:color="auto" w:fill="CCEEFF"/>
            <w:tcMar>
              <w:top w:w="30" w:type="dxa"/>
              <w:left w:w="74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Total liabilities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11,106 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11,192 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9,900 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32494445"/>
          <w:jc w:val="center"/>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Commitments and contingencies (Note 9)</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532494445"/>
          <w:jc w:val="center"/>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Equity:</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532494445"/>
          <w:jc w:val="center"/>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UGI Corporation stockholders’ equity:</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532494445"/>
          <w:jc w:val="center"/>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divId w:val="441534755"/>
              <w:rPr>
                <w:rFonts w:eastAsia="Times New Roman"/>
              </w:rPr>
            </w:pPr>
            <w:r>
              <w:rPr>
                <w:rFonts w:eastAsia="Times New Roman"/>
                <w:color w:val="000000"/>
                <w:sz w:val="18"/>
                <w:szCs w:val="18"/>
              </w:rPr>
              <w:t>Preferred stock, without par value (authorized – 5,000,000 shares; issued – 220,000, 220,000 and 220,000 Series A shares, respectively)</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162 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213 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213 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32494445"/>
          <w:jc w:val="center"/>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divId w:val="1692993986"/>
              <w:rPr>
                <w:rFonts w:eastAsia="Times New Roman"/>
              </w:rPr>
            </w:pPr>
            <w:r>
              <w:rPr>
                <w:rFonts w:eastAsia="Times New Roman"/>
                <w:color w:val="000000"/>
                <w:sz w:val="18"/>
                <w:szCs w:val="18"/>
              </w:rPr>
              <w:t>UGI Common Stock, without par value (authorized — 450,000,000 shares; issued — 210,378,881, 209,843,296 and 209,725,554 shares, respectively)</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1,474 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1,394 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1,388 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32494445"/>
          <w:jc w:val="center"/>
        </w:trPr>
        <w:tc>
          <w:tcPr>
            <w:tcW w:w="0" w:type="auto"/>
            <w:gridSpan w:val="3"/>
            <w:shd w:val="clear" w:color="auto" w:fill="CCEEFF"/>
            <w:tcMar>
              <w:top w:w="30" w:type="dxa"/>
              <w:left w:w="38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Retained earnings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4,674 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4,081 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3,629 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32494445"/>
          <w:jc w:val="center"/>
        </w:trPr>
        <w:tc>
          <w:tcPr>
            <w:tcW w:w="0" w:type="auto"/>
            <w:gridSpan w:val="3"/>
            <w:shd w:val="clear" w:color="auto" w:fill="FFFFFF"/>
            <w:tcMar>
              <w:top w:w="30" w:type="dxa"/>
              <w:left w:w="38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Accumulated other comprehensive loss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(273)</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(140)</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(105)</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32494445"/>
          <w:jc w:val="center"/>
        </w:trPr>
        <w:tc>
          <w:tcPr>
            <w:tcW w:w="0" w:type="auto"/>
            <w:gridSpan w:val="3"/>
            <w:shd w:val="clear" w:color="auto" w:fill="CCEEFF"/>
            <w:tcMar>
              <w:top w:w="30" w:type="dxa"/>
              <w:left w:w="38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Treasury stock, at cost</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(41)</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(26)</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(28)</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32494445"/>
          <w:jc w:val="center"/>
        </w:trPr>
        <w:tc>
          <w:tcPr>
            <w:tcW w:w="0" w:type="auto"/>
            <w:gridSpan w:val="3"/>
            <w:shd w:val="clear" w:color="auto" w:fill="FFFFFF"/>
            <w:tcMar>
              <w:top w:w="30" w:type="dxa"/>
              <w:left w:w="74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Total UGI Corporation stockholders’ equity</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5,996 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5,522 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5,097 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32494445"/>
          <w:jc w:val="center"/>
        </w:trPr>
        <w:tc>
          <w:tcPr>
            <w:tcW w:w="0" w:type="auto"/>
            <w:gridSpan w:val="3"/>
            <w:shd w:val="clear" w:color="auto" w:fill="CCEEFF"/>
            <w:tcMar>
              <w:top w:w="30" w:type="dxa"/>
              <w:left w:w="38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Noncontrolling interests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32494445"/>
          <w:jc w:val="center"/>
        </w:trPr>
        <w:tc>
          <w:tcPr>
            <w:tcW w:w="0" w:type="auto"/>
            <w:gridSpan w:val="3"/>
            <w:shd w:val="clear" w:color="auto" w:fill="FFFFFF"/>
            <w:tcMar>
              <w:top w:w="30" w:type="dxa"/>
              <w:left w:w="74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Total equity</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6,005 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5,531 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5,106 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32494445"/>
          <w:jc w:val="center"/>
        </w:trPr>
        <w:tc>
          <w:tcPr>
            <w:tcW w:w="0" w:type="auto"/>
            <w:gridSpan w:val="3"/>
            <w:shd w:val="clear" w:color="auto" w:fill="CCEEFF"/>
            <w:tcMar>
              <w:top w:w="30" w:type="dxa"/>
              <w:left w:w="74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Total liabilities and equity</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17,111 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16,723 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15,006 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bl>
    <w:p w:rsidR="00000000" w:rsidRDefault="00BE60E9">
      <w:pPr>
        <w:divId w:val="657002332"/>
        <w:rPr>
          <w:rFonts w:eastAsia="Times New Roman"/>
        </w:rPr>
      </w:pPr>
      <w:r>
        <w:rPr>
          <w:rFonts w:eastAsia="Times New Roman"/>
          <w:color w:val="000000"/>
          <w:sz w:val="20"/>
          <w:szCs w:val="20"/>
        </w:rPr>
        <w:t>See accompanying notes to condensed consolidated financial statements.</w:t>
      </w:r>
    </w:p>
    <w:p w:rsidR="00000000" w:rsidRDefault="00BE60E9">
      <w:pPr>
        <w:jc w:val="center"/>
        <w:divId w:val="1009599780"/>
        <w:rPr>
          <w:rFonts w:eastAsia="Times New Roman"/>
        </w:rPr>
      </w:pPr>
      <w:r>
        <w:rPr>
          <w:rFonts w:eastAsia="Times New Roman"/>
          <w:color w:val="000000"/>
          <w:sz w:val="20"/>
          <w:szCs w:val="20"/>
        </w:rPr>
        <w:t>5</w:t>
      </w:r>
    </w:p>
    <w:p w:rsidR="00000000" w:rsidRDefault="00BE60E9">
      <w:pPr>
        <w:rPr>
          <w:rFonts w:eastAsia="Times New Roman"/>
        </w:rPr>
      </w:pPr>
      <w:r>
        <w:rPr>
          <w:rFonts w:eastAsia="Times New Roman"/>
        </w:rPr>
        <w:pict>
          <v:rect id="_x0000_i1031" style="width:0;height:1.5pt" o:hralign="center" o:hrstd="t" o:hr="t" fillcolor="#a0a0a0" stroked="f"/>
        </w:pict>
      </w:r>
    </w:p>
    <w:p w:rsidR="00000000" w:rsidRDefault="00BE60E9">
      <w:pPr>
        <w:divId w:val="935091528"/>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1213612321"/>
        <w:rPr>
          <w:rFonts w:eastAsia="Times New Roman"/>
        </w:rPr>
      </w:pPr>
      <w:r>
        <w:rPr>
          <w:rFonts w:eastAsia="Times New Roman"/>
          <w:b/>
          <w:bCs/>
          <w:color w:val="000000"/>
          <w:sz w:val="20"/>
          <w:szCs w:val="20"/>
        </w:rPr>
        <w:t>UGI CORPORATION AND SUBSIDIARIES</w:t>
      </w:r>
    </w:p>
    <w:p w:rsidR="00000000" w:rsidRDefault="00BE60E9">
      <w:pPr>
        <w:jc w:val="center"/>
        <w:rPr>
          <w:rFonts w:eastAsia="Times New Roman"/>
        </w:rPr>
      </w:pPr>
      <w:r>
        <w:rPr>
          <w:rFonts w:eastAsia="Times New Roman"/>
          <w:b/>
          <w:bCs/>
          <w:color w:val="000000"/>
          <w:sz w:val="20"/>
          <w:szCs w:val="20"/>
        </w:rPr>
        <w:t xml:space="preserve">CONDENSED CONSOLIDATED STATEMENTS OF </w:t>
      </w:r>
      <w:r>
        <w:rPr>
          <w:rFonts w:eastAsia="Times New Roman"/>
          <w:b/>
          <w:bCs/>
          <w:color w:val="000000"/>
          <w:sz w:val="20"/>
          <w:szCs w:val="20"/>
        </w:rPr>
        <w:t>INCOME</w:t>
      </w:r>
    </w:p>
    <w:p w:rsidR="00000000" w:rsidRDefault="00BE60E9">
      <w:pPr>
        <w:jc w:val="center"/>
        <w:rPr>
          <w:rFonts w:eastAsia="Times New Roman"/>
        </w:rPr>
      </w:pPr>
      <w:r>
        <w:rPr>
          <w:rFonts w:eastAsia="Times New Roman"/>
          <w:color w:val="000000"/>
          <w:sz w:val="20"/>
          <w:szCs w:val="20"/>
        </w:rPr>
        <w:t>(unaudited)</w:t>
      </w:r>
    </w:p>
    <w:p w:rsidR="00000000" w:rsidRDefault="00BE60E9">
      <w:pPr>
        <w:jc w:val="center"/>
        <w:rPr>
          <w:rFonts w:eastAsia="Times New Roman"/>
        </w:rPr>
      </w:pPr>
      <w:r>
        <w:rPr>
          <w:rFonts w:eastAsia="Times New Roman"/>
          <w:color w:val="000000"/>
          <w:sz w:val="20"/>
          <w:szCs w:val="20"/>
        </w:rPr>
        <w:t>(Millions of dollars, except per share amounts)</w:t>
      </w:r>
    </w:p>
    <w:tbl>
      <w:tblPr>
        <w:tblW w:w="5000" w:type="pct"/>
        <w:tblCellMar>
          <w:top w:w="15" w:type="dxa"/>
          <w:left w:w="15" w:type="dxa"/>
          <w:bottom w:w="15" w:type="dxa"/>
          <w:right w:w="15" w:type="dxa"/>
        </w:tblCellMar>
        <w:tblLook w:val="04A0" w:firstRow="1" w:lastRow="0" w:firstColumn="1" w:lastColumn="0" w:noHBand="0" w:noVBand="1"/>
      </w:tblPr>
      <w:tblGrid>
        <w:gridCol w:w="39"/>
        <w:gridCol w:w="3933"/>
        <w:gridCol w:w="38"/>
        <w:gridCol w:w="36"/>
        <w:gridCol w:w="36"/>
        <w:gridCol w:w="36"/>
        <w:gridCol w:w="121"/>
        <w:gridCol w:w="784"/>
        <w:gridCol w:w="36"/>
        <w:gridCol w:w="36"/>
        <w:gridCol w:w="36"/>
        <w:gridCol w:w="36"/>
        <w:gridCol w:w="121"/>
        <w:gridCol w:w="784"/>
        <w:gridCol w:w="36"/>
        <w:gridCol w:w="36"/>
        <w:gridCol w:w="36"/>
        <w:gridCol w:w="36"/>
        <w:gridCol w:w="121"/>
        <w:gridCol w:w="834"/>
        <w:gridCol w:w="36"/>
        <w:gridCol w:w="36"/>
        <w:gridCol w:w="36"/>
        <w:gridCol w:w="36"/>
        <w:gridCol w:w="121"/>
        <w:gridCol w:w="834"/>
        <w:gridCol w:w="36"/>
      </w:tblGrid>
      <w:tr w:rsidR="00000000">
        <w:trPr>
          <w:divId w:val="1447583997"/>
        </w:trPr>
        <w:tc>
          <w:tcPr>
            <w:tcW w:w="50" w:type="pct"/>
            <w:vAlign w:val="center"/>
            <w:hideMark/>
          </w:tcPr>
          <w:p w:rsidR="00000000" w:rsidRDefault="00BE60E9">
            <w:pPr>
              <w:jc w:val="center"/>
              <w:rPr>
                <w:rFonts w:eastAsia="Times New Roman"/>
              </w:rPr>
            </w:pPr>
          </w:p>
        </w:tc>
        <w:tc>
          <w:tcPr>
            <w:tcW w:w="240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29"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29"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59"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59"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rPr>
          <w:divId w:val="1447583997"/>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Three Months Ended</w:t>
            </w:r>
            <w:r>
              <w:rPr>
                <w:rFonts w:eastAsia="Times New Roman"/>
                <w:color w:val="000000"/>
                <w:sz w:val="18"/>
                <w:szCs w:val="18"/>
              </w:rPr>
              <w:br/>
              <w:t>June 30,</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Nine Months Ended</w:t>
            </w:r>
            <w:r>
              <w:rPr>
                <w:rFonts w:eastAsia="Times New Roman"/>
                <w:color w:val="000000"/>
                <w:sz w:val="18"/>
                <w:szCs w:val="18"/>
              </w:rPr>
              <w:br/>
              <w:t>June 30,</w:t>
            </w:r>
          </w:p>
        </w:tc>
      </w:tr>
      <w:tr w:rsidR="00000000">
        <w:trPr>
          <w:divId w:val="1447583997"/>
        </w:trPr>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2021</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2021</w:t>
            </w:r>
          </w:p>
        </w:tc>
      </w:tr>
      <w:tr w:rsidR="00000000">
        <w:trPr>
          <w:divId w:val="1447583997"/>
        </w:trPr>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2,033 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1,496 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8,172 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6,009 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447583997"/>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Costs and expenses: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447583997"/>
        </w:trPr>
        <w:tc>
          <w:tcPr>
            <w:tcW w:w="0" w:type="auto"/>
            <w:gridSpan w:val="3"/>
            <w:shd w:val="clear" w:color="auto" w:fill="CCEEFF"/>
            <w:tcMar>
              <w:top w:w="30" w:type="dxa"/>
              <w:left w:w="155" w:type="dxa"/>
              <w:bottom w:w="30" w:type="dxa"/>
              <w:right w:w="20" w:type="dxa"/>
            </w:tcMar>
            <w:hideMark/>
          </w:tcPr>
          <w:p w:rsidR="00000000" w:rsidRDefault="00BE60E9">
            <w:pPr>
              <w:spacing w:after="100"/>
              <w:rPr>
                <w:rFonts w:eastAsia="Times New Roman"/>
              </w:rPr>
            </w:pPr>
            <w:r>
              <w:rPr>
                <w:rFonts w:eastAsia="Times New Roman"/>
                <w:color w:val="000000"/>
                <w:sz w:val="20"/>
                <w:szCs w:val="20"/>
              </w:rPr>
              <w:t>Cost of sales (excluding depreciation and amortization shown below)</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1,361 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516 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4,951 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2,623 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447583997"/>
        </w:trPr>
        <w:tc>
          <w:tcPr>
            <w:tcW w:w="0" w:type="auto"/>
            <w:gridSpan w:val="3"/>
            <w:shd w:val="clear" w:color="auto" w:fill="FFFFFF"/>
            <w:tcMar>
              <w:top w:w="30" w:type="dxa"/>
              <w:left w:w="155" w:type="dxa"/>
              <w:bottom w:w="30" w:type="dxa"/>
              <w:right w:w="20" w:type="dxa"/>
            </w:tcMar>
            <w:hideMark/>
          </w:tcPr>
          <w:p w:rsidR="00000000" w:rsidRDefault="00BE60E9">
            <w:pPr>
              <w:spacing w:after="100"/>
              <w:rPr>
                <w:rFonts w:eastAsia="Times New Roman"/>
              </w:rPr>
            </w:pPr>
            <w:r>
              <w:rPr>
                <w:rFonts w:eastAsia="Times New Roman"/>
                <w:color w:val="000000"/>
                <w:sz w:val="20"/>
                <w:szCs w:val="20"/>
              </w:rPr>
              <w:t>Operating and administrative expenses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465 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469 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1,532 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1,473 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447583997"/>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447583997"/>
        </w:trPr>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447583997"/>
        </w:trPr>
        <w:tc>
          <w:tcPr>
            <w:tcW w:w="0" w:type="auto"/>
            <w:gridSpan w:val="3"/>
            <w:shd w:val="clear" w:color="auto" w:fill="CCEEFF"/>
            <w:tcMar>
              <w:top w:w="30" w:type="dxa"/>
              <w:left w:w="155" w:type="dxa"/>
              <w:bottom w:w="30" w:type="dxa"/>
              <w:right w:w="20" w:type="dxa"/>
            </w:tcMar>
            <w:hideMark/>
          </w:tcPr>
          <w:p w:rsidR="00000000" w:rsidRDefault="00BE60E9">
            <w:pPr>
              <w:spacing w:after="100"/>
              <w:rPr>
                <w:rFonts w:eastAsia="Times New Roman"/>
              </w:rPr>
            </w:pPr>
            <w:r>
              <w:rPr>
                <w:rFonts w:eastAsia="Times New Roman"/>
                <w:color w:val="000000"/>
                <w:sz w:val="20"/>
                <w:szCs w:val="20"/>
              </w:rPr>
              <w:t>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130 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125 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387 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375 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447583997"/>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447583997"/>
        </w:trPr>
        <w:tc>
          <w:tcPr>
            <w:tcW w:w="0" w:type="auto"/>
            <w:gridSpan w:val="3"/>
            <w:shd w:val="clear" w:color="auto" w:fill="FFFFFF"/>
            <w:tcMar>
              <w:top w:w="30" w:type="dxa"/>
              <w:left w:w="155" w:type="dxa"/>
              <w:bottom w:w="30" w:type="dxa"/>
              <w:right w:w="20" w:type="dxa"/>
            </w:tcMar>
            <w:hideMark/>
          </w:tcPr>
          <w:p w:rsidR="00000000" w:rsidRDefault="00BE60E9">
            <w:pPr>
              <w:spacing w:after="100"/>
              <w:rPr>
                <w:rFonts w:eastAsia="Times New Roman"/>
              </w:rPr>
            </w:pPr>
            <w:r>
              <w:rPr>
                <w:rFonts w:eastAsia="Times New Roman"/>
                <w:color w:val="000000"/>
                <w:sz w:val="20"/>
                <w:szCs w:val="20"/>
              </w:rPr>
              <w:t>Other operating income, net</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(22)</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(61)</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447583997"/>
        </w:trPr>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1,934 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1,105 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6,809 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4,445 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447583997"/>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Operating income</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1,363 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1,564 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447583997"/>
        </w:trPr>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Loss from equity investees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(45)</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(86)</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(32)</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(69)</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447583997"/>
        </w:trPr>
        <w:tc>
          <w:tcPr>
            <w:tcW w:w="0" w:type="auto"/>
            <w:gridSpan w:val="3"/>
            <w:shd w:val="clear" w:color="auto" w:fill="FFFF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Loss on extinguishment of debt</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447583997"/>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447583997"/>
        </w:trPr>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Other non-operating income, net</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447583997"/>
        </w:trPr>
        <w:tc>
          <w:tcPr>
            <w:tcW w:w="0" w:type="auto"/>
            <w:gridSpan w:val="3"/>
            <w:shd w:val="clear" w:color="auto" w:fill="FFFF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Interest expense</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(82)</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(77)</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(245)</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(233)</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447583997"/>
        </w:trPr>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(Loss) income before income taxes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1,116 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1,262 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447583997"/>
        </w:trPr>
        <w:tc>
          <w:tcPr>
            <w:tcW w:w="0" w:type="auto"/>
            <w:gridSpan w:val="3"/>
            <w:shd w:val="clear" w:color="auto" w:fill="FFFF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Income tax benefit (expense)</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(79)</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(285)</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(320)</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447583997"/>
        </w:trPr>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Net (loss) income including noncontrolling interests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831 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942 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447583997"/>
        </w:trPr>
        <w:tc>
          <w:tcPr>
            <w:tcW w:w="0" w:type="auto"/>
            <w:gridSpan w:val="3"/>
            <w:shd w:val="clear" w:color="auto" w:fill="FFFF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Deduct net income attributable to noncontrolling interests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447583997"/>
        </w:trPr>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Net (loss) income attributable to UGI Corporation</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829 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942 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447583997"/>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(Loss) earnings per common share attributable to UGI Corporation stockholders: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447583997"/>
        </w:trPr>
        <w:tc>
          <w:tcPr>
            <w:tcW w:w="0" w:type="auto"/>
            <w:gridSpan w:val="3"/>
            <w:shd w:val="clear" w:color="auto" w:fill="CCEEFF"/>
            <w:tcMar>
              <w:top w:w="30" w:type="dxa"/>
              <w:left w:w="155" w:type="dxa"/>
              <w:bottom w:w="30" w:type="dxa"/>
              <w:right w:w="20" w:type="dxa"/>
            </w:tcMar>
            <w:hideMark/>
          </w:tcPr>
          <w:p w:rsidR="00000000" w:rsidRDefault="00BE60E9">
            <w:pPr>
              <w:spacing w:after="100"/>
              <w:rPr>
                <w:rFonts w:eastAsia="Times New Roman"/>
              </w:rPr>
            </w:pPr>
            <w:r>
              <w:rPr>
                <w:rFonts w:eastAsia="Times New Roman"/>
                <w:color w:val="000000"/>
                <w:sz w:val="20"/>
                <w:szCs w:val="20"/>
              </w:rPr>
              <w:t>Basic</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(0.03)</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0.72 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3.95 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4.51 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447583997"/>
        </w:trPr>
        <w:tc>
          <w:tcPr>
            <w:tcW w:w="0" w:type="auto"/>
            <w:gridSpan w:val="3"/>
            <w:shd w:val="clear" w:color="auto" w:fill="FFFFFF"/>
            <w:tcMar>
              <w:top w:w="30" w:type="dxa"/>
              <w:left w:w="155" w:type="dxa"/>
              <w:bottom w:w="30" w:type="dxa"/>
              <w:right w:w="20" w:type="dxa"/>
            </w:tcMar>
            <w:hideMark/>
          </w:tcPr>
          <w:p w:rsidR="00000000" w:rsidRDefault="00BE60E9">
            <w:pPr>
              <w:spacing w:after="100"/>
              <w:rPr>
                <w:rFonts w:eastAsia="Times New Roman"/>
              </w:rPr>
            </w:pPr>
            <w:r>
              <w:rPr>
                <w:rFonts w:eastAsia="Times New Roman"/>
                <w:color w:val="000000"/>
                <w:sz w:val="20"/>
                <w:szCs w:val="20"/>
              </w:rPr>
              <w:t>Diluted</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(0.03)</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0.71 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3.84 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4.48 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447583997"/>
        </w:trPr>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Weighted-average common shares outstanding (thousands):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447583997"/>
        </w:trPr>
        <w:tc>
          <w:tcPr>
            <w:tcW w:w="0" w:type="auto"/>
            <w:gridSpan w:val="3"/>
            <w:shd w:val="clear" w:color="auto" w:fill="FFFFFF"/>
            <w:tcMar>
              <w:top w:w="30" w:type="dxa"/>
              <w:left w:w="155" w:type="dxa"/>
              <w:bottom w:w="30" w:type="dxa"/>
              <w:right w:w="20" w:type="dxa"/>
            </w:tcMar>
            <w:hideMark/>
          </w:tcPr>
          <w:p w:rsidR="00000000" w:rsidRDefault="00BE60E9">
            <w:pPr>
              <w:spacing w:after="100"/>
              <w:rPr>
                <w:rFonts w:eastAsia="Times New Roman"/>
              </w:rPr>
            </w:pPr>
            <w:r>
              <w:rPr>
                <w:rFonts w:eastAsia="Times New Roman"/>
                <w:color w:val="000000"/>
                <w:sz w:val="20"/>
                <w:szCs w:val="20"/>
              </w:rPr>
              <w:t>Basic</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210,190 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209,099 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209,992 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208,934 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447583997"/>
        </w:trPr>
        <w:tc>
          <w:tcPr>
            <w:tcW w:w="0" w:type="auto"/>
            <w:gridSpan w:val="3"/>
            <w:shd w:val="clear" w:color="auto" w:fill="CCEEFF"/>
            <w:tcMar>
              <w:top w:w="30" w:type="dxa"/>
              <w:left w:w="155" w:type="dxa"/>
              <w:bottom w:w="30" w:type="dxa"/>
              <w:right w:w="20" w:type="dxa"/>
            </w:tcMar>
            <w:hideMark/>
          </w:tcPr>
          <w:p w:rsidR="00000000" w:rsidRDefault="00BE60E9">
            <w:pPr>
              <w:spacing w:after="100"/>
              <w:rPr>
                <w:rFonts w:eastAsia="Times New Roman"/>
              </w:rPr>
            </w:pPr>
            <w:r>
              <w:rPr>
                <w:rFonts w:eastAsia="Times New Roman"/>
                <w:color w:val="000000"/>
                <w:sz w:val="20"/>
                <w:szCs w:val="20"/>
              </w:rPr>
              <w:t>Diluted</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210,190 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210,851 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215,965 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210,194 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447583997"/>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bl>
    <w:p w:rsidR="00000000" w:rsidRDefault="00BE60E9">
      <w:pPr>
        <w:divId w:val="1597472441"/>
        <w:rPr>
          <w:rFonts w:eastAsia="Times New Roman"/>
        </w:rPr>
      </w:pPr>
      <w:r>
        <w:rPr>
          <w:rFonts w:eastAsia="Times New Roman"/>
          <w:color w:val="000000"/>
          <w:sz w:val="20"/>
          <w:szCs w:val="20"/>
        </w:rPr>
        <w:t>See accompanying notes to condensed consolidated financial statements.</w:t>
      </w:r>
    </w:p>
    <w:p w:rsidR="00000000" w:rsidRDefault="00BE60E9">
      <w:pPr>
        <w:jc w:val="center"/>
        <w:rPr>
          <w:rFonts w:eastAsia="Times New Roman"/>
        </w:rPr>
      </w:pPr>
    </w:p>
    <w:p w:rsidR="00000000" w:rsidRDefault="00BE60E9">
      <w:pPr>
        <w:jc w:val="center"/>
        <w:divId w:val="756563874"/>
        <w:rPr>
          <w:rFonts w:eastAsia="Times New Roman"/>
        </w:rPr>
      </w:pPr>
      <w:r>
        <w:rPr>
          <w:rFonts w:eastAsia="Times New Roman"/>
          <w:color w:val="000000"/>
          <w:sz w:val="20"/>
          <w:szCs w:val="20"/>
        </w:rPr>
        <w:t>6</w:t>
      </w:r>
    </w:p>
    <w:p w:rsidR="00000000" w:rsidRDefault="00BE60E9">
      <w:pPr>
        <w:rPr>
          <w:rFonts w:eastAsia="Times New Roman"/>
        </w:rPr>
      </w:pPr>
      <w:r>
        <w:rPr>
          <w:rFonts w:eastAsia="Times New Roman"/>
        </w:rPr>
        <w:pict>
          <v:rect id="_x0000_i1032" style="width:0;height:1.5pt" o:hralign="center" o:hrstd="t" o:hr="t" fillcolor="#a0a0a0" stroked="f"/>
        </w:pict>
      </w:r>
    </w:p>
    <w:p w:rsidR="00000000" w:rsidRDefault="00BE60E9">
      <w:pPr>
        <w:divId w:val="1518541604"/>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1127771595"/>
        <w:rPr>
          <w:rFonts w:eastAsia="Times New Roman"/>
        </w:rPr>
      </w:pPr>
      <w:r>
        <w:rPr>
          <w:rFonts w:eastAsia="Times New Roman"/>
          <w:b/>
          <w:bCs/>
          <w:color w:val="000000"/>
          <w:sz w:val="20"/>
          <w:szCs w:val="20"/>
        </w:rPr>
        <w:t>UGI CORPORATION AND SUBSIDIARIES</w:t>
      </w:r>
    </w:p>
    <w:p w:rsidR="00000000" w:rsidRDefault="00BE60E9">
      <w:pPr>
        <w:jc w:val="center"/>
        <w:rPr>
          <w:rFonts w:eastAsia="Times New Roman"/>
        </w:rPr>
      </w:pPr>
      <w:r>
        <w:rPr>
          <w:rFonts w:eastAsia="Times New Roman"/>
          <w:b/>
          <w:bCs/>
          <w:color w:val="000000"/>
          <w:sz w:val="20"/>
          <w:szCs w:val="20"/>
        </w:rPr>
        <w:t>CONDENSED CONSOLIDATED STATEMENTS O</w:t>
      </w:r>
      <w:r>
        <w:rPr>
          <w:rFonts w:eastAsia="Times New Roman"/>
          <w:b/>
          <w:bCs/>
          <w:color w:val="000000"/>
          <w:sz w:val="20"/>
          <w:szCs w:val="20"/>
        </w:rPr>
        <w:t>F COMPREHENSIVE INCOME</w:t>
      </w:r>
    </w:p>
    <w:p w:rsidR="00000000" w:rsidRDefault="00BE60E9">
      <w:pPr>
        <w:jc w:val="center"/>
        <w:rPr>
          <w:rFonts w:eastAsia="Times New Roman"/>
        </w:rPr>
      </w:pPr>
      <w:r>
        <w:rPr>
          <w:rFonts w:eastAsia="Times New Roman"/>
          <w:color w:val="000000"/>
          <w:sz w:val="20"/>
          <w:szCs w:val="20"/>
        </w:rPr>
        <w:t>(unaudited)</w:t>
      </w:r>
    </w:p>
    <w:p w:rsidR="00000000" w:rsidRDefault="00BE60E9">
      <w:pPr>
        <w:jc w:val="center"/>
        <w:rPr>
          <w:rFonts w:eastAsia="Times New Roman"/>
        </w:rPr>
      </w:pPr>
      <w:r>
        <w:rPr>
          <w:rFonts w:eastAsia="Times New Roman"/>
          <w:color w:val="000000"/>
          <w:sz w:val="20"/>
          <w:szCs w:val="20"/>
        </w:rPr>
        <w:t>(Millions of dollars)</w:t>
      </w:r>
    </w:p>
    <w:tbl>
      <w:tblPr>
        <w:tblW w:w="5000" w:type="pct"/>
        <w:tblCellMar>
          <w:top w:w="15" w:type="dxa"/>
          <w:left w:w="15" w:type="dxa"/>
          <w:bottom w:w="15" w:type="dxa"/>
          <w:right w:w="15" w:type="dxa"/>
        </w:tblCellMar>
        <w:tblLook w:val="04A0" w:firstRow="1" w:lastRow="0" w:firstColumn="1" w:lastColumn="0" w:noHBand="0" w:noVBand="1"/>
      </w:tblPr>
      <w:tblGrid>
        <w:gridCol w:w="39"/>
        <w:gridCol w:w="4493"/>
        <w:gridCol w:w="38"/>
        <w:gridCol w:w="120"/>
        <w:gridCol w:w="721"/>
        <w:gridCol w:w="36"/>
        <w:gridCol w:w="36"/>
        <w:gridCol w:w="36"/>
        <w:gridCol w:w="36"/>
        <w:gridCol w:w="120"/>
        <w:gridCol w:w="689"/>
        <w:gridCol w:w="36"/>
        <w:gridCol w:w="36"/>
        <w:gridCol w:w="36"/>
        <w:gridCol w:w="36"/>
        <w:gridCol w:w="120"/>
        <w:gridCol w:w="689"/>
        <w:gridCol w:w="36"/>
        <w:gridCol w:w="36"/>
        <w:gridCol w:w="36"/>
        <w:gridCol w:w="36"/>
        <w:gridCol w:w="120"/>
        <w:gridCol w:w="689"/>
        <w:gridCol w:w="36"/>
      </w:tblGrid>
      <w:tr w:rsidR="00000000">
        <w:trPr>
          <w:divId w:val="1866092219"/>
        </w:trPr>
        <w:tc>
          <w:tcPr>
            <w:tcW w:w="50" w:type="pct"/>
            <w:vAlign w:val="center"/>
            <w:hideMark/>
          </w:tcPr>
          <w:p w:rsidR="00000000" w:rsidRDefault="00BE60E9">
            <w:pPr>
              <w:jc w:val="center"/>
              <w:rPr>
                <w:rFonts w:eastAsia="Times New Roman"/>
              </w:rPr>
            </w:pPr>
          </w:p>
        </w:tc>
        <w:tc>
          <w:tcPr>
            <w:tcW w:w="2737"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64"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7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7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7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rPr>
          <w:divId w:val="1866092219"/>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Three Months Ended</w:t>
            </w:r>
            <w:r>
              <w:rPr>
                <w:rFonts w:eastAsia="Times New Roman"/>
                <w:color w:val="000000"/>
                <w:sz w:val="18"/>
                <w:szCs w:val="18"/>
              </w:rPr>
              <w:br/>
              <w:t>June 30,</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Nine Months Ended</w:t>
            </w:r>
            <w:r>
              <w:rPr>
                <w:rFonts w:eastAsia="Times New Roman"/>
                <w:color w:val="000000"/>
                <w:sz w:val="18"/>
                <w:szCs w:val="18"/>
              </w:rPr>
              <w:br/>
              <w:t>June 30,</w:t>
            </w:r>
          </w:p>
        </w:tc>
      </w:tr>
      <w:tr w:rsidR="00000000">
        <w:trPr>
          <w:divId w:val="1866092219"/>
        </w:trPr>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2021</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2021</w:t>
            </w:r>
          </w:p>
        </w:tc>
      </w:tr>
      <w:tr w:rsidR="00000000">
        <w:trPr>
          <w:divId w:val="1866092219"/>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Net (loss) income including noncontrolling interests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831 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942 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866092219"/>
        </w:trPr>
        <w:tc>
          <w:tcPr>
            <w:tcW w:w="0" w:type="auto"/>
            <w:gridSpan w:val="3"/>
            <w:shd w:val="clear" w:color="auto" w:fill="FFFF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Other comprehensive (loss) income: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866092219"/>
        </w:trPr>
        <w:tc>
          <w:tcPr>
            <w:tcW w:w="0" w:type="auto"/>
            <w:gridSpan w:val="3"/>
            <w:shd w:val="clear" w:color="auto" w:fill="CCEEFF"/>
            <w:tcMar>
              <w:top w:w="30" w:type="dxa"/>
              <w:left w:w="20" w:type="dxa"/>
              <w:bottom w:w="30" w:type="dxa"/>
              <w:right w:w="20" w:type="dxa"/>
            </w:tcMar>
            <w:hideMark/>
          </w:tcPr>
          <w:p w:rsidR="00000000" w:rsidRDefault="00BE60E9">
            <w:pPr>
              <w:spacing w:after="100"/>
              <w:divId w:val="1012730681"/>
              <w:rPr>
                <w:rFonts w:eastAsia="Times New Roman"/>
              </w:rPr>
            </w:pPr>
            <w:r>
              <w:rPr>
                <w:rFonts w:eastAsia="Times New Roman"/>
                <w:color w:val="000000"/>
                <w:sz w:val="20"/>
                <w:szCs w:val="20"/>
              </w:rPr>
              <w:t>Net gains on derivative instruments (net of tax of $(3), $1, $(17) and $(1</w:t>
            </w:r>
            <w:r>
              <w:rPr>
                <w:rFonts w:eastAsia="Times New Roman"/>
                <w:color w:val="000000"/>
                <w:sz w:val="20"/>
                <w:szCs w:val="20"/>
              </w:rPr>
              <w:t>), respectively)</w:t>
            </w: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866092219"/>
        </w:trPr>
        <w:tc>
          <w:tcPr>
            <w:tcW w:w="0" w:type="auto"/>
            <w:gridSpan w:val="3"/>
            <w:shd w:val="clear" w:color="auto" w:fill="FFFFFF"/>
            <w:tcMar>
              <w:top w:w="30" w:type="dxa"/>
              <w:left w:w="20" w:type="dxa"/>
              <w:bottom w:w="30" w:type="dxa"/>
              <w:right w:w="20" w:type="dxa"/>
            </w:tcMar>
            <w:hideMark/>
          </w:tcPr>
          <w:p w:rsidR="00000000" w:rsidRDefault="00BE60E9">
            <w:pPr>
              <w:spacing w:after="100"/>
              <w:divId w:val="248081900"/>
              <w:rPr>
                <w:rFonts w:eastAsia="Times New Roman"/>
              </w:rPr>
            </w:pPr>
            <w:r>
              <w:rPr>
                <w:rFonts w:eastAsia="Times New Roman"/>
                <w:color w:val="000000"/>
                <w:sz w:val="20"/>
                <w:szCs w:val="20"/>
              </w:rPr>
              <w:t>Reclassifications of net losses on derivative instruments (net of tax of $(1), $(1), $(4) and $(5), respectively)</w:t>
            </w: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866092219"/>
        </w:trPr>
        <w:tc>
          <w:tcPr>
            <w:tcW w:w="0" w:type="auto"/>
            <w:gridSpan w:val="3"/>
            <w:shd w:val="clear" w:color="auto" w:fill="CCEEFF"/>
            <w:tcMar>
              <w:top w:w="30" w:type="dxa"/>
              <w:left w:w="20" w:type="dxa"/>
              <w:bottom w:w="30" w:type="dxa"/>
              <w:right w:w="20" w:type="dxa"/>
            </w:tcMar>
            <w:hideMark/>
          </w:tcPr>
          <w:p w:rsidR="00000000" w:rsidRDefault="00BE60E9">
            <w:pPr>
              <w:spacing w:after="100"/>
              <w:divId w:val="374621867"/>
              <w:rPr>
                <w:rFonts w:eastAsia="Times New Roman"/>
              </w:rPr>
            </w:pPr>
            <w:r>
              <w:rPr>
                <w:rFonts w:eastAsia="Times New Roman"/>
                <w:color w:val="000000"/>
                <w:sz w:val="20"/>
                <w:szCs w:val="20"/>
              </w:rPr>
              <w:t>Foreign currency adjustments (net of tax of $(17), $3, $(30) and $5, respectively)</w:t>
            </w: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(106)</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(191)</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866092219"/>
        </w:trPr>
        <w:tc>
          <w:tcPr>
            <w:tcW w:w="0" w:type="auto"/>
            <w:gridSpan w:val="3"/>
            <w:shd w:val="clear" w:color="auto" w:fill="FFFFFF"/>
            <w:tcMar>
              <w:top w:w="30" w:type="dxa"/>
              <w:left w:w="20" w:type="dxa"/>
              <w:bottom w:w="30" w:type="dxa"/>
              <w:right w:w="20" w:type="dxa"/>
            </w:tcMar>
            <w:hideMark/>
          </w:tcPr>
          <w:p w:rsidR="00000000" w:rsidRDefault="00BE60E9">
            <w:pPr>
              <w:spacing w:after="100"/>
              <w:divId w:val="765346579"/>
              <w:rPr>
                <w:rFonts w:eastAsia="Times New Roman"/>
              </w:rPr>
            </w:pPr>
            <w:r>
              <w:rPr>
                <w:rFonts w:eastAsia="Times New Roman"/>
                <w:color w:val="000000"/>
                <w:sz w:val="20"/>
                <w:szCs w:val="20"/>
              </w:rPr>
              <w:t>Benefit plans (net of tax of $0, $(1), $(1) and $(1), respectively)</w:t>
            </w: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866092219"/>
        </w:trPr>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Other comprehensive (loss)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(95)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866092219"/>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Comprehensive (loss) income including noncontrolling interests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(102)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984 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866092219"/>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Deduct comprehensive income attributable to 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866092219"/>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Comprehensive (loss) income attributable to UGI Corporation</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(102)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696 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984 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bl>
    <w:p w:rsidR="00000000" w:rsidRDefault="00BE60E9">
      <w:pPr>
        <w:divId w:val="143472669"/>
        <w:rPr>
          <w:rFonts w:eastAsia="Times New Roman"/>
        </w:rPr>
      </w:pPr>
    </w:p>
    <w:p w:rsidR="00000000" w:rsidRDefault="00BE60E9">
      <w:pPr>
        <w:divId w:val="1216161439"/>
        <w:rPr>
          <w:rFonts w:eastAsia="Times New Roman"/>
        </w:rPr>
      </w:pPr>
      <w:r>
        <w:rPr>
          <w:rFonts w:eastAsia="Times New Roman"/>
          <w:color w:val="000000"/>
          <w:sz w:val="20"/>
          <w:szCs w:val="20"/>
        </w:rPr>
        <w:t>See accompanying notes to condensed consolidated financial statements.</w:t>
      </w:r>
    </w:p>
    <w:p w:rsidR="00000000" w:rsidRDefault="00BE60E9">
      <w:pPr>
        <w:jc w:val="center"/>
        <w:rPr>
          <w:rFonts w:eastAsia="Times New Roman"/>
        </w:rPr>
      </w:pPr>
    </w:p>
    <w:p w:rsidR="00000000" w:rsidRDefault="00BE60E9">
      <w:pPr>
        <w:jc w:val="center"/>
        <w:divId w:val="1194221665"/>
        <w:rPr>
          <w:rFonts w:eastAsia="Times New Roman"/>
        </w:rPr>
      </w:pPr>
      <w:r>
        <w:rPr>
          <w:rFonts w:eastAsia="Times New Roman"/>
          <w:color w:val="000000"/>
          <w:sz w:val="20"/>
          <w:szCs w:val="20"/>
        </w:rPr>
        <w:t>7</w:t>
      </w:r>
    </w:p>
    <w:p w:rsidR="00000000" w:rsidRDefault="00BE60E9">
      <w:pPr>
        <w:rPr>
          <w:rFonts w:eastAsia="Times New Roman"/>
        </w:rPr>
      </w:pPr>
      <w:r>
        <w:rPr>
          <w:rFonts w:eastAsia="Times New Roman"/>
        </w:rPr>
        <w:pict>
          <v:rect id="_x0000_i1033" style="width:0;height:1.5pt" o:hralign="center" o:hrstd="t" o:hr="t" fillcolor="#a0a0a0" stroked="f"/>
        </w:pict>
      </w:r>
    </w:p>
    <w:p w:rsidR="00000000" w:rsidRDefault="00BE60E9">
      <w:pPr>
        <w:divId w:val="860825967"/>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480923836"/>
        <w:rPr>
          <w:rFonts w:eastAsia="Times New Roman"/>
        </w:rPr>
      </w:pPr>
      <w:r>
        <w:rPr>
          <w:rFonts w:eastAsia="Times New Roman"/>
          <w:b/>
          <w:bCs/>
          <w:color w:val="000000"/>
          <w:sz w:val="20"/>
          <w:szCs w:val="20"/>
        </w:rPr>
        <w:t>UGI CORPORATION AND SUBSIDIARIES</w:t>
      </w:r>
    </w:p>
    <w:p w:rsidR="00000000" w:rsidRDefault="00BE60E9">
      <w:pPr>
        <w:jc w:val="center"/>
        <w:rPr>
          <w:rFonts w:eastAsia="Times New Roman"/>
        </w:rPr>
      </w:pPr>
      <w:r>
        <w:rPr>
          <w:rFonts w:eastAsia="Times New Roman"/>
          <w:b/>
          <w:bCs/>
          <w:color w:val="000000"/>
          <w:sz w:val="20"/>
          <w:szCs w:val="20"/>
        </w:rPr>
        <w:t>CONDENSED CONSOLIDATED STATEMENTS OF CASH FLOWS</w:t>
      </w:r>
    </w:p>
    <w:p w:rsidR="00000000" w:rsidRDefault="00BE60E9">
      <w:pPr>
        <w:jc w:val="center"/>
        <w:rPr>
          <w:rFonts w:eastAsia="Times New Roman"/>
        </w:rPr>
      </w:pPr>
      <w:r>
        <w:rPr>
          <w:rFonts w:eastAsia="Times New Roman"/>
          <w:color w:val="000000"/>
          <w:sz w:val="20"/>
          <w:szCs w:val="20"/>
        </w:rPr>
        <w:t>(unaudited)</w:t>
      </w:r>
    </w:p>
    <w:p w:rsidR="00000000" w:rsidRDefault="00BE60E9">
      <w:pPr>
        <w:jc w:val="center"/>
        <w:rPr>
          <w:rFonts w:eastAsia="Times New Roman"/>
        </w:rPr>
      </w:pPr>
      <w:r>
        <w:rPr>
          <w:rFonts w:eastAsia="Times New Roman"/>
          <w:color w:val="000000"/>
          <w:sz w:val="20"/>
          <w:szCs w:val="20"/>
        </w:rPr>
        <w:t>(Millions of dollars)</w:t>
      </w:r>
    </w:p>
    <w:tbl>
      <w:tblPr>
        <w:tblW w:w="4978" w:type="pct"/>
        <w:tblCellMar>
          <w:top w:w="15" w:type="dxa"/>
          <w:left w:w="15" w:type="dxa"/>
          <w:bottom w:w="15" w:type="dxa"/>
          <w:right w:w="15" w:type="dxa"/>
        </w:tblCellMar>
        <w:tblLook w:val="04A0" w:firstRow="1" w:lastRow="0" w:firstColumn="1" w:lastColumn="0" w:noHBand="0" w:noVBand="1"/>
      </w:tblPr>
      <w:tblGrid>
        <w:gridCol w:w="42"/>
        <w:gridCol w:w="6381"/>
        <w:gridCol w:w="41"/>
        <w:gridCol w:w="36"/>
        <w:gridCol w:w="36"/>
        <w:gridCol w:w="36"/>
        <w:gridCol w:w="120"/>
        <w:gridCol w:w="613"/>
        <w:gridCol w:w="36"/>
        <w:gridCol w:w="36"/>
        <w:gridCol w:w="36"/>
        <w:gridCol w:w="36"/>
        <w:gridCol w:w="121"/>
        <w:gridCol w:w="663"/>
        <w:gridCol w:w="36"/>
      </w:tblGrid>
      <w:tr w:rsidR="00000000">
        <w:trPr>
          <w:divId w:val="1933778911"/>
        </w:trPr>
        <w:tc>
          <w:tcPr>
            <w:tcW w:w="50" w:type="pct"/>
            <w:vAlign w:val="center"/>
            <w:hideMark/>
          </w:tcPr>
          <w:p w:rsidR="00000000" w:rsidRDefault="00BE60E9">
            <w:pPr>
              <w:jc w:val="center"/>
              <w:rPr>
                <w:rFonts w:eastAsia="Times New Roman"/>
              </w:rPr>
            </w:pPr>
          </w:p>
        </w:tc>
        <w:tc>
          <w:tcPr>
            <w:tcW w:w="3887"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2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5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rPr>
          <w:divId w:val="1933778911"/>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Nine Months Ended</w:t>
            </w:r>
            <w:r>
              <w:rPr>
                <w:rFonts w:eastAsia="Times New Roman"/>
                <w:color w:val="000000"/>
                <w:sz w:val="18"/>
                <w:szCs w:val="18"/>
              </w:rPr>
              <w:br/>
              <w:t>June 30,</w:t>
            </w:r>
          </w:p>
        </w:tc>
      </w:tr>
      <w:tr w:rsidR="00000000">
        <w:trPr>
          <w:divId w:val="1933778911"/>
        </w:trPr>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2021</w:t>
            </w:r>
          </w:p>
        </w:tc>
      </w:tr>
      <w:tr w:rsidR="00000000">
        <w:trPr>
          <w:divId w:val="1933778911"/>
        </w:trPr>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b/>
                <w:bCs/>
                <w:color w:val="000000"/>
                <w:sz w:val="20"/>
                <w:szCs w:val="20"/>
              </w:rPr>
              <w:t>CASH FLOWS FROM OPERATING ACTIVITIES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933778911"/>
        </w:trPr>
        <w:tc>
          <w:tcPr>
            <w:tcW w:w="0" w:type="auto"/>
            <w:gridSpan w:val="3"/>
            <w:shd w:val="clear" w:color="auto" w:fill="FFFFFF"/>
            <w:tcMar>
              <w:top w:w="30" w:type="dxa"/>
              <w:left w:w="380" w:type="dxa"/>
              <w:bottom w:w="30" w:type="dxa"/>
              <w:right w:w="20" w:type="dxa"/>
            </w:tcMar>
            <w:hideMark/>
          </w:tcPr>
          <w:p w:rsidR="00000000" w:rsidRDefault="00BE60E9">
            <w:pPr>
              <w:spacing w:after="100"/>
              <w:rPr>
                <w:rFonts w:eastAsia="Times New Roman"/>
              </w:rPr>
            </w:pPr>
            <w:r>
              <w:rPr>
                <w:rFonts w:eastAsia="Times New Roman"/>
                <w:color w:val="000000"/>
                <w:sz w:val="20"/>
                <w:szCs w:val="20"/>
              </w:rPr>
              <w:t>Net income including noncontrolling interest</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831 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942 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933778911"/>
        </w:trPr>
        <w:tc>
          <w:tcPr>
            <w:tcW w:w="0" w:type="auto"/>
            <w:gridSpan w:val="3"/>
            <w:shd w:val="clear" w:color="auto" w:fill="CCEEFF"/>
            <w:tcMar>
              <w:top w:w="30" w:type="dxa"/>
              <w:left w:w="380" w:type="dxa"/>
              <w:bottom w:w="30" w:type="dxa"/>
              <w:right w:w="20" w:type="dxa"/>
            </w:tcMar>
            <w:hideMark/>
          </w:tcPr>
          <w:p w:rsidR="00000000" w:rsidRDefault="00BE60E9">
            <w:pPr>
              <w:spacing w:after="100"/>
              <w:rPr>
                <w:rFonts w:eastAsia="Times New Roman"/>
              </w:rPr>
            </w:pPr>
            <w:r>
              <w:rPr>
                <w:rFonts w:eastAsia="Times New Roman"/>
                <w:color w:val="000000"/>
                <w:sz w:val="20"/>
                <w:szCs w:val="20"/>
              </w:rPr>
              <w:t>Adjustments to reconcile net income including noncontrolling interests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933778911"/>
        </w:trPr>
        <w:tc>
          <w:tcPr>
            <w:tcW w:w="0" w:type="auto"/>
            <w:gridSpan w:val="3"/>
            <w:shd w:val="clear" w:color="auto" w:fill="FFFFFF"/>
            <w:tcMar>
              <w:top w:w="30" w:type="dxa"/>
              <w:left w:w="740" w:type="dxa"/>
              <w:bottom w:w="30" w:type="dxa"/>
              <w:right w:w="20" w:type="dxa"/>
            </w:tcMar>
            <w:hideMark/>
          </w:tcPr>
          <w:p w:rsidR="00000000" w:rsidRDefault="00BE60E9">
            <w:pPr>
              <w:spacing w:after="100"/>
              <w:rPr>
                <w:rFonts w:eastAsia="Times New Roman"/>
              </w:rPr>
            </w:pPr>
            <w:r>
              <w:rPr>
                <w:rFonts w:eastAsia="Times New Roman"/>
                <w:color w:val="000000"/>
                <w:sz w:val="20"/>
                <w:szCs w:val="20"/>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387 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375 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933778911"/>
        </w:trPr>
        <w:tc>
          <w:tcPr>
            <w:tcW w:w="0" w:type="auto"/>
            <w:gridSpan w:val="3"/>
            <w:shd w:val="clear" w:color="auto" w:fill="CCEEFF"/>
            <w:tcMar>
              <w:top w:w="30" w:type="dxa"/>
              <w:left w:w="740" w:type="dxa"/>
              <w:bottom w:w="30" w:type="dxa"/>
              <w:right w:w="20" w:type="dxa"/>
            </w:tcMar>
            <w:hideMark/>
          </w:tcPr>
          <w:p w:rsidR="00000000" w:rsidRDefault="00BE60E9">
            <w:pPr>
              <w:spacing w:after="100"/>
              <w:rPr>
                <w:rFonts w:eastAsia="Times New Roman"/>
              </w:rPr>
            </w:pPr>
            <w:r>
              <w:rPr>
                <w:rFonts w:eastAsia="Times New Roman"/>
                <w:color w:val="000000"/>
                <w:sz w:val="20"/>
                <w:szCs w:val="20"/>
              </w:rPr>
              <w:t>Deferred income tax expense, net</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142 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267 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933778911"/>
        </w:trPr>
        <w:tc>
          <w:tcPr>
            <w:tcW w:w="0" w:type="auto"/>
            <w:gridSpan w:val="3"/>
            <w:shd w:val="clear" w:color="auto" w:fill="FFFFFF"/>
            <w:tcMar>
              <w:top w:w="30" w:type="dxa"/>
              <w:left w:w="740" w:type="dxa"/>
              <w:bottom w:w="30" w:type="dxa"/>
              <w:right w:w="20" w:type="dxa"/>
            </w:tcMar>
            <w:hideMark/>
          </w:tcPr>
          <w:p w:rsidR="00000000" w:rsidRDefault="00BE60E9">
            <w:pPr>
              <w:spacing w:after="100"/>
              <w:rPr>
                <w:rFonts w:eastAsia="Times New Roman"/>
              </w:rPr>
            </w:pPr>
            <w:r>
              <w:rPr>
                <w:rFonts w:eastAsia="Times New Roman"/>
                <w:color w:val="000000"/>
                <w:sz w:val="20"/>
                <w:szCs w:val="20"/>
              </w:rPr>
              <w:t>Provision for uncollectible accounts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933778911"/>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933778911"/>
        </w:trPr>
        <w:tc>
          <w:tcPr>
            <w:tcW w:w="0" w:type="auto"/>
            <w:gridSpan w:val="3"/>
            <w:shd w:val="clear" w:color="auto" w:fill="CCEEFF"/>
            <w:tcMar>
              <w:top w:w="30" w:type="dxa"/>
              <w:left w:w="740" w:type="dxa"/>
              <w:bottom w:w="30" w:type="dxa"/>
              <w:right w:w="20" w:type="dxa"/>
            </w:tcMar>
            <w:hideMark/>
          </w:tcPr>
          <w:p w:rsidR="00000000" w:rsidRDefault="00BE60E9">
            <w:pPr>
              <w:spacing w:after="100"/>
              <w:rPr>
                <w:rFonts w:eastAsia="Times New Roman"/>
              </w:rPr>
            </w:pPr>
            <w:r>
              <w:rPr>
                <w:rFonts w:eastAsia="Times New Roman"/>
                <w:color w:val="000000"/>
                <w:sz w:val="20"/>
                <w:szCs w:val="20"/>
              </w:rPr>
              <w:t>Changes in unrealized gains and losses on derivative instruments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(372)</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(509)</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933778911"/>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933778911"/>
        </w:trPr>
        <w:tc>
          <w:tcPr>
            <w:tcW w:w="0" w:type="auto"/>
            <w:gridSpan w:val="3"/>
            <w:shd w:val="clear" w:color="auto" w:fill="FFFFFF"/>
            <w:tcMar>
              <w:top w:w="30" w:type="dxa"/>
              <w:left w:w="740" w:type="dxa"/>
              <w:bottom w:w="30" w:type="dxa"/>
              <w:right w:w="20" w:type="dxa"/>
            </w:tcMar>
            <w:hideMark/>
          </w:tcPr>
          <w:p w:rsidR="00000000" w:rsidRDefault="00BE60E9">
            <w:pPr>
              <w:spacing w:after="100"/>
              <w:rPr>
                <w:rFonts w:eastAsia="Times New Roman"/>
              </w:rPr>
            </w:pPr>
            <w:r>
              <w:rPr>
                <w:rFonts w:eastAsia="Times New Roman"/>
                <w:color w:val="000000"/>
                <w:sz w:val="20"/>
                <w:szCs w:val="20"/>
              </w:rPr>
              <w:t>Loss on extinguishment of debt</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933778911"/>
        </w:trPr>
        <w:tc>
          <w:tcPr>
            <w:tcW w:w="0" w:type="auto"/>
            <w:gridSpan w:val="3"/>
            <w:shd w:val="clear" w:color="auto" w:fill="CCEEFF"/>
            <w:tcMar>
              <w:top w:w="30" w:type="dxa"/>
              <w:left w:w="740" w:type="dxa"/>
              <w:bottom w:w="30" w:type="dxa"/>
              <w:right w:w="20" w:type="dxa"/>
            </w:tcMar>
            <w:hideMark/>
          </w:tcPr>
          <w:p w:rsidR="00000000" w:rsidRDefault="00BE60E9">
            <w:pPr>
              <w:spacing w:after="100"/>
              <w:rPr>
                <w:rFonts w:eastAsia="Times New Roman"/>
              </w:rPr>
            </w:pPr>
            <w:r>
              <w:rPr>
                <w:rFonts w:eastAsia="Times New Roman"/>
                <w:color w:val="000000"/>
                <w:sz w:val="20"/>
                <w:szCs w:val="20"/>
              </w:rPr>
              <w:t>Loss from equity investees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69 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933778911"/>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933778911"/>
        </w:trPr>
        <w:tc>
          <w:tcPr>
            <w:tcW w:w="0" w:type="auto"/>
            <w:gridSpan w:val="3"/>
            <w:shd w:val="clear" w:color="auto" w:fill="FFFFFF"/>
            <w:tcMar>
              <w:top w:w="30" w:type="dxa"/>
              <w:left w:w="740" w:type="dxa"/>
              <w:bottom w:w="30" w:type="dxa"/>
              <w:right w:w="20" w:type="dxa"/>
            </w:tcMar>
            <w:hideMark/>
          </w:tcPr>
          <w:p w:rsidR="00000000" w:rsidRDefault="00BE60E9">
            <w:pPr>
              <w:spacing w:after="100"/>
              <w:rPr>
                <w:rFonts w:eastAsia="Times New Roman"/>
              </w:rPr>
            </w:pPr>
            <w:r>
              <w:rPr>
                <w:rFonts w:eastAsia="Times New Roman"/>
                <w:color w:val="000000"/>
                <w:sz w:val="20"/>
                <w:szCs w:val="20"/>
              </w:rPr>
              <w:t>Other, net</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933778911"/>
        </w:trPr>
        <w:tc>
          <w:tcPr>
            <w:tcW w:w="0" w:type="auto"/>
            <w:gridSpan w:val="3"/>
            <w:shd w:val="clear" w:color="auto" w:fill="CCEEFF"/>
            <w:tcMar>
              <w:top w:w="30" w:type="dxa"/>
              <w:left w:w="740" w:type="dxa"/>
              <w:bottom w:w="30" w:type="dxa"/>
              <w:right w:w="20" w:type="dxa"/>
            </w:tcMar>
            <w:hideMark/>
          </w:tcPr>
          <w:p w:rsidR="00000000" w:rsidRDefault="00BE60E9">
            <w:pPr>
              <w:spacing w:after="100"/>
              <w:rPr>
                <w:rFonts w:eastAsia="Times New Roman"/>
              </w:rPr>
            </w:pPr>
            <w:r>
              <w:rPr>
                <w:rFonts w:eastAsia="Times New Roman"/>
                <w:color w:val="000000"/>
                <w:sz w:val="20"/>
                <w:szCs w:val="20"/>
              </w:rPr>
              <w:t>Net change in:</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933778911"/>
        </w:trPr>
        <w:tc>
          <w:tcPr>
            <w:tcW w:w="0" w:type="auto"/>
            <w:gridSpan w:val="3"/>
            <w:shd w:val="clear" w:color="auto" w:fill="FFFFFF"/>
            <w:tcMar>
              <w:top w:w="30" w:type="dxa"/>
              <w:left w:w="1235" w:type="dxa"/>
              <w:bottom w:w="30" w:type="dxa"/>
              <w:right w:w="20" w:type="dxa"/>
            </w:tcMar>
            <w:hideMark/>
          </w:tcPr>
          <w:p w:rsidR="00000000" w:rsidRDefault="00BE60E9">
            <w:pPr>
              <w:spacing w:after="100"/>
              <w:rPr>
                <w:rFonts w:eastAsia="Times New Roman"/>
              </w:rPr>
            </w:pPr>
            <w:r>
              <w:rPr>
                <w:rFonts w:eastAsia="Times New Roman"/>
                <w:color w:val="000000"/>
                <w:sz w:val="20"/>
                <w:szCs w:val="20"/>
              </w:rPr>
              <w:t>Accounts receivable and accrued utility revenues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(486)</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(213)</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933778911"/>
        </w:trPr>
        <w:tc>
          <w:tcPr>
            <w:tcW w:w="0" w:type="auto"/>
            <w:gridSpan w:val="3"/>
            <w:shd w:val="clear" w:color="auto" w:fill="CCEEFF"/>
            <w:tcMar>
              <w:top w:w="30" w:type="dxa"/>
              <w:left w:w="1235" w:type="dxa"/>
              <w:bottom w:w="30" w:type="dxa"/>
              <w:right w:w="20" w:type="dxa"/>
            </w:tcMar>
            <w:hideMark/>
          </w:tcPr>
          <w:p w:rsidR="00000000" w:rsidRDefault="00BE60E9">
            <w:pPr>
              <w:spacing w:after="100"/>
              <w:rPr>
                <w:rFonts w:eastAsia="Times New Roman"/>
              </w:rPr>
            </w:pPr>
            <w:r>
              <w:rPr>
                <w:rFonts w:eastAsia="Times New Roman"/>
                <w:color w:val="000000"/>
                <w:sz w:val="20"/>
                <w:szCs w:val="20"/>
              </w:rPr>
              <w:t>Income taxes receivable</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(48)</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933778911"/>
        </w:trPr>
        <w:tc>
          <w:tcPr>
            <w:tcW w:w="0" w:type="auto"/>
            <w:gridSpan w:val="3"/>
            <w:shd w:val="clear" w:color="auto" w:fill="FFFFFF"/>
            <w:tcMar>
              <w:top w:w="30" w:type="dxa"/>
              <w:left w:w="1235" w:type="dxa"/>
              <w:bottom w:w="30" w:type="dxa"/>
              <w:right w:w="20" w:type="dxa"/>
            </w:tcMar>
            <w:hideMark/>
          </w:tcPr>
          <w:p w:rsidR="00000000" w:rsidRDefault="00BE60E9">
            <w:pPr>
              <w:spacing w:after="100"/>
              <w:rPr>
                <w:rFonts w:eastAsia="Times New Roman"/>
              </w:rPr>
            </w:pPr>
            <w:r>
              <w:rPr>
                <w:rFonts w:eastAsia="Times New Roman"/>
                <w:color w:val="000000"/>
                <w:sz w:val="20"/>
                <w:szCs w:val="20"/>
              </w:rPr>
              <w:t>Inventories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(42)</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(55)</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933778911"/>
        </w:trPr>
        <w:tc>
          <w:tcPr>
            <w:tcW w:w="0" w:type="auto"/>
            <w:gridSpan w:val="3"/>
            <w:shd w:val="clear" w:color="auto" w:fill="CCEEFF"/>
            <w:tcMar>
              <w:top w:w="30" w:type="dxa"/>
              <w:left w:w="1235" w:type="dxa"/>
              <w:bottom w:w="30" w:type="dxa"/>
              <w:right w:w="20" w:type="dxa"/>
            </w:tcMar>
            <w:hideMark/>
          </w:tcPr>
          <w:p w:rsidR="00000000" w:rsidRDefault="00BE60E9">
            <w:pPr>
              <w:spacing w:after="100"/>
              <w:rPr>
                <w:rFonts w:eastAsia="Times New Roman"/>
              </w:rPr>
            </w:pPr>
            <w:r>
              <w:rPr>
                <w:rFonts w:eastAsia="Times New Roman"/>
                <w:color w:val="000000"/>
                <w:sz w:val="20"/>
                <w:szCs w:val="20"/>
              </w:rPr>
              <w:t>Utility deferred fuel and power costs, net of changes in unsettled derivatives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933778911"/>
        </w:trPr>
        <w:tc>
          <w:tcPr>
            <w:tcW w:w="0" w:type="auto"/>
            <w:gridSpan w:val="3"/>
            <w:shd w:val="clear" w:color="auto" w:fill="FFFFFF"/>
            <w:tcMar>
              <w:top w:w="30" w:type="dxa"/>
              <w:left w:w="1235" w:type="dxa"/>
              <w:bottom w:w="30" w:type="dxa"/>
              <w:right w:w="20" w:type="dxa"/>
            </w:tcMar>
            <w:hideMark/>
          </w:tcPr>
          <w:p w:rsidR="00000000" w:rsidRDefault="00BE60E9">
            <w:pPr>
              <w:spacing w:after="100"/>
              <w:rPr>
                <w:rFonts w:eastAsia="Times New Roman"/>
              </w:rPr>
            </w:pPr>
            <w:r>
              <w:rPr>
                <w:rFonts w:eastAsia="Times New Roman"/>
                <w:color w:val="000000"/>
                <w:sz w:val="20"/>
                <w:szCs w:val="20"/>
              </w:rPr>
              <w:t>Accounts payable</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123 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933778911"/>
        </w:trPr>
        <w:tc>
          <w:tcPr>
            <w:tcW w:w="0" w:type="auto"/>
            <w:gridSpan w:val="3"/>
            <w:shd w:val="clear" w:color="auto" w:fill="CCEEFF"/>
            <w:tcMar>
              <w:top w:w="30" w:type="dxa"/>
              <w:left w:w="1235" w:type="dxa"/>
              <w:bottom w:w="30" w:type="dxa"/>
              <w:right w:w="20" w:type="dxa"/>
            </w:tcMar>
            <w:hideMark/>
          </w:tcPr>
          <w:p w:rsidR="00000000" w:rsidRDefault="00BE60E9">
            <w:pPr>
              <w:spacing w:after="100"/>
              <w:rPr>
                <w:rFonts w:eastAsia="Times New Roman"/>
              </w:rPr>
            </w:pPr>
            <w:r>
              <w:rPr>
                <w:rFonts w:eastAsia="Times New Roman"/>
                <w:color w:val="000000"/>
                <w:sz w:val="20"/>
                <w:szCs w:val="20"/>
              </w:rPr>
              <w:t>Derivative instruments collateral deposits received</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181 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112 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933778911"/>
        </w:trPr>
        <w:tc>
          <w:tcPr>
            <w:tcW w:w="0" w:type="auto"/>
            <w:gridSpan w:val="3"/>
            <w:shd w:val="clear" w:color="auto" w:fill="FFFFFF"/>
            <w:tcMar>
              <w:top w:w="30" w:type="dxa"/>
              <w:left w:w="1235" w:type="dxa"/>
              <w:bottom w:w="30" w:type="dxa"/>
              <w:right w:w="20" w:type="dxa"/>
            </w:tcMar>
            <w:hideMark/>
          </w:tcPr>
          <w:p w:rsidR="00000000" w:rsidRDefault="00BE60E9">
            <w:pPr>
              <w:spacing w:after="100"/>
              <w:rPr>
                <w:rFonts w:eastAsia="Times New Roman"/>
              </w:rPr>
            </w:pPr>
            <w:r>
              <w:rPr>
                <w:rFonts w:eastAsia="Times New Roman"/>
                <w:color w:val="000000"/>
                <w:sz w:val="20"/>
                <w:szCs w:val="20"/>
              </w:rPr>
              <w:t>Other current assets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93 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(17)</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933778911"/>
        </w:trPr>
        <w:tc>
          <w:tcPr>
            <w:tcW w:w="0" w:type="auto"/>
            <w:gridSpan w:val="3"/>
            <w:shd w:val="clear" w:color="auto" w:fill="CCEEFF"/>
            <w:tcMar>
              <w:top w:w="30" w:type="dxa"/>
              <w:left w:w="1235" w:type="dxa"/>
              <w:bottom w:w="30" w:type="dxa"/>
              <w:right w:w="20" w:type="dxa"/>
            </w:tcMar>
            <w:hideMark/>
          </w:tcPr>
          <w:p w:rsidR="00000000" w:rsidRDefault="00BE60E9">
            <w:pPr>
              <w:spacing w:after="100"/>
              <w:rPr>
                <w:rFonts w:eastAsia="Times New Roman"/>
              </w:rPr>
            </w:pPr>
            <w:r>
              <w:rPr>
                <w:rFonts w:eastAsia="Times New Roman"/>
                <w:color w:val="000000"/>
                <w:sz w:val="20"/>
                <w:szCs w:val="20"/>
              </w:rPr>
              <w:t>Other current liabilities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(56)</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(25)</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933778911"/>
        </w:trPr>
        <w:tc>
          <w:tcPr>
            <w:tcW w:w="0" w:type="auto"/>
            <w:gridSpan w:val="3"/>
            <w:shd w:val="clear" w:color="auto" w:fill="FFFFFF"/>
            <w:tcMar>
              <w:top w:w="30" w:type="dxa"/>
              <w:left w:w="740" w:type="dxa"/>
              <w:bottom w:w="30" w:type="dxa"/>
              <w:right w:w="20" w:type="dxa"/>
            </w:tcMar>
            <w:hideMark/>
          </w:tcPr>
          <w:p w:rsidR="00000000" w:rsidRDefault="00BE60E9">
            <w:pPr>
              <w:spacing w:after="100"/>
              <w:rPr>
                <w:rFonts w:eastAsia="Times New Roman"/>
              </w:rPr>
            </w:pPr>
            <w:r>
              <w:rPr>
                <w:rFonts w:eastAsia="Times New Roman"/>
                <w:color w:val="000000"/>
                <w:sz w:val="20"/>
                <w:szCs w:val="20"/>
              </w:rPr>
              <w:t>Net cash provided by operating activities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848 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1,047 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933778911"/>
        </w:trPr>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b/>
                <w:bCs/>
                <w:color w:val="000000"/>
                <w:sz w:val="20"/>
                <w:szCs w:val="20"/>
              </w:rPr>
              <w:t>CASH FLOWS FROM INVESTING ACTIVITIES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933778911"/>
        </w:trPr>
        <w:tc>
          <w:tcPr>
            <w:tcW w:w="0" w:type="auto"/>
            <w:gridSpan w:val="3"/>
            <w:shd w:val="clear" w:color="auto" w:fill="FFFFFF"/>
            <w:tcMar>
              <w:top w:w="30" w:type="dxa"/>
              <w:left w:w="380" w:type="dxa"/>
              <w:bottom w:w="30" w:type="dxa"/>
              <w:right w:w="20" w:type="dxa"/>
            </w:tcMar>
            <w:hideMark/>
          </w:tcPr>
          <w:p w:rsidR="00000000" w:rsidRDefault="00BE60E9">
            <w:pPr>
              <w:spacing w:after="100"/>
              <w:rPr>
                <w:rFonts w:eastAsia="Times New Roman"/>
              </w:rPr>
            </w:pPr>
            <w:r>
              <w:rPr>
                <w:rFonts w:eastAsia="Times New Roman"/>
                <w:color w:val="000000"/>
                <w:sz w:val="20"/>
                <w:szCs w:val="20"/>
              </w:rPr>
              <w:t>Expenditures for property, plant and equipment</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(551)</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(460)</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933778911"/>
        </w:trPr>
        <w:tc>
          <w:tcPr>
            <w:tcW w:w="0" w:type="auto"/>
            <w:gridSpan w:val="3"/>
            <w:shd w:val="clear" w:color="auto" w:fill="CCEEFF"/>
            <w:tcMar>
              <w:top w:w="30" w:type="dxa"/>
              <w:left w:w="380" w:type="dxa"/>
              <w:bottom w:w="30" w:type="dxa"/>
              <w:right w:w="20" w:type="dxa"/>
            </w:tcMar>
            <w:hideMark/>
          </w:tcPr>
          <w:p w:rsidR="00000000" w:rsidRDefault="00BE60E9">
            <w:pPr>
              <w:spacing w:after="100"/>
              <w:rPr>
                <w:rFonts w:eastAsia="Times New Roman"/>
              </w:rPr>
            </w:pPr>
            <w:r>
              <w:rPr>
                <w:rFonts w:eastAsia="Times New Roman"/>
                <w:color w:val="000000"/>
                <w:sz w:val="20"/>
                <w:szCs w:val="20"/>
              </w:rPr>
              <w:t>Acquisitions of businesses and assets, net of cash and restricted cash acquired</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(188)</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933778911"/>
        </w:trPr>
        <w:tc>
          <w:tcPr>
            <w:tcW w:w="0" w:type="auto"/>
            <w:gridSpan w:val="3"/>
            <w:shd w:val="clear" w:color="auto" w:fill="FFFFFF"/>
            <w:tcMar>
              <w:top w:w="30" w:type="dxa"/>
              <w:left w:w="380" w:type="dxa"/>
              <w:bottom w:w="30" w:type="dxa"/>
              <w:right w:w="20" w:type="dxa"/>
            </w:tcMar>
            <w:hideMark/>
          </w:tcPr>
          <w:p w:rsidR="00000000" w:rsidRDefault="00BE60E9">
            <w:pPr>
              <w:spacing w:after="100"/>
              <w:rPr>
                <w:rFonts w:eastAsia="Times New Roman"/>
              </w:rPr>
            </w:pPr>
            <w:r>
              <w:rPr>
                <w:rFonts w:eastAsia="Times New Roman"/>
                <w:color w:val="000000"/>
                <w:sz w:val="20"/>
                <w:szCs w:val="20"/>
              </w:rPr>
              <w:t>Investments in equity method investees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(41)</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(61)</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933778911"/>
        </w:trPr>
        <w:tc>
          <w:tcPr>
            <w:tcW w:w="0" w:type="auto"/>
            <w:gridSpan w:val="3"/>
            <w:shd w:val="clear" w:color="auto" w:fill="CCEEFF"/>
            <w:tcMar>
              <w:top w:w="30" w:type="dxa"/>
              <w:left w:w="380" w:type="dxa"/>
              <w:bottom w:w="30" w:type="dxa"/>
              <w:right w:w="20" w:type="dxa"/>
            </w:tcMar>
            <w:hideMark/>
          </w:tcPr>
          <w:p w:rsidR="00000000" w:rsidRDefault="00BE60E9">
            <w:pPr>
              <w:spacing w:after="100"/>
              <w:rPr>
                <w:rFonts w:eastAsia="Times New Roman"/>
              </w:rPr>
            </w:pPr>
            <w:r>
              <w:rPr>
                <w:rFonts w:eastAsia="Times New Roman"/>
                <w:color w:val="000000"/>
                <w:sz w:val="20"/>
                <w:szCs w:val="20"/>
              </w:rPr>
              <w:t>Settlements of net investment hedges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933778911"/>
        </w:trPr>
        <w:tc>
          <w:tcPr>
            <w:tcW w:w="0" w:type="auto"/>
            <w:gridSpan w:val="3"/>
            <w:shd w:val="clear" w:color="auto" w:fill="FFFFFF"/>
            <w:tcMar>
              <w:top w:w="30" w:type="dxa"/>
              <w:left w:w="380" w:type="dxa"/>
              <w:bottom w:w="30" w:type="dxa"/>
              <w:right w:w="20" w:type="dxa"/>
            </w:tcMar>
            <w:hideMark/>
          </w:tcPr>
          <w:p w:rsidR="00000000" w:rsidRDefault="00BE60E9">
            <w:pPr>
              <w:spacing w:after="100"/>
              <w:rPr>
                <w:rFonts w:eastAsia="Times New Roman"/>
              </w:rPr>
            </w:pPr>
            <w:r>
              <w:rPr>
                <w:rFonts w:eastAsia="Times New Roman"/>
                <w:color w:val="000000"/>
                <w:sz w:val="20"/>
                <w:szCs w:val="20"/>
              </w:rPr>
              <w:t>Other, net</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933778911"/>
        </w:trPr>
        <w:tc>
          <w:tcPr>
            <w:tcW w:w="0" w:type="auto"/>
            <w:gridSpan w:val="3"/>
            <w:shd w:val="clear" w:color="auto" w:fill="CCEEFF"/>
            <w:tcMar>
              <w:top w:w="30" w:type="dxa"/>
              <w:left w:w="740" w:type="dxa"/>
              <w:bottom w:w="30" w:type="dxa"/>
              <w:right w:w="20" w:type="dxa"/>
            </w:tcMar>
            <w:hideMark/>
          </w:tcPr>
          <w:p w:rsidR="00000000" w:rsidRDefault="00BE60E9">
            <w:pPr>
              <w:spacing w:after="100"/>
              <w:rPr>
                <w:rFonts w:eastAsia="Times New Roman"/>
              </w:rPr>
            </w:pPr>
            <w:r>
              <w:rPr>
                <w:rFonts w:eastAsia="Times New Roman"/>
                <w:color w:val="000000"/>
                <w:sz w:val="20"/>
                <w:szCs w:val="20"/>
              </w:rPr>
              <w:t>Net cash used by investing activities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(717)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(505)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933778911"/>
        </w:trPr>
        <w:tc>
          <w:tcPr>
            <w:tcW w:w="0" w:type="auto"/>
            <w:gridSpan w:val="3"/>
            <w:shd w:val="clear" w:color="auto" w:fill="FFFFFF"/>
            <w:tcMar>
              <w:top w:w="30" w:type="dxa"/>
              <w:left w:w="20" w:type="dxa"/>
              <w:bottom w:w="30" w:type="dxa"/>
              <w:right w:w="20" w:type="dxa"/>
            </w:tcMar>
            <w:hideMark/>
          </w:tcPr>
          <w:p w:rsidR="00000000" w:rsidRDefault="00BE60E9">
            <w:pPr>
              <w:spacing w:after="100"/>
              <w:rPr>
                <w:rFonts w:eastAsia="Times New Roman"/>
              </w:rPr>
            </w:pPr>
            <w:r>
              <w:rPr>
                <w:rFonts w:eastAsia="Times New Roman"/>
                <w:b/>
                <w:bCs/>
                <w:color w:val="000000"/>
                <w:sz w:val="20"/>
                <w:szCs w:val="20"/>
              </w:rPr>
              <w:t>CASH FLOWS FROM FINANCING ACTIVITIES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933778911"/>
        </w:trPr>
        <w:tc>
          <w:tcPr>
            <w:tcW w:w="0" w:type="auto"/>
            <w:gridSpan w:val="3"/>
            <w:shd w:val="clear" w:color="auto" w:fill="CCEEFF"/>
            <w:tcMar>
              <w:top w:w="30" w:type="dxa"/>
              <w:left w:w="380" w:type="dxa"/>
              <w:bottom w:w="30" w:type="dxa"/>
              <w:right w:w="20" w:type="dxa"/>
            </w:tcMar>
            <w:hideMark/>
          </w:tcPr>
          <w:p w:rsidR="00000000" w:rsidRDefault="00BE60E9">
            <w:pPr>
              <w:spacing w:after="100"/>
              <w:rPr>
                <w:rFonts w:eastAsia="Times New Roman"/>
              </w:rPr>
            </w:pPr>
            <w:r>
              <w:rPr>
                <w:rFonts w:eastAsia="Times New Roman"/>
                <w:color w:val="000000"/>
                <w:sz w:val="20"/>
                <w:szCs w:val="20"/>
              </w:rPr>
              <w:t>Dividends on UGI Common Stock</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(220)</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(210)</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933778911"/>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933778911"/>
        </w:trPr>
        <w:tc>
          <w:tcPr>
            <w:tcW w:w="0" w:type="auto"/>
            <w:gridSpan w:val="3"/>
            <w:shd w:val="clear" w:color="auto" w:fill="FFFFFF"/>
            <w:tcMar>
              <w:top w:w="30" w:type="dxa"/>
              <w:left w:w="380" w:type="dxa"/>
              <w:bottom w:w="30" w:type="dxa"/>
              <w:right w:w="20" w:type="dxa"/>
            </w:tcMar>
            <w:hideMark/>
          </w:tcPr>
          <w:p w:rsidR="00000000" w:rsidRDefault="00BE60E9">
            <w:pPr>
              <w:spacing w:after="100"/>
              <w:rPr>
                <w:rFonts w:eastAsia="Times New Roman"/>
              </w:rPr>
            </w:pPr>
            <w:r>
              <w:rPr>
                <w:rFonts w:eastAsia="Times New Roman"/>
                <w:color w:val="000000"/>
                <w:sz w:val="20"/>
                <w:szCs w:val="20"/>
              </w:rPr>
              <w:t>Issuances of long-term debt, net of issuance costs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863 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130 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933778911"/>
        </w:trPr>
        <w:tc>
          <w:tcPr>
            <w:tcW w:w="0" w:type="auto"/>
            <w:gridSpan w:val="3"/>
            <w:shd w:val="clear" w:color="auto" w:fill="CCEEFF"/>
            <w:tcMar>
              <w:top w:w="30" w:type="dxa"/>
              <w:left w:w="380" w:type="dxa"/>
              <w:bottom w:w="30" w:type="dxa"/>
              <w:right w:w="20" w:type="dxa"/>
            </w:tcMar>
            <w:hideMark/>
          </w:tcPr>
          <w:p w:rsidR="00000000" w:rsidRDefault="00BE60E9">
            <w:pPr>
              <w:spacing w:after="100"/>
              <w:rPr>
                <w:rFonts w:eastAsia="Times New Roman"/>
              </w:rPr>
            </w:pPr>
            <w:r>
              <w:rPr>
                <w:rFonts w:eastAsia="Times New Roman"/>
                <w:color w:val="000000"/>
                <w:sz w:val="20"/>
                <w:szCs w:val="20"/>
              </w:rPr>
              <w:t>Repayments of long-term debt and finance leases, including redemption premiums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(806)</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(329)</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933778911"/>
        </w:trPr>
        <w:tc>
          <w:tcPr>
            <w:tcW w:w="0" w:type="auto"/>
            <w:gridSpan w:val="3"/>
            <w:shd w:val="clear" w:color="auto" w:fill="FFFFFF"/>
            <w:tcMar>
              <w:top w:w="30" w:type="dxa"/>
              <w:left w:w="380" w:type="dxa"/>
              <w:bottom w:w="30" w:type="dxa"/>
              <w:right w:w="20" w:type="dxa"/>
            </w:tcMar>
            <w:hideMark/>
          </w:tcPr>
          <w:p w:rsidR="00000000" w:rsidRDefault="00BE60E9">
            <w:pPr>
              <w:spacing w:after="100"/>
              <w:rPr>
                <w:rFonts w:eastAsia="Times New Roman"/>
              </w:rPr>
            </w:pPr>
            <w:r>
              <w:rPr>
                <w:rFonts w:eastAsia="Times New Roman"/>
                <w:color w:val="000000"/>
                <w:sz w:val="20"/>
                <w:szCs w:val="20"/>
              </w:rPr>
              <w:t>Decrease in short-term borrowings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(91)</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(121)</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933778911"/>
        </w:trPr>
        <w:tc>
          <w:tcPr>
            <w:tcW w:w="0" w:type="auto"/>
            <w:gridSpan w:val="3"/>
            <w:shd w:val="clear" w:color="auto" w:fill="CCEEFF"/>
            <w:tcMar>
              <w:top w:w="30" w:type="dxa"/>
              <w:left w:w="380" w:type="dxa"/>
              <w:bottom w:w="30" w:type="dxa"/>
              <w:right w:w="20" w:type="dxa"/>
            </w:tcMar>
            <w:hideMark/>
          </w:tcPr>
          <w:p w:rsidR="00000000" w:rsidRDefault="00BE60E9">
            <w:pPr>
              <w:spacing w:after="100"/>
              <w:rPr>
                <w:rFonts w:eastAsia="Times New Roman"/>
              </w:rPr>
            </w:pPr>
            <w:r>
              <w:rPr>
                <w:rFonts w:eastAsia="Times New Roman"/>
                <w:color w:val="000000"/>
                <w:sz w:val="20"/>
                <w:szCs w:val="20"/>
              </w:rPr>
              <w:t>Receivables Facility net repayments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933778911"/>
        </w:trPr>
        <w:tc>
          <w:tcPr>
            <w:tcW w:w="0" w:type="auto"/>
            <w:gridSpan w:val="3"/>
            <w:shd w:val="clear" w:color="auto" w:fill="FFFFFF"/>
            <w:tcMar>
              <w:top w:w="30" w:type="dxa"/>
              <w:left w:w="380" w:type="dxa"/>
              <w:bottom w:w="30" w:type="dxa"/>
              <w:right w:w="20" w:type="dxa"/>
            </w:tcMar>
            <w:hideMark/>
          </w:tcPr>
          <w:p w:rsidR="00000000" w:rsidRDefault="00BE60E9">
            <w:pPr>
              <w:spacing w:after="100"/>
              <w:rPr>
                <w:rFonts w:eastAsia="Times New Roman"/>
              </w:rPr>
            </w:pPr>
            <w:r>
              <w:rPr>
                <w:rFonts w:eastAsia="Times New Roman"/>
                <w:color w:val="000000"/>
                <w:sz w:val="20"/>
                <w:szCs w:val="20"/>
              </w:rPr>
              <w:t>Issuance of preferred stock, net of issuance costs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213 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933778911"/>
        </w:trPr>
        <w:tc>
          <w:tcPr>
            <w:tcW w:w="0" w:type="auto"/>
            <w:gridSpan w:val="3"/>
            <w:shd w:val="clear" w:color="auto" w:fill="CCEEFF"/>
            <w:tcMar>
              <w:top w:w="30" w:type="dxa"/>
              <w:left w:w="380" w:type="dxa"/>
              <w:bottom w:w="30" w:type="dxa"/>
              <w:right w:w="20" w:type="dxa"/>
            </w:tcMar>
            <w:hideMark/>
          </w:tcPr>
          <w:p w:rsidR="00000000" w:rsidRDefault="00BE60E9">
            <w:pPr>
              <w:spacing w:after="100"/>
              <w:rPr>
                <w:rFonts w:eastAsia="Times New Roman"/>
              </w:rPr>
            </w:pPr>
            <w:r>
              <w:rPr>
                <w:rFonts w:eastAsia="Times New Roman"/>
                <w:color w:val="000000"/>
                <w:sz w:val="20"/>
                <w:szCs w:val="20"/>
              </w:rPr>
              <w:t>Payments on Purchase Contracts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933778911"/>
        </w:trPr>
        <w:tc>
          <w:tcPr>
            <w:tcW w:w="0" w:type="auto"/>
            <w:gridSpan w:val="3"/>
            <w:shd w:val="clear" w:color="auto" w:fill="FFFFFF"/>
            <w:tcMar>
              <w:top w:w="30" w:type="dxa"/>
              <w:left w:w="380" w:type="dxa"/>
              <w:bottom w:w="30" w:type="dxa"/>
              <w:right w:w="20" w:type="dxa"/>
            </w:tcMar>
            <w:hideMark/>
          </w:tcPr>
          <w:p w:rsidR="00000000" w:rsidRDefault="00BE60E9">
            <w:pPr>
              <w:spacing w:after="100"/>
              <w:rPr>
                <w:rFonts w:eastAsia="Times New Roman"/>
              </w:rPr>
            </w:pPr>
            <w:r>
              <w:rPr>
                <w:rFonts w:eastAsia="Times New Roman"/>
                <w:color w:val="000000"/>
                <w:sz w:val="20"/>
                <w:szCs w:val="20"/>
              </w:rPr>
              <w:t>Issuances of UGI Common Stock</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933778911"/>
        </w:trPr>
        <w:tc>
          <w:tcPr>
            <w:tcW w:w="0" w:type="auto"/>
            <w:gridSpan w:val="3"/>
            <w:shd w:val="clear" w:color="auto" w:fill="CCEEFF"/>
            <w:tcMar>
              <w:top w:w="30" w:type="dxa"/>
              <w:left w:w="380" w:type="dxa"/>
              <w:bottom w:w="30" w:type="dxa"/>
              <w:right w:w="20" w:type="dxa"/>
            </w:tcMar>
            <w:hideMark/>
          </w:tcPr>
          <w:p w:rsidR="00000000" w:rsidRDefault="00BE60E9">
            <w:pPr>
              <w:spacing w:after="100"/>
              <w:rPr>
                <w:rFonts w:eastAsia="Times New Roman"/>
              </w:rPr>
            </w:pPr>
            <w:r>
              <w:rPr>
                <w:rFonts w:eastAsia="Times New Roman"/>
                <w:color w:val="000000"/>
                <w:sz w:val="20"/>
                <w:szCs w:val="20"/>
              </w:rPr>
              <w:t>Repurchases of UGI Common Stock</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(38)</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933778911"/>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933778911"/>
        </w:trPr>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933778911"/>
        </w:trPr>
        <w:tc>
          <w:tcPr>
            <w:tcW w:w="0" w:type="auto"/>
            <w:gridSpan w:val="3"/>
            <w:shd w:val="clear" w:color="auto" w:fill="FFFFFF"/>
            <w:tcMar>
              <w:top w:w="30" w:type="dxa"/>
              <w:left w:w="740" w:type="dxa"/>
              <w:bottom w:w="30" w:type="dxa"/>
              <w:right w:w="20" w:type="dxa"/>
            </w:tcMar>
            <w:hideMark/>
          </w:tcPr>
          <w:p w:rsidR="00000000" w:rsidRDefault="00BE60E9">
            <w:pPr>
              <w:spacing w:after="100"/>
              <w:rPr>
                <w:rFonts w:eastAsia="Times New Roman"/>
              </w:rPr>
            </w:pPr>
            <w:r>
              <w:rPr>
                <w:rFonts w:eastAsia="Times New Roman"/>
                <w:color w:val="000000"/>
                <w:sz w:val="20"/>
                <w:szCs w:val="20"/>
              </w:rPr>
              <w:t>Net cash used by financing activities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(290)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(321)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933778911"/>
        </w:trPr>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Effect of exchange rate changes on cash, cash equivalents and restricted cash</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933778911"/>
        </w:trPr>
        <w:tc>
          <w:tcPr>
            <w:tcW w:w="0" w:type="auto"/>
            <w:gridSpan w:val="3"/>
            <w:shd w:val="clear" w:color="auto" w:fill="FFFF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Cash, cash equivalents and restricted cash (decrease) increase</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(193)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933778911"/>
        </w:trPr>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b/>
                <w:bCs/>
                <w:color w:val="000000"/>
                <w:sz w:val="20"/>
                <w:szCs w:val="20"/>
              </w:rPr>
              <w:t>CASH, CASH EQUIVALENTS AND RESTRICTED CASH</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933778911"/>
        </w:trPr>
        <w:tc>
          <w:tcPr>
            <w:tcW w:w="0" w:type="auto"/>
            <w:gridSpan w:val="3"/>
            <w:shd w:val="clear" w:color="auto" w:fill="FFFFFF"/>
            <w:tcMar>
              <w:top w:w="30" w:type="dxa"/>
              <w:left w:w="380" w:type="dxa"/>
              <w:bottom w:w="30" w:type="dxa"/>
              <w:right w:w="20" w:type="dxa"/>
            </w:tcMar>
            <w:hideMark/>
          </w:tcPr>
          <w:p w:rsidR="00000000" w:rsidRDefault="00BE60E9">
            <w:pPr>
              <w:spacing w:after="100"/>
              <w:rPr>
                <w:rFonts w:eastAsia="Times New Roman"/>
              </w:rPr>
            </w:pPr>
            <w:r>
              <w:rPr>
                <w:rFonts w:eastAsia="Times New Roman"/>
                <w:color w:val="000000"/>
                <w:sz w:val="20"/>
                <w:szCs w:val="20"/>
              </w:rPr>
              <w:t>Cash, cash equivalents and restricted cash at end of period</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684 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576 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933778911"/>
        </w:trPr>
        <w:tc>
          <w:tcPr>
            <w:tcW w:w="0" w:type="auto"/>
            <w:gridSpan w:val="3"/>
            <w:shd w:val="clear" w:color="auto" w:fill="CCEEFF"/>
            <w:tcMar>
              <w:top w:w="30" w:type="dxa"/>
              <w:left w:w="380" w:type="dxa"/>
              <w:bottom w:w="30" w:type="dxa"/>
              <w:right w:w="20" w:type="dxa"/>
            </w:tcMar>
            <w:hideMark/>
          </w:tcPr>
          <w:p w:rsidR="00000000" w:rsidRDefault="00BE60E9">
            <w:pPr>
              <w:spacing w:after="100"/>
              <w:rPr>
                <w:rFonts w:eastAsia="Times New Roman"/>
              </w:rPr>
            </w:pPr>
            <w:r>
              <w:rPr>
                <w:rFonts w:eastAsia="Times New Roman"/>
                <w:color w:val="000000"/>
                <w:sz w:val="20"/>
                <w:szCs w:val="20"/>
              </w:rPr>
              <w:t>Cash, cash equivalents and restricted cash at beginning of period</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877 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357 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933778911"/>
        </w:trPr>
        <w:tc>
          <w:tcPr>
            <w:tcW w:w="0" w:type="auto"/>
            <w:gridSpan w:val="3"/>
            <w:shd w:val="clear" w:color="auto" w:fill="FFFFFF"/>
            <w:tcMar>
              <w:top w:w="30" w:type="dxa"/>
              <w:left w:w="740" w:type="dxa"/>
              <w:bottom w:w="30" w:type="dxa"/>
              <w:right w:w="20" w:type="dxa"/>
            </w:tcMar>
            <w:hideMark/>
          </w:tcPr>
          <w:p w:rsidR="00000000" w:rsidRDefault="00BE60E9">
            <w:pPr>
              <w:spacing w:after="100"/>
              <w:rPr>
                <w:rFonts w:eastAsia="Times New Roman"/>
              </w:rPr>
            </w:pPr>
            <w:r>
              <w:rPr>
                <w:rFonts w:eastAsia="Times New Roman"/>
                <w:color w:val="000000"/>
                <w:sz w:val="20"/>
                <w:szCs w:val="20"/>
              </w:rPr>
              <w:t>Cash, cash equivalents and restricted cash (decrease) increase</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(193)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bl>
    <w:p w:rsidR="00000000" w:rsidRDefault="00BE60E9">
      <w:pPr>
        <w:divId w:val="1198545809"/>
        <w:rPr>
          <w:rFonts w:eastAsia="Times New Roman"/>
        </w:rPr>
      </w:pPr>
      <w:r>
        <w:rPr>
          <w:rFonts w:eastAsia="Times New Roman"/>
          <w:color w:val="000000"/>
          <w:sz w:val="20"/>
          <w:szCs w:val="20"/>
        </w:rPr>
        <w:t>Se</w:t>
      </w:r>
      <w:r>
        <w:rPr>
          <w:rFonts w:eastAsia="Times New Roman"/>
          <w:color w:val="000000"/>
          <w:sz w:val="20"/>
          <w:szCs w:val="20"/>
        </w:rPr>
        <w:t>e accompanying notes to condensed consolidated financial statements.</w:t>
      </w:r>
    </w:p>
    <w:p w:rsidR="00000000" w:rsidRDefault="00BE60E9">
      <w:pPr>
        <w:jc w:val="center"/>
        <w:divId w:val="1760710224"/>
        <w:rPr>
          <w:rFonts w:eastAsia="Times New Roman"/>
        </w:rPr>
      </w:pPr>
      <w:r>
        <w:rPr>
          <w:rFonts w:eastAsia="Times New Roman"/>
          <w:color w:val="000000"/>
          <w:sz w:val="20"/>
          <w:szCs w:val="20"/>
        </w:rPr>
        <w:t>8</w:t>
      </w:r>
    </w:p>
    <w:p w:rsidR="00000000" w:rsidRDefault="00BE60E9">
      <w:pPr>
        <w:rPr>
          <w:rFonts w:eastAsia="Times New Roman"/>
        </w:rPr>
      </w:pPr>
      <w:r>
        <w:rPr>
          <w:rFonts w:eastAsia="Times New Roman"/>
        </w:rPr>
        <w:pict>
          <v:rect id="_x0000_i1034" style="width:0;height:1.5pt" o:hralign="center" o:hrstd="t" o:hr="t" fillcolor="#a0a0a0" stroked="f"/>
        </w:pict>
      </w:r>
    </w:p>
    <w:p w:rsidR="00000000" w:rsidRDefault="00BE60E9">
      <w:pPr>
        <w:divId w:val="169830592"/>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775714622"/>
        <w:rPr>
          <w:rFonts w:eastAsia="Times New Roman"/>
        </w:rPr>
      </w:pPr>
      <w:r>
        <w:rPr>
          <w:rFonts w:eastAsia="Times New Roman"/>
          <w:b/>
          <w:bCs/>
          <w:color w:val="000000"/>
          <w:sz w:val="20"/>
          <w:szCs w:val="20"/>
        </w:rPr>
        <w:t>UGI CORPORATION AND SUBSIDIARIES</w:t>
      </w:r>
    </w:p>
    <w:p w:rsidR="00000000" w:rsidRDefault="00BE60E9">
      <w:pPr>
        <w:jc w:val="center"/>
        <w:rPr>
          <w:rFonts w:eastAsia="Times New Roman"/>
        </w:rPr>
      </w:pPr>
      <w:r>
        <w:rPr>
          <w:rFonts w:eastAsia="Times New Roman"/>
          <w:b/>
          <w:bCs/>
          <w:color w:val="000000"/>
          <w:sz w:val="20"/>
          <w:szCs w:val="20"/>
        </w:rPr>
        <w:t>CONDENSED CONSOLIDATED STATEMENTS OF CHANGES IN EQUITY</w:t>
      </w:r>
    </w:p>
    <w:p w:rsidR="00000000" w:rsidRDefault="00BE60E9">
      <w:pPr>
        <w:jc w:val="center"/>
        <w:rPr>
          <w:rFonts w:eastAsia="Times New Roman"/>
        </w:rPr>
      </w:pPr>
      <w:r>
        <w:rPr>
          <w:rFonts w:eastAsia="Times New Roman"/>
          <w:color w:val="000000"/>
          <w:sz w:val="20"/>
          <w:szCs w:val="20"/>
        </w:rPr>
        <w:t>(unaudited)</w:t>
      </w:r>
    </w:p>
    <w:p w:rsidR="00000000" w:rsidRDefault="00BE60E9">
      <w:pPr>
        <w:jc w:val="center"/>
        <w:rPr>
          <w:rFonts w:eastAsia="Times New Roman"/>
        </w:rPr>
      </w:pPr>
      <w:r>
        <w:rPr>
          <w:rFonts w:eastAsia="Times New Roman"/>
          <w:color w:val="000000"/>
          <w:sz w:val="20"/>
          <w:szCs w:val="20"/>
        </w:rPr>
        <w:t>(Millions of dollars, except per share amounts)</w:t>
      </w:r>
    </w:p>
    <w:tbl>
      <w:tblPr>
        <w:tblW w:w="5000" w:type="pct"/>
        <w:tblCellMar>
          <w:top w:w="15" w:type="dxa"/>
          <w:left w:w="15" w:type="dxa"/>
          <w:bottom w:w="15" w:type="dxa"/>
          <w:right w:w="15" w:type="dxa"/>
        </w:tblCellMar>
        <w:tblLook w:val="04A0" w:firstRow="1" w:lastRow="0" w:firstColumn="1" w:lastColumn="0" w:noHBand="0" w:noVBand="1"/>
      </w:tblPr>
      <w:tblGrid>
        <w:gridCol w:w="41"/>
        <w:gridCol w:w="4671"/>
        <w:gridCol w:w="40"/>
        <w:gridCol w:w="120"/>
        <w:gridCol w:w="683"/>
        <w:gridCol w:w="36"/>
        <w:gridCol w:w="36"/>
        <w:gridCol w:w="36"/>
        <w:gridCol w:w="36"/>
        <w:gridCol w:w="120"/>
        <w:gridCol w:w="641"/>
        <w:gridCol w:w="36"/>
        <w:gridCol w:w="36"/>
        <w:gridCol w:w="36"/>
        <w:gridCol w:w="36"/>
        <w:gridCol w:w="120"/>
        <w:gridCol w:w="641"/>
        <w:gridCol w:w="36"/>
        <w:gridCol w:w="36"/>
        <w:gridCol w:w="36"/>
        <w:gridCol w:w="36"/>
        <w:gridCol w:w="120"/>
        <w:gridCol w:w="641"/>
        <w:gridCol w:w="36"/>
      </w:tblGrid>
      <w:tr w:rsidR="00000000">
        <w:trPr>
          <w:divId w:val="1193806424"/>
        </w:trPr>
        <w:tc>
          <w:tcPr>
            <w:tcW w:w="50" w:type="pct"/>
            <w:vAlign w:val="center"/>
            <w:hideMark/>
          </w:tcPr>
          <w:p w:rsidR="00000000" w:rsidRDefault="00BE60E9">
            <w:pPr>
              <w:jc w:val="center"/>
              <w:rPr>
                <w:rFonts w:eastAsia="Times New Roman"/>
              </w:rPr>
            </w:pPr>
          </w:p>
        </w:tc>
        <w:tc>
          <w:tcPr>
            <w:tcW w:w="2847"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4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4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4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4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rPr>
          <w:divId w:val="1193806424"/>
        </w:trPr>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Three Months Ended</w:t>
            </w:r>
            <w:r>
              <w:rPr>
                <w:rFonts w:eastAsia="Times New Roman"/>
                <w:color w:val="000000"/>
                <w:sz w:val="18"/>
                <w:szCs w:val="18"/>
              </w:rPr>
              <w:br/>
              <w:t>June 30,</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Nine Months Ended</w:t>
            </w:r>
            <w:r>
              <w:rPr>
                <w:rFonts w:eastAsia="Times New Roman"/>
                <w:color w:val="000000"/>
                <w:sz w:val="18"/>
                <w:szCs w:val="18"/>
              </w:rPr>
              <w:br/>
              <w:t>June 30,</w:t>
            </w:r>
          </w:p>
        </w:tc>
      </w:tr>
      <w:tr w:rsidR="00000000">
        <w:trPr>
          <w:divId w:val="1193806424"/>
        </w:trPr>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2021</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2021</w:t>
            </w:r>
          </w:p>
        </w:tc>
      </w:tr>
      <w:tr w:rsidR="00000000">
        <w:trPr>
          <w:divId w:val="1193806424"/>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20"/>
                <w:szCs w:val="20"/>
              </w:rPr>
              <w:t>Preferred stock, without par value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193806424"/>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Balance, beginning of period</w:t>
            </w: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161 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213 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193806424"/>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xml:space="preserve">Issuance of preferred stock </w:t>
            </w: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213 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213 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193806424"/>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Beneficial conversion feature</w:t>
            </w: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193806424"/>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193806424"/>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(52)</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193806424"/>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xml:space="preserve">Balance, end of period </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193806424"/>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20"/>
                <w:szCs w:val="20"/>
              </w:rPr>
              <w:t>Common stock, without par value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r>
      <w:tr w:rsidR="00000000">
        <w:trPr>
          <w:divId w:val="1193806424"/>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Balance, beginning of period</w:t>
            </w: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1,465 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1,428 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1,394 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1,416 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193806424"/>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Common Stock issued in connection with employee and director plans, net of tax withheld</w:t>
            </w: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193806424"/>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Equity-based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193806424"/>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Issuance of Equity Units - 2024 Purchase Contracts</w:t>
            </w: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(45)</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(45)</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193806424"/>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193806424"/>
        </w:trPr>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193806424"/>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193806424"/>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193806424"/>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Balance,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1,474 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1,388 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1,474 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1,388 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193806424"/>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20"/>
                <w:szCs w:val="20"/>
              </w:rPr>
              <w:t>Retained earnings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r>
      <w:tr w:rsidR="00000000">
        <w:trPr>
          <w:divId w:val="1193806424"/>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Balance, beginning of period</w:t>
            </w: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4,757 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3,557 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4,081 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2,908 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193806424"/>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Losses on common stock transactions in connection with employee and director plans</w:t>
            </w: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193806424"/>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Net (loss) income attributable to UGI Corporation</w:t>
            </w: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150 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829 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942 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193806424"/>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divId w:val="666205878"/>
              <w:rPr>
                <w:rFonts w:eastAsia="Times New Roman"/>
              </w:rPr>
            </w:pPr>
            <w:r>
              <w:rPr>
                <w:rFonts w:eastAsia="Times New Roman"/>
                <w:color w:val="000000"/>
                <w:sz w:val="20"/>
                <w:szCs w:val="20"/>
              </w:rPr>
              <w:t>Cash dividends on UGI Common Stock ($0.36, $0.35, $1.05, and $1.01, respectively)</w:t>
            </w: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(75)</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(72)</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(220)</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(210)</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193806424"/>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193806424"/>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Beneficial conversion feature</w:t>
            </w: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193806424"/>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Balance,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4,674 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3,629 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4,674 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3,629 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193806424"/>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20"/>
                <w:szCs w:val="20"/>
              </w:rPr>
              <w:t>Accumulated other comprehensive income (loss)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r>
      <w:tr w:rsidR="00000000">
        <w:trPr>
          <w:divId w:val="1193806424"/>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Balance, beginning of period</w:t>
            </w: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(178)</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(126)</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(140)</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(147)</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193806424"/>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Net gains on derivative instruments</w:t>
            </w: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193806424"/>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Reclassification of net losses on derivative instruments</w:t>
            </w: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193806424"/>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Benefit plans</w:t>
            </w: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193806424"/>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Foreign currency adjustments</w:t>
            </w: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(106)</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(191)</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193806424"/>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Balance,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(273)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(105)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(273)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(105)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193806424"/>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20"/>
                <w:szCs w:val="20"/>
              </w:rPr>
              <w:t>Treasury stock</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r>
      <w:tr w:rsidR="00000000">
        <w:trPr>
          <w:divId w:val="1193806424"/>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Balance, beginning of period</w:t>
            </w: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(40)</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(26)</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(49)</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193806424"/>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Common Stock issued in connection with employee and director plans, net of tax withheld</w:t>
            </w: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193806424"/>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Repurchases of UGI Common Stock</w:t>
            </w: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(38)</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(38)</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193806424"/>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Reacquired UGI Common Stock - employee and director plans</w:t>
            </w: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193806424"/>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193806424"/>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Balance,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193806424"/>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20"/>
                <w:szCs w:val="20"/>
              </w:rPr>
              <w:t>Total UGI stockholders’ equity</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5,996 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5,097 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5,996 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5,097 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193806424"/>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20"/>
                <w:szCs w:val="20"/>
              </w:rPr>
              <w:t>Noncontrolling interests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r>
      <w:tr w:rsidR="00000000">
        <w:trPr>
          <w:divId w:val="1193806424"/>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Balance, beginning of period</w:t>
            </w: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193806424"/>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Net income attributable to 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193806424"/>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193806424"/>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193806424"/>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Balance,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193806424"/>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20"/>
                <w:szCs w:val="20"/>
              </w:rPr>
              <w:t>Total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6,005 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5,106 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6,005 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5,106 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bl>
    <w:p w:rsidR="00000000" w:rsidRDefault="00BE60E9">
      <w:pPr>
        <w:divId w:val="1874031302"/>
        <w:rPr>
          <w:rFonts w:eastAsia="Times New Roman"/>
        </w:rPr>
      </w:pPr>
      <w:r>
        <w:rPr>
          <w:rFonts w:eastAsia="Times New Roman"/>
          <w:color w:val="000000"/>
          <w:sz w:val="20"/>
          <w:szCs w:val="20"/>
        </w:rPr>
        <w:t>See accompanying notes to condensed consolidated financial statements.</w:t>
      </w:r>
    </w:p>
    <w:p w:rsidR="00000000" w:rsidRDefault="00BE60E9">
      <w:pPr>
        <w:jc w:val="center"/>
        <w:divId w:val="801927725"/>
        <w:rPr>
          <w:rFonts w:eastAsia="Times New Roman"/>
        </w:rPr>
      </w:pPr>
      <w:r>
        <w:rPr>
          <w:rFonts w:eastAsia="Times New Roman"/>
          <w:color w:val="000000"/>
          <w:sz w:val="20"/>
          <w:szCs w:val="20"/>
        </w:rPr>
        <w:t>9</w:t>
      </w:r>
    </w:p>
    <w:p w:rsidR="00000000" w:rsidRDefault="00BE60E9">
      <w:pPr>
        <w:rPr>
          <w:rFonts w:eastAsia="Times New Roman"/>
        </w:rPr>
      </w:pPr>
      <w:r>
        <w:rPr>
          <w:rFonts w:eastAsia="Times New Roman"/>
        </w:rPr>
        <w:pict>
          <v:rect id="_x0000_i1035" style="width:0;height:1.5pt" o:hralign="center" o:hrstd="t" o:hr="t" fillcolor="#a0a0a0" stroked="f"/>
        </w:pict>
      </w:r>
    </w:p>
    <w:p w:rsidR="00000000" w:rsidRDefault="00BE60E9">
      <w:pPr>
        <w:divId w:val="2054500073"/>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155727168"/>
        <w:rPr>
          <w:rFonts w:eastAsia="Times New Roman"/>
        </w:rPr>
      </w:pPr>
      <w:r>
        <w:rPr>
          <w:rFonts w:eastAsia="Times New Roman"/>
          <w:b/>
          <w:bCs/>
          <w:color w:val="000000"/>
          <w:sz w:val="20"/>
          <w:szCs w:val="20"/>
        </w:rPr>
        <w:t>UGI CORPORATION AND SUBSIDIARIES</w:t>
      </w:r>
    </w:p>
    <w:p w:rsidR="00000000" w:rsidRDefault="00BE60E9">
      <w:pPr>
        <w:jc w:val="center"/>
        <w:divId w:val="974680506"/>
        <w:rPr>
          <w:rFonts w:eastAsia="Times New Roman"/>
        </w:rPr>
      </w:pPr>
      <w:r>
        <w:rPr>
          <w:rFonts w:eastAsia="Times New Roman"/>
          <w:b/>
          <w:bCs/>
          <w:color w:val="000000"/>
          <w:sz w:val="20"/>
          <w:szCs w:val="20"/>
          <w:u w:val="single"/>
        </w:rPr>
        <w:t>Notes to Condensed Consolidated Financial Statements</w:t>
      </w:r>
    </w:p>
    <w:p w:rsidR="00000000" w:rsidRDefault="00BE60E9">
      <w:pPr>
        <w:jc w:val="center"/>
        <w:divId w:val="155727168"/>
        <w:rPr>
          <w:rFonts w:eastAsia="Times New Roman"/>
        </w:rPr>
      </w:pPr>
      <w:r>
        <w:rPr>
          <w:rFonts w:eastAsia="Times New Roman"/>
          <w:color w:val="000000"/>
          <w:sz w:val="20"/>
          <w:szCs w:val="20"/>
        </w:rPr>
        <w:t>(unaudited)</w:t>
      </w:r>
    </w:p>
    <w:p w:rsidR="00000000" w:rsidRDefault="00BE60E9">
      <w:pPr>
        <w:jc w:val="center"/>
        <w:divId w:val="155727168"/>
        <w:rPr>
          <w:rFonts w:eastAsia="Times New Roman"/>
        </w:rPr>
      </w:pPr>
      <w:r>
        <w:rPr>
          <w:rFonts w:eastAsia="Times New Roman"/>
          <w:color w:val="000000"/>
          <w:sz w:val="20"/>
          <w:szCs w:val="20"/>
        </w:rPr>
        <w:t>(Currency in millions, except per share amounts and where indicated otherwise)</w:t>
      </w:r>
    </w:p>
    <w:p w:rsidR="00000000" w:rsidRDefault="00BE60E9">
      <w:pPr>
        <w:divId w:val="1978367451"/>
        <w:rPr>
          <w:rFonts w:eastAsia="Times New Roman"/>
        </w:rPr>
      </w:pPr>
    </w:p>
    <w:p w:rsidR="00000000" w:rsidRDefault="00BE60E9">
      <w:pPr>
        <w:ind w:hanging="540"/>
        <w:divId w:val="2023045413"/>
        <w:rPr>
          <w:rFonts w:eastAsia="Times New Roman"/>
        </w:rPr>
      </w:pPr>
      <w:r>
        <w:rPr>
          <w:rFonts w:eastAsia="Times New Roman"/>
          <w:b/>
          <w:bCs/>
          <w:color w:val="000000"/>
          <w:sz w:val="20"/>
          <w:szCs w:val="20"/>
          <w:u w:val="single"/>
        </w:rPr>
        <w:t>Note 1 — Nature of Operations</w:t>
      </w:r>
      <w:r>
        <w:rPr>
          <w:rFonts w:eastAsia="Times New Roman"/>
          <w:b/>
          <w:bCs/>
          <w:color w:val="000000"/>
          <w:sz w:val="20"/>
          <w:szCs w:val="20"/>
        </w:rPr>
        <w:t xml:space="preserve"> </w:t>
      </w:r>
    </w:p>
    <w:p w:rsidR="00000000" w:rsidRDefault="00BE60E9">
      <w:pPr>
        <w:divId w:val="1392776836"/>
        <w:rPr>
          <w:rFonts w:eastAsia="Times New Roman"/>
        </w:rPr>
      </w:pPr>
    </w:p>
    <w:p w:rsidR="00000000" w:rsidRDefault="00BE60E9">
      <w:pPr>
        <w:jc w:val="both"/>
        <w:rPr>
          <w:rFonts w:eastAsia="Times New Roman"/>
        </w:rPr>
      </w:pPr>
      <w:r>
        <w:rPr>
          <w:rFonts w:eastAsia="Times New Roman"/>
          <w:color w:val="000000"/>
          <w:sz w:val="20"/>
          <w:szCs w:val="20"/>
        </w:rPr>
        <w:t>UGI is a</w:t>
      </w:r>
      <w:r>
        <w:rPr>
          <w:rFonts w:eastAsia="Times New Roman"/>
          <w:color w:val="000000"/>
          <w:sz w:val="20"/>
          <w:szCs w:val="20"/>
        </w:rPr>
        <w:t xml:space="preserve"> holding company that, through subsidiaries and affiliates, distributes, stores, transports and markets energy products and related services. In the U.S., we own and operate (1) a retail propane marketing and distribution business; (2) natural gas and elec</w:t>
      </w:r>
      <w:r>
        <w:rPr>
          <w:rFonts w:eastAsia="Times New Roman"/>
          <w:color w:val="000000"/>
          <w:sz w:val="20"/>
          <w:szCs w:val="20"/>
        </w:rPr>
        <w:t>tric distribution utilities; and (3) energy marketing, midstream infrastructure, storage, natural gas gathering and processing, natural gas production, electricity generation and energy services businesses. In Europe, we market and distribute propane and o</w:t>
      </w:r>
      <w:r>
        <w:rPr>
          <w:rFonts w:eastAsia="Times New Roman"/>
          <w:color w:val="000000"/>
          <w:sz w:val="20"/>
          <w:szCs w:val="20"/>
        </w:rPr>
        <w:t xml:space="preserve">ther LPG, and market other energy products and services. </w:t>
      </w:r>
    </w:p>
    <w:p w:rsidR="00000000" w:rsidRDefault="00BE60E9">
      <w:pPr>
        <w:divId w:val="1381368636"/>
        <w:rPr>
          <w:rFonts w:eastAsia="Times New Roman"/>
        </w:rPr>
      </w:pPr>
    </w:p>
    <w:p w:rsidR="00000000" w:rsidRDefault="00BE60E9">
      <w:pPr>
        <w:jc w:val="both"/>
        <w:rPr>
          <w:rFonts w:eastAsia="Times New Roman"/>
        </w:rPr>
      </w:pPr>
      <w:r>
        <w:rPr>
          <w:rFonts w:eastAsia="Times New Roman"/>
          <w:color w:val="000000"/>
          <w:sz w:val="20"/>
          <w:szCs w:val="20"/>
        </w:rPr>
        <w:t>We conduct a domestic propane marketing and distribution business through AmeriGas Partners. AmeriGas Partners conducts a national propane distribution business through its principal operating sub</w:t>
      </w:r>
      <w:r>
        <w:rPr>
          <w:rFonts w:eastAsia="Times New Roman"/>
          <w:color w:val="000000"/>
          <w:sz w:val="20"/>
          <w:szCs w:val="20"/>
        </w:rPr>
        <w:t xml:space="preserve">sidiary, AmeriGas OLP. </w:t>
      </w:r>
    </w:p>
    <w:p w:rsidR="00000000" w:rsidRDefault="00BE60E9">
      <w:pPr>
        <w:divId w:val="206526722"/>
        <w:rPr>
          <w:rFonts w:eastAsia="Times New Roman"/>
        </w:rPr>
      </w:pPr>
    </w:p>
    <w:p w:rsidR="00000000" w:rsidRDefault="00BE60E9">
      <w:pPr>
        <w:jc w:val="both"/>
        <w:rPr>
          <w:rFonts w:eastAsia="Times New Roman"/>
        </w:rPr>
      </w:pPr>
      <w:r>
        <w:rPr>
          <w:rFonts w:eastAsia="Times New Roman"/>
          <w:color w:val="000000"/>
          <w:sz w:val="20"/>
          <w:szCs w:val="20"/>
        </w:rPr>
        <w:t>UGI International, through subsidiaries and affiliates, conducts (1) an LPG distribution business throughout much of Europe and (2) an energy marketing business in France, Belgium, the Netherlands and the United Kingdom. These businesses are conducted prin</w:t>
      </w:r>
      <w:r>
        <w:rPr>
          <w:rFonts w:eastAsia="Times New Roman"/>
          <w:color w:val="000000"/>
          <w:sz w:val="20"/>
          <w:szCs w:val="20"/>
        </w:rPr>
        <w:t>cipally through our subsidiaries, UGI France, Flaga, AvantiGas, DVEP and UniverGas.</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Energy Services conducts, directly and through subsidiaries and affiliates, energy marketing, including RNG, midstream transmission, LNG storage, natural gas gathering and processing, natural gas and RNG production, electricity generation and energy servic</w:t>
      </w:r>
      <w:r>
        <w:rPr>
          <w:rFonts w:eastAsia="Times New Roman"/>
          <w:color w:val="000000"/>
          <w:sz w:val="20"/>
          <w:szCs w:val="20"/>
        </w:rPr>
        <w:t xml:space="preserve">es businesses primarily in the eastern region of the U.S., eastern Ohio, the panhandle of West Virginia and California. UGID owns electricity generation facilities principally located in Pennsylvania. Energy Services and its subsidiaries’ storage, LNG and </w:t>
      </w:r>
      <w:r>
        <w:rPr>
          <w:rFonts w:eastAsia="Times New Roman"/>
          <w:color w:val="000000"/>
          <w:sz w:val="20"/>
          <w:szCs w:val="20"/>
        </w:rPr>
        <w:t>portions of its midstream transmission operations are subject to regulation by the FERC.</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On September 1, 2021, UGI acquired Mountaineer, the largest natural gas distribution company in West Virginia, for a purchase price of $540, which includes the assum</w:t>
      </w:r>
      <w:r>
        <w:rPr>
          <w:rFonts w:eastAsia="Times New Roman"/>
          <w:color w:val="000000"/>
          <w:sz w:val="20"/>
          <w:szCs w:val="20"/>
        </w:rPr>
        <w:t xml:space="preserve">ption of approximately $140 principal amounts of long-term debt. </w:t>
      </w:r>
      <w:r>
        <w:rPr>
          <w:rFonts w:eastAsia="Times New Roman"/>
          <w:color w:val="000000"/>
          <w:sz w:val="20"/>
          <w:szCs w:val="20"/>
          <w:shd w:val="clear" w:color="auto" w:fill="FFFFFF"/>
        </w:rPr>
        <w:t>Mountaineer serves more than 200,000 customers across 50 of the state’s 55 counties. Mountaineer is subject to regulation by the WVPSC. For additional information on the Mountaineer Acquisiti</w:t>
      </w:r>
      <w:r>
        <w:rPr>
          <w:rFonts w:eastAsia="Times New Roman"/>
          <w:color w:val="000000"/>
          <w:sz w:val="20"/>
          <w:szCs w:val="20"/>
          <w:shd w:val="clear" w:color="auto" w:fill="FFFFFF"/>
        </w:rPr>
        <w:t>on, see Note 5.</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Upon the acquisition of Mountaineer, our Utilities segment includes UGI Utilities and Mountaintop Energy Holdings, LLC. UGI Utilities directly owns and operates PA Gas Utility, a natural gas distribution utility business in eastern and ce</w:t>
      </w:r>
      <w:r>
        <w:rPr>
          <w:rFonts w:eastAsia="Times New Roman"/>
          <w:color w:val="000000"/>
          <w:sz w:val="20"/>
          <w:szCs w:val="20"/>
        </w:rPr>
        <w:t>ntral Pennsylvania and in a portion of one Maryland county. PA Gas Utility is subject to regulation by the PAPUC, the FERC, and, with respect to a small service territory in one Maryland county, the MDPSC. UGI Utilities also owns and operates Electric Util</w:t>
      </w:r>
      <w:r>
        <w:rPr>
          <w:rFonts w:eastAsia="Times New Roman"/>
          <w:color w:val="000000"/>
          <w:sz w:val="20"/>
          <w:szCs w:val="20"/>
        </w:rPr>
        <w:t>ity, an electric distribution utility located in northeastern Pennsylvania. Electric Utility is subject to regulation by the PAPUC and the FERC.</w:t>
      </w:r>
    </w:p>
    <w:p w:rsidR="00000000" w:rsidRDefault="00BE60E9">
      <w:pPr>
        <w:jc w:val="both"/>
        <w:rPr>
          <w:rFonts w:eastAsia="Times New Roman"/>
        </w:rPr>
      </w:pPr>
    </w:p>
    <w:p w:rsidR="00000000" w:rsidRDefault="00BE60E9">
      <w:pPr>
        <w:ind w:hanging="540"/>
        <w:jc w:val="both"/>
        <w:rPr>
          <w:rFonts w:eastAsia="Times New Roman"/>
        </w:rPr>
      </w:pPr>
      <w:r>
        <w:rPr>
          <w:rFonts w:eastAsia="Times New Roman"/>
          <w:b/>
          <w:bCs/>
          <w:color w:val="000000"/>
          <w:sz w:val="20"/>
          <w:szCs w:val="20"/>
          <w:u w:val="single"/>
        </w:rPr>
        <w:t>Note 2 — Summary of Significant Accounting Policies</w:t>
      </w:r>
    </w:p>
    <w:p w:rsidR="00000000" w:rsidRDefault="00BE60E9">
      <w:pPr>
        <w:ind w:hanging="540"/>
        <w:divId w:val="995033192"/>
        <w:rPr>
          <w:rFonts w:eastAsia="Times New Roman"/>
        </w:rPr>
      </w:pPr>
    </w:p>
    <w:p w:rsidR="00000000" w:rsidRDefault="00BE60E9">
      <w:pPr>
        <w:jc w:val="both"/>
        <w:rPr>
          <w:rFonts w:eastAsia="Times New Roman"/>
        </w:rPr>
      </w:pPr>
      <w:r>
        <w:rPr>
          <w:rFonts w:eastAsia="Times New Roman"/>
          <w:color w:val="000000"/>
          <w:sz w:val="20"/>
          <w:szCs w:val="20"/>
        </w:rPr>
        <w:t>The accompanying condensed consolidated financial state</w:t>
      </w:r>
      <w:r>
        <w:rPr>
          <w:rFonts w:eastAsia="Times New Roman"/>
          <w:color w:val="000000"/>
          <w:sz w:val="20"/>
          <w:szCs w:val="20"/>
        </w:rPr>
        <w:t>ments are unaudited and have been prepared in accordance with the rules and regulations of the SEC. They include all adjustments that we consider necessary for a fair statement of the results for the interim periods presented. Such adjustments consisted on</w:t>
      </w:r>
      <w:r>
        <w:rPr>
          <w:rFonts w:eastAsia="Times New Roman"/>
          <w:color w:val="000000"/>
          <w:sz w:val="20"/>
          <w:szCs w:val="20"/>
        </w:rPr>
        <w:t>ly of normal recurring items unless otherwise disclosed. The September 30, 2021, Condensed Consolidated Balance Sheet was derived from audited financial statements but does not include all footnote disclosures from the annual financial statements.</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 xml:space="preserve">These </w:t>
      </w:r>
      <w:r>
        <w:rPr>
          <w:rFonts w:eastAsia="Times New Roman"/>
          <w:color w:val="000000"/>
          <w:sz w:val="20"/>
          <w:szCs w:val="20"/>
        </w:rPr>
        <w:t>financial statements should be read in conjunction with the financial statements and related notes included in the Company’s 2021 Annual Report. Due to the seasonal nature of our businesses, the results of operations for interim periods are not necessarily</w:t>
      </w:r>
      <w:r>
        <w:rPr>
          <w:rFonts w:eastAsia="Times New Roman"/>
          <w:color w:val="000000"/>
          <w:sz w:val="20"/>
          <w:szCs w:val="20"/>
        </w:rPr>
        <w:t xml:space="preserve"> indicative of the results to be expected for a full year.</w:t>
      </w:r>
    </w:p>
    <w:p w:rsidR="00000000" w:rsidRDefault="00BE60E9">
      <w:pPr>
        <w:jc w:val="both"/>
        <w:divId w:val="773135828"/>
        <w:rPr>
          <w:rFonts w:eastAsia="Times New Roman"/>
        </w:rPr>
      </w:pPr>
      <w:r>
        <w:rPr>
          <w:rFonts w:eastAsia="Times New Roman"/>
          <w:b/>
          <w:bCs/>
          <w:i/>
          <w:iCs/>
          <w:color w:val="000000"/>
          <w:sz w:val="20"/>
          <w:szCs w:val="20"/>
        </w:rPr>
        <w:t>Restricted Cash.</w:t>
      </w:r>
      <w:r>
        <w:rPr>
          <w:rFonts w:eastAsia="Times New Roman"/>
          <w:b/>
          <w:bCs/>
          <w:color w:val="000000"/>
          <w:sz w:val="20"/>
          <w:szCs w:val="20"/>
        </w:rPr>
        <w:t xml:space="preserve"> </w:t>
      </w:r>
      <w:r>
        <w:rPr>
          <w:rFonts w:eastAsia="Times New Roman"/>
          <w:color w:val="000000"/>
          <w:sz w:val="20"/>
          <w:szCs w:val="20"/>
        </w:rPr>
        <w:t>Restricted cash principally represents those cash balances in our commodity futures brokerage accounts that are restricted from withdrawal. The following table provides a reconcili</w:t>
      </w:r>
      <w:r>
        <w:rPr>
          <w:rFonts w:eastAsia="Times New Roman"/>
          <w:color w:val="000000"/>
          <w:sz w:val="20"/>
          <w:szCs w:val="20"/>
        </w:rPr>
        <w:t xml:space="preserve">ation of the total cash, cash equivalents and restricted </w:t>
      </w:r>
    </w:p>
    <w:p w:rsidR="00000000" w:rsidRDefault="00BE60E9">
      <w:pPr>
        <w:jc w:val="center"/>
        <w:divId w:val="1329752045"/>
        <w:rPr>
          <w:rFonts w:eastAsia="Times New Roman"/>
        </w:rPr>
      </w:pPr>
      <w:r>
        <w:rPr>
          <w:rFonts w:eastAsia="Times New Roman"/>
          <w:color w:val="000000"/>
          <w:sz w:val="20"/>
          <w:szCs w:val="20"/>
        </w:rPr>
        <w:t>10</w:t>
      </w:r>
    </w:p>
    <w:p w:rsidR="00000000" w:rsidRDefault="00BE60E9">
      <w:pPr>
        <w:rPr>
          <w:rFonts w:eastAsia="Times New Roman"/>
        </w:rPr>
      </w:pPr>
      <w:r>
        <w:rPr>
          <w:rFonts w:eastAsia="Times New Roman"/>
        </w:rPr>
        <w:pict>
          <v:rect id="_x0000_i1036" style="width:0;height:1.5pt" o:hralign="center" o:hrstd="t" o:hr="t" fillcolor="#a0a0a0" stroked="f"/>
        </w:pict>
      </w:r>
    </w:p>
    <w:p w:rsidR="00000000" w:rsidRDefault="00BE60E9">
      <w:pPr>
        <w:divId w:val="1080106019"/>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724648543"/>
        <w:rPr>
          <w:rFonts w:eastAsia="Times New Roman"/>
        </w:rPr>
      </w:pPr>
      <w:r>
        <w:rPr>
          <w:rFonts w:eastAsia="Times New Roman"/>
          <w:b/>
          <w:bCs/>
          <w:color w:val="000000"/>
          <w:sz w:val="20"/>
          <w:szCs w:val="20"/>
        </w:rPr>
        <w:t>UGI CORPORATION AND SUBSIDIARIES</w:t>
      </w:r>
    </w:p>
    <w:p w:rsidR="00000000" w:rsidRDefault="00BE60E9">
      <w:pPr>
        <w:jc w:val="center"/>
        <w:divId w:val="1880822179"/>
        <w:rPr>
          <w:rFonts w:eastAsia="Times New Roman"/>
        </w:rPr>
      </w:pPr>
      <w:r>
        <w:rPr>
          <w:rFonts w:eastAsia="Times New Roman"/>
          <w:b/>
          <w:bCs/>
          <w:color w:val="000000"/>
          <w:sz w:val="20"/>
          <w:szCs w:val="20"/>
          <w:u w:val="single"/>
        </w:rPr>
        <w:t>Notes to Condensed Consolidated Financial Stateme</w:t>
      </w:r>
      <w:r>
        <w:rPr>
          <w:rFonts w:eastAsia="Times New Roman"/>
          <w:b/>
          <w:bCs/>
          <w:color w:val="000000"/>
          <w:sz w:val="20"/>
          <w:szCs w:val="20"/>
          <w:u w:val="single"/>
        </w:rPr>
        <w:t>nts</w:t>
      </w:r>
    </w:p>
    <w:p w:rsidR="00000000" w:rsidRDefault="00BE60E9">
      <w:pPr>
        <w:jc w:val="center"/>
        <w:divId w:val="724648543"/>
        <w:rPr>
          <w:rFonts w:eastAsia="Times New Roman"/>
        </w:rPr>
      </w:pPr>
      <w:r>
        <w:rPr>
          <w:rFonts w:eastAsia="Times New Roman"/>
          <w:color w:val="000000"/>
          <w:sz w:val="20"/>
          <w:szCs w:val="20"/>
        </w:rPr>
        <w:t>(unaudited)</w:t>
      </w:r>
    </w:p>
    <w:p w:rsidR="00000000" w:rsidRDefault="00BE60E9">
      <w:pPr>
        <w:jc w:val="center"/>
        <w:divId w:val="724648543"/>
        <w:rPr>
          <w:rFonts w:eastAsia="Times New Roman"/>
        </w:rPr>
      </w:pPr>
      <w:r>
        <w:rPr>
          <w:rFonts w:eastAsia="Times New Roman"/>
          <w:color w:val="000000"/>
          <w:sz w:val="20"/>
          <w:szCs w:val="20"/>
        </w:rPr>
        <w:t>(Currency in millions, except per share amounts and where indicated otherwise)</w:t>
      </w:r>
    </w:p>
    <w:p w:rsidR="00000000" w:rsidRDefault="00BE60E9">
      <w:pPr>
        <w:jc w:val="both"/>
        <w:divId w:val="1060639078"/>
        <w:rPr>
          <w:rFonts w:eastAsia="Times New Roman"/>
        </w:rPr>
      </w:pPr>
      <w:r>
        <w:rPr>
          <w:rFonts w:eastAsia="Times New Roman"/>
          <w:color w:val="000000"/>
          <w:sz w:val="20"/>
          <w:szCs w:val="20"/>
        </w:rPr>
        <w:t>cash reported on the Condensed Consolidated Balance Sheets to the corresponding amounts reported on the Condensed Consolidated Statements of Cash Flows.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997"/>
        <w:gridCol w:w="36"/>
        <w:gridCol w:w="36"/>
        <w:gridCol w:w="36"/>
        <w:gridCol w:w="36"/>
        <w:gridCol w:w="120"/>
        <w:gridCol w:w="848"/>
        <w:gridCol w:w="36"/>
        <w:gridCol w:w="36"/>
        <w:gridCol w:w="36"/>
        <w:gridCol w:w="36"/>
        <w:gridCol w:w="120"/>
        <w:gridCol w:w="859"/>
        <w:gridCol w:w="36"/>
      </w:tblGrid>
      <w:tr w:rsidR="00000000">
        <w:trPr>
          <w:divId w:val="704909301"/>
          <w:jc w:val="center"/>
        </w:trPr>
        <w:tc>
          <w:tcPr>
            <w:tcW w:w="50" w:type="pct"/>
            <w:vAlign w:val="center"/>
            <w:hideMark/>
          </w:tcPr>
          <w:p w:rsidR="00000000" w:rsidRDefault="00BE60E9">
            <w:pPr>
              <w:jc w:val="both"/>
              <w:rPr>
                <w:rFonts w:eastAsia="Times New Roman"/>
              </w:rPr>
            </w:pPr>
          </w:p>
        </w:tc>
        <w:tc>
          <w:tcPr>
            <w:tcW w:w="363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59"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6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rPr>
          <w:divId w:val="704909301"/>
          <w:jc w:val="center"/>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June 30,</w:t>
            </w:r>
            <w:r>
              <w:rPr>
                <w:rFonts w:eastAsia="Times New Roman"/>
                <w:color w:val="000000"/>
                <w:sz w:val="20"/>
                <w:szCs w:val="20"/>
              </w:rPr>
              <w:br/>
              <w:t>2022</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June 30,</w:t>
            </w:r>
            <w:r>
              <w:rPr>
                <w:rFonts w:eastAsia="Times New Roman"/>
                <w:color w:val="000000"/>
                <w:sz w:val="20"/>
                <w:szCs w:val="20"/>
              </w:rPr>
              <w:br/>
              <w:t>2021</w:t>
            </w:r>
          </w:p>
        </w:tc>
      </w:tr>
      <w:tr w:rsidR="00000000">
        <w:trPr>
          <w:divId w:val="704909301"/>
          <w:jc w:val="center"/>
        </w:trPr>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704909301"/>
          <w:jc w:val="center"/>
        </w:trPr>
        <w:tc>
          <w:tcPr>
            <w:tcW w:w="0" w:type="auto"/>
            <w:gridSpan w:val="3"/>
            <w:shd w:val="clear" w:color="auto" w:fill="FFFF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Restricted cash</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704909301"/>
          <w:jc w:val="center"/>
        </w:trPr>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Cash, cash equivalents and restricted cash</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bl>
    <w:p w:rsidR="00000000" w:rsidRDefault="00BE60E9">
      <w:pPr>
        <w:jc w:val="both"/>
        <w:rPr>
          <w:rFonts w:eastAsia="Times New Roman"/>
        </w:rPr>
      </w:pPr>
    </w:p>
    <w:p w:rsidR="00000000" w:rsidRDefault="00BE60E9">
      <w:pPr>
        <w:jc w:val="both"/>
        <w:rPr>
          <w:rFonts w:eastAsia="Times New Roman"/>
        </w:rPr>
      </w:pPr>
      <w:r>
        <w:rPr>
          <w:rFonts w:eastAsia="Times New Roman"/>
          <w:b/>
          <w:bCs/>
          <w:i/>
          <w:iCs/>
          <w:color w:val="000000"/>
          <w:sz w:val="20"/>
          <w:szCs w:val="20"/>
        </w:rPr>
        <w:t>Ea</w:t>
      </w:r>
      <w:r>
        <w:rPr>
          <w:rFonts w:eastAsia="Times New Roman"/>
          <w:b/>
          <w:bCs/>
          <w:i/>
          <w:iCs/>
          <w:color w:val="000000"/>
          <w:sz w:val="20"/>
          <w:szCs w:val="20"/>
        </w:rPr>
        <w:t>rnings Per Common Share.</w:t>
      </w:r>
      <w:r>
        <w:rPr>
          <w:rFonts w:eastAsia="Times New Roman"/>
          <w:i/>
          <w:iCs/>
          <w:color w:val="000000"/>
          <w:sz w:val="20"/>
          <w:szCs w:val="20"/>
        </w:rPr>
        <w:t xml:space="preserve"> </w:t>
      </w:r>
      <w:r>
        <w:rPr>
          <w:rFonts w:eastAsia="Times New Roman"/>
          <w:color w:val="000000"/>
          <w:sz w:val="20"/>
          <w:szCs w:val="20"/>
        </w:rPr>
        <w:t xml:space="preserve">Basic earnings per share attributable to UGI stockholders reflect the weighted-average number of common shares outstanding. Diluted earnings per share attributable to UGI stockholders include the effects of dilutive stock options, </w:t>
      </w:r>
      <w:r>
        <w:rPr>
          <w:rFonts w:eastAsia="Times New Roman"/>
          <w:color w:val="000000"/>
          <w:sz w:val="20"/>
          <w:szCs w:val="20"/>
        </w:rPr>
        <w:t>common stock awards and Equity Units. Shares used in computing basic and diluted earnings per share are as follows:</w:t>
      </w:r>
      <w:r>
        <w:rPr>
          <w:rFonts w:eastAsia="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37"/>
        <w:gridCol w:w="4765"/>
        <w:gridCol w:w="36"/>
        <w:gridCol w:w="36"/>
        <w:gridCol w:w="36"/>
        <w:gridCol w:w="36"/>
        <w:gridCol w:w="85"/>
        <w:gridCol w:w="635"/>
        <w:gridCol w:w="38"/>
        <w:gridCol w:w="37"/>
        <w:gridCol w:w="37"/>
        <w:gridCol w:w="37"/>
        <w:gridCol w:w="85"/>
        <w:gridCol w:w="635"/>
        <w:gridCol w:w="37"/>
        <w:gridCol w:w="36"/>
        <w:gridCol w:w="36"/>
        <w:gridCol w:w="36"/>
        <w:gridCol w:w="85"/>
        <w:gridCol w:w="635"/>
        <w:gridCol w:w="38"/>
        <w:gridCol w:w="37"/>
        <w:gridCol w:w="37"/>
        <w:gridCol w:w="37"/>
        <w:gridCol w:w="85"/>
        <w:gridCol w:w="635"/>
        <w:gridCol w:w="37"/>
      </w:tblGrid>
      <w:tr w:rsidR="00000000">
        <w:trPr>
          <w:divId w:val="200672015"/>
        </w:trPr>
        <w:tc>
          <w:tcPr>
            <w:tcW w:w="50" w:type="pct"/>
            <w:vAlign w:val="center"/>
            <w:hideMark/>
          </w:tcPr>
          <w:p w:rsidR="00000000" w:rsidRDefault="00BE60E9">
            <w:pPr>
              <w:jc w:val="both"/>
              <w:rPr>
                <w:rFonts w:eastAsia="Times New Roman"/>
              </w:rPr>
            </w:pPr>
          </w:p>
        </w:tc>
        <w:tc>
          <w:tcPr>
            <w:tcW w:w="3073"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37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37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37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37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rPr>
          <w:divId w:val="200672015"/>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BE60E9">
            <w:pPr>
              <w:spacing w:after="100"/>
              <w:jc w:val="center"/>
              <w:rPr>
                <w:rFonts w:eastAsia="Times New Roman"/>
              </w:rPr>
            </w:pPr>
            <w:r>
              <w:rPr>
                <w:rFonts w:eastAsia="Times New Roman"/>
                <w:color w:val="000000"/>
                <w:sz w:val="20"/>
                <w:szCs w:val="20"/>
              </w:rPr>
              <w:t>Three Months Ended</w:t>
            </w:r>
            <w:r>
              <w:rPr>
                <w:rFonts w:eastAsia="Times New Roman"/>
                <w:color w:val="000000"/>
                <w:sz w:val="20"/>
                <w:szCs w:val="20"/>
              </w:rPr>
              <w:br/>
              <w:t>June 30,</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BE60E9">
            <w:pPr>
              <w:spacing w:after="100"/>
              <w:jc w:val="center"/>
              <w:rPr>
                <w:rFonts w:eastAsia="Times New Roman"/>
              </w:rPr>
            </w:pPr>
            <w:r>
              <w:rPr>
                <w:rFonts w:eastAsia="Times New Roman"/>
                <w:color w:val="000000"/>
                <w:sz w:val="20"/>
                <w:szCs w:val="20"/>
              </w:rPr>
              <w:t>Nine Months Ended</w:t>
            </w:r>
            <w:r>
              <w:rPr>
                <w:rFonts w:eastAsia="Times New Roman"/>
                <w:color w:val="000000"/>
                <w:sz w:val="20"/>
                <w:szCs w:val="20"/>
              </w:rPr>
              <w:br/>
              <w:t>June 30,</w:t>
            </w:r>
          </w:p>
        </w:tc>
      </w:tr>
      <w:tr w:rsidR="00000000">
        <w:trPr>
          <w:divId w:val="200672015"/>
        </w:trPr>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2021</w:t>
            </w:r>
          </w:p>
        </w:tc>
      </w:tr>
      <w:tr w:rsidR="00000000">
        <w:trPr>
          <w:divId w:val="200672015"/>
        </w:trPr>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Denominator (thousands of shares):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200672015"/>
        </w:trPr>
        <w:tc>
          <w:tcPr>
            <w:tcW w:w="0" w:type="auto"/>
            <w:gridSpan w:val="3"/>
            <w:tcMar>
              <w:top w:w="30" w:type="dxa"/>
              <w:left w:w="155" w:type="dxa"/>
              <w:bottom w:w="30" w:type="dxa"/>
              <w:right w:w="20" w:type="dxa"/>
            </w:tcMar>
            <w:hideMark/>
          </w:tcPr>
          <w:p w:rsidR="00000000" w:rsidRDefault="00BE60E9">
            <w:pPr>
              <w:spacing w:after="100"/>
              <w:rPr>
                <w:rFonts w:eastAsia="Times New Roman"/>
              </w:rPr>
            </w:pPr>
            <w:r>
              <w:rPr>
                <w:rFonts w:eastAsia="Times New Roman"/>
                <w:color w:val="000000"/>
                <w:sz w:val="20"/>
                <w:szCs w:val="20"/>
              </w:rPr>
              <w:t>Weighted-average common shares outstanding — basic</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210,190 </w:t>
            </w:r>
          </w:p>
        </w:tc>
        <w:tc>
          <w:tcPr>
            <w:tcW w:w="0" w:type="auto"/>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209,099 </w:t>
            </w:r>
          </w:p>
        </w:tc>
        <w:tc>
          <w:tcPr>
            <w:tcW w:w="0" w:type="auto"/>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209,992 </w:t>
            </w:r>
          </w:p>
        </w:tc>
        <w:tc>
          <w:tcPr>
            <w:tcW w:w="0" w:type="auto"/>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208,934 </w:t>
            </w:r>
          </w:p>
        </w:tc>
        <w:tc>
          <w:tcPr>
            <w:tcW w:w="0" w:type="auto"/>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200672015"/>
        </w:trPr>
        <w:tc>
          <w:tcPr>
            <w:tcW w:w="0" w:type="auto"/>
            <w:gridSpan w:val="3"/>
            <w:shd w:val="clear" w:color="auto" w:fill="CCEEFF"/>
            <w:tcMar>
              <w:top w:w="30" w:type="dxa"/>
              <w:left w:w="155" w:type="dxa"/>
              <w:bottom w:w="30" w:type="dxa"/>
              <w:right w:w="20" w:type="dxa"/>
            </w:tcMar>
            <w:hideMark/>
          </w:tcPr>
          <w:p w:rsidR="00000000" w:rsidRDefault="00BE60E9">
            <w:pPr>
              <w:spacing w:after="100"/>
              <w:rPr>
                <w:rFonts w:eastAsia="Times New Roman"/>
              </w:rPr>
            </w:pPr>
            <w:r>
              <w:rPr>
                <w:rFonts w:eastAsia="Times New Roman"/>
                <w:color w:val="000000"/>
                <w:sz w:val="20"/>
                <w:szCs w:val="20"/>
              </w:rPr>
              <w:t>Incremental shares issuable for stock options, common stock awards and Equity Units (a)</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1,752 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5,973 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1,260 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200672015"/>
        </w:trPr>
        <w:tc>
          <w:tcPr>
            <w:tcW w:w="0" w:type="auto"/>
            <w:gridSpan w:val="3"/>
            <w:tcMar>
              <w:top w:w="30" w:type="dxa"/>
              <w:left w:w="155" w:type="dxa"/>
              <w:bottom w:w="30" w:type="dxa"/>
              <w:right w:w="20" w:type="dxa"/>
            </w:tcMar>
            <w:hideMark/>
          </w:tcPr>
          <w:p w:rsidR="00000000" w:rsidRDefault="00BE60E9">
            <w:pPr>
              <w:spacing w:after="100"/>
              <w:rPr>
                <w:rFonts w:eastAsia="Times New Roman"/>
              </w:rPr>
            </w:pPr>
            <w:r>
              <w:rPr>
                <w:rFonts w:eastAsia="Times New Roman"/>
                <w:color w:val="000000"/>
                <w:sz w:val="20"/>
                <w:szCs w:val="20"/>
              </w:rPr>
              <w:t>Weighted-average common shares outstanding — diluted</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210,190 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210,851 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215,965 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210,194 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BE60E9">
            <w:pPr>
              <w:spacing w:after="100"/>
              <w:jc w:val="right"/>
              <w:rPr>
                <w:rFonts w:eastAsia="Times New Roman"/>
              </w:rPr>
            </w:pPr>
          </w:p>
        </w:tc>
      </w:tr>
    </w:tbl>
    <w:p w:rsidR="00000000" w:rsidRDefault="00BE60E9">
      <w:pPr>
        <w:ind w:hanging="360"/>
        <w:jc w:val="both"/>
        <w:rPr>
          <w:rFonts w:eastAsia="Times New Roman"/>
        </w:rPr>
      </w:pPr>
      <w:r>
        <w:rPr>
          <w:rFonts w:eastAsia="Times New Roman"/>
          <w:color w:val="000000"/>
          <w:sz w:val="20"/>
          <w:szCs w:val="20"/>
        </w:rPr>
        <w:t>(a)For the three months ended June 30, 2022, 5,668 of such shares have been excluded as these incremental shares would be anti</w:t>
      </w:r>
      <w:r>
        <w:rPr>
          <w:rFonts w:eastAsia="Times New Roman"/>
          <w:color w:val="000000"/>
          <w:sz w:val="20"/>
          <w:szCs w:val="20"/>
        </w:rPr>
        <w:t>dilutive due to the net loss for the period. At June 30, 2022 and 2021, there were 5,718 and 2,502 shares, respectively, associated with outstanding stock option awards that were not included in the computation of diluted earnings per share above because t</w:t>
      </w:r>
      <w:r>
        <w:rPr>
          <w:rFonts w:eastAsia="Times New Roman"/>
          <w:color w:val="000000"/>
          <w:sz w:val="20"/>
          <w:szCs w:val="20"/>
        </w:rPr>
        <w:t>heir effect was antidilutive.</w:t>
      </w:r>
    </w:p>
    <w:p w:rsidR="00000000" w:rsidRDefault="00BE60E9">
      <w:pPr>
        <w:jc w:val="both"/>
        <w:rPr>
          <w:rFonts w:eastAsia="Times New Roman"/>
        </w:rPr>
      </w:pPr>
    </w:p>
    <w:p w:rsidR="00000000" w:rsidRDefault="00BE60E9">
      <w:pPr>
        <w:jc w:val="both"/>
        <w:rPr>
          <w:rFonts w:eastAsia="Times New Roman"/>
        </w:rPr>
      </w:pPr>
      <w:r>
        <w:rPr>
          <w:rFonts w:eastAsia="Times New Roman"/>
          <w:b/>
          <w:bCs/>
          <w:i/>
          <w:iCs/>
          <w:color w:val="000000"/>
          <w:sz w:val="20"/>
          <w:szCs w:val="20"/>
        </w:rPr>
        <w:t xml:space="preserve">Derivative Instruments. </w:t>
      </w:r>
      <w:r>
        <w:rPr>
          <w:rFonts w:eastAsia="Times New Roman"/>
          <w:color w:val="000000"/>
          <w:sz w:val="20"/>
          <w:szCs w:val="20"/>
        </w:rPr>
        <w:t>Derivative instruments are reported on the Condensed Consolidated Balance Sheets at their fair values, unless the NPNS exception is elected. The accounting for changes in fair value depends upon the p</w:t>
      </w:r>
      <w:r>
        <w:rPr>
          <w:rFonts w:eastAsia="Times New Roman"/>
          <w:color w:val="000000"/>
          <w:sz w:val="20"/>
          <w:szCs w:val="20"/>
        </w:rPr>
        <w:t>urpose of the derivative instrument, whether it is subject to regulatory ratemaking mechanisms or if it qualifies and is designated as a hedge for accounting purposes.</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Certain of our derivative instruments qualify and are designated as cash flow hedges. For cash flow hedges, changes in the fair values of the derivative instruments are recorded in AOCI, to the extent effective at offsetting changes in the hedged item, unt</w:t>
      </w:r>
      <w:r>
        <w:rPr>
          <w:rFonts w:eastAsia="Times New Roman"/>
          <w:color w:val="000000"/>
          <w:sz w:val="20"/>
          <w:szCs w:val="20"/>
        </w:rPr>
        <w:t>il earnings are affected by the hedged item. We discontinue cash flow hedge accounting if occurrence of the forecasted transaction is determined to be no longer probable. Hedge accounting is also discontinued for derivatives that cease to be highly effecti</w:t>
      </w:r>
      <w:r>
        <w:rPr>
          <w:rFonts w:eastAsia="Times New Roman"/>
          <w:color w:val="000000"/>
          <w:sz w:val="20"/>
          <w:szCs w:val="20"/>
        </w:rPr>
        <w:t>ve. We do not designate our commodity and certain foreign currency derivative instruments as hedges under GAAP. Changes in the fair values of these derivative instruments are reflected in net income. Gains and losses on substantially all of the commodity d</w:t>
      </w:r>
      <w:r>
        <w:rPr>
          <w:rFonts w:eastAsia="Times New Roman"/>
          <w:color w:val="000000"/>
          <w:sz w:val="20"/>
          <w:szCs w:val="20"/>
        </w:rPr>
        <w:t>erivative instruments used by Utilities are included in regulatory assets or liabilities because it is probable such gains or losses will be recoverable from, or refundable to, customers. From time to time, we also enter into net investment hedges. Gains a</w:t>
      </w:r>
      <w:r>
        <w:rPr>
          <w:rFonts w:eastAsia="Times New Roman"/>
          <w:color w:val="000000"/>
          <w:sz w:val="20"/>
          <w:szCs w:val="20"/>
        </w:rPr>
        <w:t>nd losses on net investment hedges that relate to our foreign operations are included in the cumulative translation adjustment component in AOCI until such foreign net investment is substantially sold or liquidated.</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Cash flows from derivative instruments</w:t>
      </w:r>
      <w:r>
        <w:rPr>
          <w:rFonts w:eastAsia="Times New Roman"/>
          <w:color w:val="000000"/>
          <w:sz w:val="20"/>
          <w:szCs w:val="20"/>
        </w:rPr>
        <w:t xml:space="preserve">, other than certain cross-currency swaps and net investment hedges, if any, are included in cash flows from operating activities on the Condensed Consolidated Statements of Cash Flows. Cash flows from the interest portion of our cross-currency hedges, if </w:t>
      </w:r>
      <w:r>
        <w:rPr>
          <w:rFonts w:eastAsia="Times New Roman"/>
          <w:color w:val="000000"/>
          <w:sz w:val="20"/>
          <w:szCs w:val="20"/>
        </w:rPr>
        <w:t>any, are included in cash flows from operating activities while cash flows from the currency portion of such hedges, if any, are included in cash flows from financing activities. Cash flows from net investment hedges, if any, are included in cash flows fro</w:t>
      </w:r>
      <w:r>
        <w:rPr>
          <w:rFonts w:eastAsia="Times New Roman"/>
          <w:color w:val="000000"/>
          <w:sz w:val="20"/>
          <w:szCs w:val="20"/>
        </w:rPr>
        <w:t>m investing activities on the Condensed Consolidated Statements of Cash Flows.</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For a more detailed description of the derivative instruments we use, our accounting for derivatives, our objectives for using them and other information, see Note 12.</w:t>
      </w:r>
    </w:p>
    <w:p w:rsidR="00000000" w:rsidRDefault="00BE60E9">
      <w:pPr>
        <w:divId w:val="1289361598"/>
        <w:rPr>
          <w:rFonts w:eastAsia="Times New Roman"/>
        </w:rPr>
      </w:pPr>
    </w:p>
    <w:p w:rsidR="00000000" w:rsidRDefault="00BE60E9">
      <w:pPr>
        <w:jc w:val="both"/>
        <w:rPr>
          <w:rFonts w:eastAsia="Times New Roman"/>
        </w:rPr>
      </w:pPr>
      <w:r>
        <w:rPr>
          <w:rFonts w:eastAsia="Times New Roman"/>
          <w:b/>
          <w:bCs/>
          <w:i/>
          <w:iCs/>
          <w:color w:val="000000"/>
          <w:sz w:val="20"/>
          <w:szCs w:val="20"/>
        </w:rPr>
        <w:t>Use o</w:t>
      </w:r>
      <w:r>
        <w:rPr>
          <w:rFonts w:eastAsia="Times New Roman"/>
          <w:b/>
          <w:bCs/>
          <w:i/>
          <w:iCs/>
          <w:color w:val="000000"/>
          <w:sz w:val="20"/>
          <w:szCs w:val="20"/>
        </w:rPr>
        <w:t>f Estimates.</w:t>
      </w:r>
      <w:r>
        <w:rPr>
          <w:rFonts w:eastAsia="Times New Roman"/>
          <w:i/>
          <w:iCs/>
          <w:color w:val="000000"/>
          <w:sz w:val="20"/>
          <w:szCs w:val="20"/>
        </w:rPr>
        <w:t xml:space="preserve"> </w:t>
      </w:r>
      <w:r>
        <w:rPr>
          <w:rFonts w:eastAsia="Times New Roman"/>
          <w:color w:val="000000"/>
          <w:sz w:val="20"/>
          <w:szCs w:val="20"/>
        </w:rPr>
        <w:t xml:space="preserve">The preparation of financial statements in accordance with GAAP requires management to make estimates and assumptions that affect the reported amounts of assets, liabilities, revenues, expenses and costs. These estimates are based </w:t>
      </w:r>
    </w:p>
    <w:p w:rsidR="00000000" w:rsidRDefault="00BE60E9">
      <w:pPr>
        <w:jc w:val="center"/>
        <w:divId w:val="760879850"/>
        <w:rPr>
          <w:rFonts w:eastAsia="Times New Roman"/>
        </w:rPr>
      </w:pPr>
      <w:r>
        <w:rPr>
          <w:rFonts w:eastAsia="Times New Roman"/>
          <w:color w:val="000000"/>
          <w:sz w:val="20"/>
          <w:szCs w:val="20"/>
        </w:rPr>
        <w:t>11</w:t>
      </w:r>
    </w:p>
    <w:p w:rsidR="00000000" w:rsidRDefault="00BE60E9">
      <w:pPr>
        <w:rPr>
          <w:rFonts w:eastAsia="Times New Roman"/>
        </w:rPr>
      </w:pPr>
      <w:r>
        <w:rPr>
          <w:rFonts w:eastAsia="Times New Roman"/>
        </w:rPr>
        <w:pict>
          <v:rect id="_x0000_i1037" style="width:0;height:1.5pt" o:hralign="center" o:hrstd="t" o:hr="t" fillcolor="#a0a0a0" stroked="f"/>
        </w:pict>
      </w:r>
    </w:p>
    <w:p w:rsidR="00000000" w:rsidRDefault="00BE60E9">
      <w:pPr>
        <w:divId w:val="2011902501"/>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1140536959"/>
        <w:rPr>
          <w:rFonts w:eastAsia="Times New Roman"/>
        </w:rPr>
      </w:pPr>
      <w:r>
        <w:rPr>
          <w:rFonts w:eastAsia="Times New Roman"/>
          <w:b/>
          <w:bCs/>
          <w:color w:val="000000"/>
          <w:sz w:val="20"/>
          <w:szCs w:val="20"/>
        </w:rPr>
        <w:t>UGI CORPORATION AND SUBSIDIARIES</w:t>
      </w:r>
    </w:p>
    <w:p w:rsidR="00000000" w:rsidRDefault="00BE60E9">
      <w:pPr>
        <w:jc w:val="center"/>
        <w:divId w:val="1488017693"/>
        <w:rPr>
          <w:rFonts w:eastAsia="Times New Roman"/>
        </w:rPr>
      </w:pPr>
      <w:r>
        <w:rPr>
          <w:rFonts w:eastAsia="Times New Roman"/>
          <w:b/>
          <w:bCs/>
          <w:color w:val="000000"/>
          <w:sz w:val="20"/>
          <w:szCs w:val="20"/>
          <w:u w:val="single"/>
        </w:rPr>
        <w:t>Notes to Condensed Consolidated Financial Statements</w:t>
      </w:r>
    </w:p>
    <w:p w:rsidR="00000000" w:rsidRDefault="00BE60E9">
      <w:pPr>
        <w:jc w:val="center"/>
        <w:divId w:val="1140536959"/>
        <w:rPr>
          <w:rFonts w:eastAsia="Times New Roman"/>
        </w:rPr>
      </w:pPr>
      <w:r>
        <w:rPr>
          <w:rFonts w:eastAsia="Times New Roman"/>
          <w:color w:val="000000"/>
          <w:sz w:val="20"/>
          <w:szCs w:val="20"/>
        </w:rPr>
        <w:t>(unaudited)</w:t>
      </w:r>
    </w:p>
    <w:p w:rsidR="00000000" w:rsidRDefault="00BE60E9">
      <w:pPr>
        <w:jc w:val="center"/>
        <w:divId w:val="1140536959"/>
        <w:rPr>
          <w:rFonts w:eastAsia="Times New Roman"/>
        </w:rPr>
      </w:pPr>
      <w:r>
        <w:rPr>
          <w:rFonts w:eastAsia="Times New Roman"/>
          <w:color w:val="000000"/>
          <w:sz w:val="20"/>
          <w:szCs w:val="20"/>
        </w:rPr>
        <w:t>(Currency in millions, except per share amounts and where indicated otherwise)</w:t>
      </w:r>
    </w:p>
    <w:p w:rsidR="00000000" w:rsidRDefault="00BE60E9">
      <w:pPr>
        <w:jc w:val="both"/>
        <w:rPr>
          <w:rFonts w:eastAsia="Times New Roman"/>
        </w:rPr>
      </w:pPr>
      <w:r>
        <w:rPr>
          <w:rFonts w:eastAsia="Times New Roman"/>
          <w:color w:val="000000"/>
          <w:sz w:val="20"/>
          <w:szCs w:val="20"/>
        </w:rPr>
        <w:t xml:space="preserve">on management’s knowledge of current events, historical experience and various other assumptions that are believed to be reasonable under the circumstances. Accordingly, actual </w:t>
      </w:r>
      <w:r>
        <w:rPr>
          <w:rFonts w:eastAsia="Times New Roman"/>
          <w:color w:val="000000"/>
          <w:sz w:val="20"/>
          <w:szCs w:val="20"/>
        </w:rPr>
        <w:t>results may be different from these estimates and assumptions.</w:t>
      </w:r>
    </w:p>
    <w:p w:rsidR="00000000" w:rsidRDefault="00BE60E9">
      <w:pPr>
        <w:jc w:val="both"/>
        <w:rPr>
          <w:rFonts w:eastAsia="Times New Roman"/>
        </w:rPr>
      </w:pPr>
    </w:p>
    <w:p w:rsidR="00000000" w:rsidRDefault="00BE60E9">
      <w:pPr>
        <w:jc w:val="both"/>
        <w:rPr>
          <w:rFonts w:eastAsia="Times New Roman"/>
        </w:rPr>
      </w:pPr>
      <w:r>
        <w:rPr>
          <w:rFonts w:eastAsia="Times New Roman"/>
          <w:b/>
          <w:bCs/>
          <w:i/>
          <w:iCs/>
          <w:color w:val="000000"/>
          <w:sz w:val="20"/>
          <w:szCs w:val="20"/>
        </w:rPr>
        <w:t>Reclassifications.</w:t>
      </w:r>
      <w:r>
        <w:rPr>
          <w:rFonts w:eastAsia="Times New Roman"/>
          <w:i/>
          <w:iCs/>
          <w:color w:val="000000"/>
          <w:sz w:val="20"/>
          <w:szCs w:val="20"/>
        </w:rPr>
        <w:t xml:space="preserve"> </w:t>
      </w:r>
      <w:r>
        <w:rPr>
          <w:rFonts w:eastAsia="Times New Roman"/>
          <w:color w:val="000000"/>
          <w:sz w:val="20"/>
          <w:szCs w:val="20"/>
        </w:rPr>
        <w:t xml:space="preserve">For purposes of comparability, certain prior-period amounts have been reclassified to conform to the current-period presentation. During the second quarter of Fiscal 2022, </w:t>
      </w:r>
      <w:r>
        <w:rPr>
          <w:rFonts w:eastAsia="Times New Roman"/>
          <w:color w:val="000000"/>
          <w:sz w:val="20"/>
          <w:szCs w:val="20"/>
        </w:rPr>
        <w:t>the Company reclassified certain amounts on the Consolidated Balance Sheet and Consolidated Statement of Changes in Equity related to the accounting for the Equity Units issued in May 2021.</w:t>
      </w:r>
    </w:p>
    <w:p w:rsidR="00000000" w:rsidRDefault="00BE60E9">
      <w:pPr>
        <w:jc w:val="both"/>
        <w:rPr>
          <w:rFonts w:eastAsia="Times New Roman"/>
        </w:rPr>
      </w:pPr>
    </w:p>
    <w:p w:rsidR="00000000" w:rsidRDefault="00BE60E9">
      <w:pPr>
        <w:ind w:hanging="540"/>
        <w:jc w:val="both"/>
        <w:rPr>
          <w:rFonts w:eastAsia="Times New Roman"/>
        </w:rPr>
      </w:pPr>
      <w:r>
        <w:rPr>
          <w:rFonts w:eastAsia="Times New Roman"/>
          <w:b/>
          <w:bCs/>
          <w:color w:val="000000"/>
          <w:sz w:val="20"/>
          <w:szCs w:val="20"/>
          <w:u w:val="single"/>
        </w:rPr>
        <w:t>Note 3 — Accounting Changes</w:t>
      </w:r>
    </w:p>
    <w:p w:rsidR="00000000" w:rsidRDefault="00BE60E9">
      <w:pPr>
        <w:ind w:hanging="540"/>
        <w:jc w:val="both"/>
        <w:rPr>
          <w:rFonts w:eastAsia="Times New Roman"/>
        </w:rPr>
      </w:pPr>
    </w:p>
    <w:p w:rsidR="00000000" w:rsidRDefault="00BE60E9">
      <w:pPr>
        <w:jc w:val="both"/>
        <w:rPr>
          <w:rFonts w:eastAsia="Times New Roman"/>
        </w:rPr>
      </w:pPr>
      <w:r>
        <w:rPr>
          <w:rFonts w:eastAsia="Times New Roman"/>
          <w:b/>
          <w:bCs/>
          <w:color w:val="000000"/>
          <w:sz w:val="20"/>
          <w:szCs w:val="20"/>
        </w:rPr>
        <w:t>New Accounting Standard Adopted in</w:t>
      </w:r>
      <w:r>
        <w:rPr>
          <w:rFonts w:eastAsia="Times New Roman"/>
          <w:b/>
          <w:bCs/>
          <w:color w:val="000000"/>
          <w:sz w:val="20"/>
          <w:szCs w:val="20"/>
        </w:rPr>
        <w:t xml:space="preserve"> Fiscal 2022</w:t>
      </w:r>
    </w:p>
    <w:p w:rsidR="00000000" w:rsidRDefault="00BE60E9">
      <w:pPr>
        <w:jc w:val="both"/>
        <w:rPr>
          <w:rFonts w:eastAsia="Times New Roman"/>
        </w:rPr>
      </w:pPr>
    </w:p>
    <w:p w:rsidR="00000000" w:rsidRDefault="00BE60E9">
      <w:pPr>
        <w:jc w:val="both"/>
        <w:rPr>
          <w:rFonts w:eastAsia="Times New Roman"/>
        </w:rPr>
      </w:pPr>
      <w:r>
        <w:rPr>
          <w:rFonts w:eastAsia="Times New Roman"/>
          <w:b/>
          <w:bCs/>
          <w:i/>
          <w:iCs/>
          <w:color w:val="000000"/>
          <w:sz w:val="20"/>
          <w:szCs w:val="20"/>
        </w:rPr>
        <w:t xml:space="preserve">Income Taxes. </w:t>
      </w:r>
      <w:r>
        <w:rPr>
          <w:rFonts w:eastAsia="Times New Roman"/>
          <w:color w:val="000000"/>
          <w:sz w:val="20"/>
          <w:szCs w:val="20"/>
        </w:rPr>
        <w:t>Effective October 1, 2021, the Company adopted ASU 2019-12, “Income Taxes (Topic 740): Simplifying the Accounting for Income Taxes” prospectively and retrospectively where deemed applicable. This ASU simplifies the accounting f</w:t>
      </w:r>
      <w:r>
        <w:rPr>
          <w:rFonts w:eastAsia="Times New Roman"/>
          <w:color w:val="000000"/>
          <w:sz w:val="20"/>
          <w:szCs w:val="20"/>
        </w:rPr>
        <w:t>or income taxes by eliminating certain exceptions within the existing guidance for recognizing deferred taxes for equity method investments, performing intraperiod allocations and calculating income taxes in interim periods. Further, this ASU clarifies exi</w:t>
      </w:r>
      <w:r>
        <w:rPr>
          <w:rFonts w:eastAsia="Times New Roman"/>
          <w:color w:val="000000"/>
          <w:sz w:val="20"/>
          <w:szCs w:val="20"/>
        </w:rPr>
        <w:t>sting guidance related to, among other things, recognizing deferred taxes for goodwill and allocated taxes to members of a consolidated group. The adoption of the new guidance did not have a material impact on our consolidated financial statements.</w:t>
      </w:r>
    </w:p>
    <w:p w:rsidR="00000000" w:rsidRDefault="00BE60E9">
      <w:pPr>
        <w:jc w:val="both"/>
        <w:rPr>
          <w:rFonts w:eastAsia="Times New Roman"/>
        </w:rPr>
      </w:pPr>
    </w:p>
    <w:p w:rsidR="00000000" w:rsidRDefault="00BE60E9">
      <w:pPr>
        <w:jc w:val="both"/>
        <w:rPr>
          <w:rFonts w:eastAsia="Times New Roman"/>
        </w:rPr>
      </w:pPr>
      <w:r>
        <w:rPr>
          <w:rFonts w:eastAsia="Times New Roman"/>
          <w:b/>
          <w:bCs/>
          <w:color w:val="000000"/>
          <w:sz w:val="20"/>
          <w:szCs w:val="20"/>
        </w:rPr>
        <w:t>Accou</w:t>
      </w:r>
      <w:r>
        <w:rPr>
          <w:rFonts w:eastAsia="Times New Roman"/>
          <w:b/>
          <w:bCs/>
          <w:color w:val="000000"/>
          <w:sz w:val="20"/>
          <w:szCs w:val="20"/>
        </w:rPr>
        <w:t>nting Standard Not Yet Adopted</w:t>
      </w:r>
    </w:p>
    <w:p w:rsidR="00000000" w:rsidRDefault="00BE60E9">
      <w:pPr>
        <w:jc w:val="both"/>
        <w:rPr>
          <w:rFonts w:eastAsia="Times New Roman"/>
        </w:rPr>
      </w:pPr>
    </w:p>
    <w:p w:rsidR="00000000" w:rsidRDefault="00BE60E9">
      <w:pPr>
        <w:jc w:val="both"/>
        <w:rPr>
          <w:rFonts w:eastAsia="Times New Roman"/>
        </w:rPr>
      </w:pPr>
      <w:r>
        <w:rPr>
          <w:rFonts w:eastAsia="Times New Roman"/>
          <w:b/>
          <w:bCs/>
          <w:i/>
          <w:iCs/>
          <w:color w:val="000000"/>
          <w:sz w:val="20"/>
          <w:szCs w:val="20"/>
        </w:rPr>
        <w:t xml:space="preserve">Debt and Derivatives and Hedging. </w:t>
      </w:r>
      <w:r>
        <w:rPr>
          <w:rFonts w:eastAsia="Times New Roman"/>
          <w:color w:val="000000"/>
          <w:sz w:val="20"/>
          <w:szCs w:val="20"/>
        </w:rPr>
        <w:t>In August 2020, the FASB issued ASU 2020-06, “Debt - Debt with Conversion and Other Options (Subtopic 470-20) and Derivatives and Hedging – Contracts in Entity’s Own Equity (Subtopic 815-40</w:t>
      </w:r>
      <w:r>
        <w:rPr>
          <w:rFonts w:eastAsia="Times New Roman"/>
          <w:color w:val="000000"/>
          <w:sz w:val="20"/>
          <w:szCs w:val="20"/>
        </w:rPr>
        <w:t>).” The amendments in this ASU affect entities that issue convertible instruments and/or contracts indexed to and potentially settled in an entity’s own equity. This ASU reduces the number of accounting models for convertible debt instruments and convertib</w:t>
      </w:r>
      <w:r>
        <w:rPr>
          <w:rFonts w:eastAsia="Times New Roman"/>
          <w:color w:val="000000"/>
          <w:sz w:val="20"/>
          <w:szCs w:val="20"/>
        </w:rPr>
        <w:t xml:space="preserve">le preferred stock, expands disclosure requirements for convertible instruments, and simplifies the related earnings per share guidance. This new guidance is effective for the Company for interim and annual periods beginning October 1, 2022 (Fiscal 2023). </w:t>
      </w:r>
      <w:r>
        <w:rPr>
          <w:rFonts w:eastAsia="Times New Roman"/>
          <w:color w:val="000000"/>
          <w:sz w:val="20"/>
          <w:szCs w:val="20"/>
        </w:rPr>
        <w:t xml:space="preserve">Early adoption is permitted. The amendments in this ASU may be adopted using the modified or full retrospective transition methods. The Company is in the process of assessing the impact on its financial statements from the adoption of the new guidance and </w:t>
      </w:r>
      <w:r>
        <w:rPr>
          <w:rFonts w:eastAsia="Times New Roman"/>
          <w:color w:val="000000"/>
          <w:sz w:val="20"/>
          <w:szCs w:val="20"/>
        </w:rPr>
        <w:t>determining the transition method and the period in which the new guidance will be adopted.</w:t>
      </w:r>
    </w:p>
    <w:p w:rsidR="00000000" w:rsidRDefault="00BE60E9">
      <w:pPr>
        <w:jc w:val="both"/>
        <w:rPr>
          <w:rFonts w:eastAsia="Times New Roman"/>
        </w:rPr>
      </w:pPr>
    </w:p>
    <w:p w:rsidR="00000000" w:rsidRDefault="00BE60E9">
      <w:pPr>
        <w:divId w:val="800805492"/>
        <w:rPr>
          <w:rFonts w:eastAsia="Times New Roman"/>
        </w:rPr>
      </w:pPr>
      <w:r>
        <w:rPr>
          <w:rFonts w:eastAsia="Times New Roman"/>
          <w:b/>
          <w:bCs/>
          <w:color w:val="000000"/>
          <w:sz w:val="20"/>
          <w:szCs w:val="20"/>
          <w:u w:val="single"/>
        </w:rPr>
        <w:t>Note 4 — Revenue from Contracts with Customers</w:t>
      </w:r>
      <w:r>
        <w:rPr>
          <w:rFonts w:eastAsia="Times New Roman"/>
          <w:color w:val="000000"/>
          <w:sz w:val="20"/>
          <w:szCs w:val="20"/>
        </w:rPr>
        <w:t xml:space="preserve"> </w:t>
      </w:r>
    </w:p>
    <w:p w:rsidR="00000000" w:rsidRDefault="00BE60E9">
      <w:pPr>
        <w:divId w:val="1332761661"/>
        <w:rPr>
          <w:rFonts w:eastAsia="Times New Roman"/>
        </w:rPr>
      </w:pPr>
    </w:p>
    <w:p w:rsidR="00000000" w:rsidRDefault="00BE60E9">
      <w:pPr>
        <w:jc w:val="both"/>
        <w:rPr>
          <w:rFonts w:eastAsia="Times New Roman"/>
        </w:rPr>
      </w:pPr>
      <w:r>
        <w:rPr>
          <w:rFonts w:eastAsia="Times New Roman"/>
          <w:color w:val="000000"/>
          <w:sz w:val="20"/>
          <w:szCs w:val="20"/>
        </w:rPr>
        <w:t>The Company recognizes revenue when control of promised goods or services is transferred to customers in an amount that reflects the consideration to which we expect to be entitled in exchange for those goods or services. See Note 4 in the Company’s 2021 A</w:t>
      </w:r>
      <w:r>
        <w:rPr>
          <w:rFonts w:eastAsia="Times New Roman"/>
          <w:color w:val="000000"/>
          <w:sz w:val="20"/>
          <w:szCs w:val="20"/>
        </w:rPr>
        <w:t>nnual Report for additional information on our revenues from contracts with customers.</w:t>
      </w:r>
    </w:p>
    <w:p w:rsidR="00000000" w:rsidRDefault="00BE60E9">
      <w:pPr>
        <w:jc w:val="both"/>
        <w:rPr>
          <w:rFonts w:eastAsia="Times New Roman"/>
        </w:rPr>
      </w:pPr>
    </w:p>
    <w:p w:rsidR="00000000" w:rsidRDefault="00BE60E9">
      <w:pPr>
        <w:jc w:val="center"/>
        <w:divId w:val="1462074323"/>
        <w:rPr>
          <w:rFonts w:eastAsia="Times New Roman"/>
        </w:rPr>
      </w:pPr>
      <w:r>
        <w:rPr>
          <w:rFonts w:eastAsia="Times New Roman"/>
          <w:color w:val="000000"/>
          <w:sz w:val="20"/>
          <w:szCs w:val="20"/>
        </w:rPr>
        <w:t>12</w:t>
      </w:r>
    </w:p>
    <w:p w:rsidR="00000000" w:rsidRDefault="00BE60E9">
      <w:pPr>
        <w:rPr>
          <w:rFonts w:eastAsia="Times New Roman"/>
        </w:rPr>
      </w:pPr>
      <w:r>
        <w:rPr>
          <w:rFonts w:eastAsia="Times New Roman"/>
        </w:rPr>
        <w:pict>
          <v:rect id="_x0000_i1038" style="width:0;height:1.5pt" o:hralign="center" o:hrstd="t" o:hr="t" fillcolor="#a0a0a0" stroked="f"/>
        </w:pict>
      </w:r>
    </w:p>
    <w:p w:rsidR="00000000" w:rsidRDefault="00BE60E9">
      <w:pPr>
        <w:divId w:val="1810171999"/>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575045180"/>
        <w:rPr>
          <w:rFonts w:eastAsia="Times New Roman"/>
        </w:rPr>
      </w:pPr>
      <w:r>
        <w:rPr>
          <w:rFonts w:eastAsia="Times New Roman"/>
          <w:b/>
          <w:bCs/>
          <w:color w:val="000000"/>
          <w:sz w:val="20"/>
          <w:szCs w:val="20"/>
        </w:rPr>
        <w:t>UGI CORPORATION AND SUBSIDIARIES</w:t>
      </w:r>
    </w:p>
    <w:p w:rsidR="00000000" w:rsidRDefault="00BE60E9">
      <w:pPr>
        <w:jc w:val="center"/>
        <w:divId w:val="472019420"/>
        <w:rPr>
          <w:rFonts w:eastAsia="Times New Roman"/>
        </w:rPr>
      </w:pPr>
      <w:r>
        <w:rPr>
          <w:rFonts w:eastAsia="Times New Roman"/>
          <w:b/>
          <w:bCs/>
          <w:color w:val="000000"/>
          <w:sz w:val="20"/>
          <w:szCs w:val="20"/>
          <w:u w:val="single"/>
        </w:rPr>
        <w:t xml:space="preserve">Notes to Condensed </w:t>
      </w:r>
      <w:r>
        <w:rPr>
          <w:rFonts w:eastAsia="Times New Roman"/>
          <w:b/>
          <w:bCs/>
          <w:color w:val="000000"/>
          <w:sz w:val="20"/>
          <w:szCs w:val="20"/>
          <w:u w:val="single"/>
        </w:rPr>
        <w:t>Consolidated Financial Statements</w:t>
      </w:r>
    </w:p>
    <w:p w:rsidR="00000000" w:rsidRDefault="00BE60E9">
      <w:pPr>
        <w:jc w:val="center"/>
        <w:divId w:val="575045180"/>
        <w:rPr>
          <w:rFonts w:eastAsia="Times New Roman"/>
        </w:rPr>
      </w:pPr>
      <w:r>
        <w:rPr>
          <w:rFonts w:eastAsia="Times New Roman"/>
          <w:color w:val="000000"/>
          <w:sz w:val="20"/>
          <w:szCs w:val="20"/>
        </w:rPr>
        <w:t>(unaudited)</w:t>
      </w:r>
    </w:p>
    <w:p w:rsidR="00000000" w:rsidRDefault="00BE60E9">
      <w:pPr>
        <w:jc w:val="center"/>
        <w:divId w:val="575045180"/>
        <w:rPr>
          <w:rFonts w:eastAsia="Times New Roman"/>
        </w:rPr>
      </w:pPr>
      <w:r>
        <w:rPr>
          <w:rFonts w:eastAsia="Times New Roman"/>
          <w:color w:val="000000"/>
          <w:sz w:val="20"/>
          <w:szCs w:val="20"/>
        </w:rPr>
        <w:t>(Currency in millions, except per share amounts and where indicated otherwise)</w:t>
      </w:r>
    </w:p>
    <w:p w:rsidR="00000000" w:rsidRDefault="00BE60E9">
      <w:pPr>
        <w:divId w:val="2056542210"/>
        <w:rPr>
          <w:rFonts w:eastAsia="Times New Roman"/>
        </w:rPr>
      </w:pPr>
      <w:r>
        <w:rPr>
          <w:rFonts w:eastAsia="Times New Roman"/>
          <w:b/>
          <w:bCs/>
          <w:color w:val="000000"/>
          <w:sz w:val="20"/>
          <w:szCs w:val="20"/>
        </w:rPr>
        <w:t>Revenue Disaggregation</w:t>
      </w:r>
    </w:p>
    <w:p w:rsidR="00000000" w:rsidRDefault="00BE60E9">
      <w:pPr>
        <w:divId w:val="1860392797"/>
        <w:rPr>
          <w:rFonts w:eastAsia="Times New Roman"/>
        </w:rPr>
      </w:pPr>
    </w:p>
    <w:p w:rsidR="00000000" w:rsidRDefault="00BE60E9">
      <w:pPr>
        <w:divId w:val="956763490"/>
        <w:rPr>
          <w:rFonts w:eastAsia="Times New Roman"/>
        </w:rPr>
      </w:pPr>
      <w:r>
        <w:rPr>
          <w:rFonts w:eastAsia="Times New Roman"/>
          <w:color w:val="000000"/>
          <w:sz w:val="20"/>
          <w:szCs w:val="20"/>
        </w:rPr>
        <w:t>The following tables present our disaggregated revenues by reportable segment:</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067"/>
        <w:gridCol w:w="39"/>
        <w:gridCol w:w="36"/>
        <w:gridCol w:w="36"/>
        <w:gridCol w:w="36"/>
        <w:gridCol w:w="100"/>
        <w:gridCol w:w="408"/>
        <w:gridCol w:w="36"/>
        <w:gridCol w:w="36"/>
        <w:gridCol w:w="36"/>
        <w:gridCol w:w="36"/>
        <w:gridCol w:w="101"/>
        <w:gridCol w:w="800"/>
        <w:gridCol w:w="36"/>
        <w:gridCol w:w="36"/>
        <w:gridCol w:w="36"/>
        <w:gridCol w:w="36"/>
        <w:gridCol w:w="101"/>
        <w:gridCol w:w="647"/>
        <w:gridCol w:w="36"/>
        <w:gridCol w:w="36"/>
        <w:gridCol w:w="36"/>
        <w:gridCol w:w="36"/>
        <w:gridCol w:w="101"/>
        <w:gridCol w:w="762"/>
        <w:gridCol w:w="36"/>
        <w:gridCol w:w="36"/>
        <w:gridCol w:w="36"/>
        <w:gridCol w:w="36"/>
        <w:gridCol w:w="101"/>
        <w:gridCol w:w="684"/>
        <w:gridCol w:w="36"/>
        <w:gridCol w:w="36"/>
        <w:gridCol w:w="36"/>
        <w:gridCol w:w="36"/>
        <w:gridCol w:w="101"/>
        <w:gridCol w:w="517"/>
        <w:gridCol w:w="36"/>
        <w:gridCol w:w="36"/>
        <w:gridCol w:w="36"/>
        <w:gridCol w:w="36"/>
        <w:gridCol w:w="101"/>
        <w:gridCol w:w="628"/>
        <w:gridCol w:w="36"/>
      </w:tblGrid>
      <w:tr w:rsidR="00000000">
        <w:trPr>
          <w:jc w:val="center"/>
        </w:trPr>
        <w:tc>
          <w:tcPr>
            <w:tcW w:w="50" w:type="pct"/>
            <w:vAlign w:val="center"/>
            <w:hideMark/>
          </w:tcPr>
          <w:p w:rsidR="00000000" w:rsidRDefault="00BE60E9">
            <w:pPr>
              <w:rPr>
                <w:rFonts w:eastAsia="Times New Roman"/>
              </w:rPr>
            </w:pPr>
          </w:p>
        </w:tc>
        <w:tc>
          <w:tcPr>
            <w:tcW w:w="138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4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390"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4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48"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4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390"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4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34"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4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19"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4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36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4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37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16"/>
                <w:szCs w:val="16"/>
              </w:rPr>
              <w:t>Three Months Ended June 30, 2022</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 xml:space="preserve"> Total </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 Eliminations</w:t>
            </w:r>
            <w:r>
              <w:rPr>
                <w:rFonts w:eastAsia="Times New Roman"/>
                <w:color w:val="000000"/>
                <w:sz w:val="16"/>
                <w:szCs w:val="16"/>
              </w:rPr>
              <w:br/>
              <w:t xml:space="preserve">(a) </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 xml:space="preserve"> AmeriGas Propane </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 xml:space="preserve"> UGI International </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 Midstream &amp; Marketing</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 Utilities</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 xml:space="preserve"> Corporate &amp; Other </w:t>
            </w:r>
          </w:p>
        </w:tc>
      </w:tr>
      <w:tr w:rsidR="00000000">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16"/>
                <w:szCs w:val="16"/>
              </w:rPr>
              <w:t>Revenues from contracts with customers: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u w:val="single"/>
              </w:rPr>
              <w:t>Utility:</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Core Market:</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BE60E9">
        <w:trPr>
          <w:jc w:val="center"/>
        </w:trPr>
        <w:tc>
          <w:tcPr>
            <w:tcW w:w="0" w:type="auto"/>
            <w:gridSpan w:val="3"/>
            <w:shd w:val="clear" w:color="auto" w:fill="FFFFFF"/>
            <w:tcMar>
              <w:top w:w="30" w:type="dxa"/>
              <w:left w:w="24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Residential</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140 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140 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Commercial &amp; Industrial</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57 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57 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Large delivery service</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38 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38 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Off-system sales and capacity releases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9 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(24)</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Total Utility</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u w:val="single"/>
              </w:rPr>
              <w:t>Non-Utility:</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LPG:</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Retail</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880 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478 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402 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Wholesale</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107 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48 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59 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Energy Marketing</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631 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(70)</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246 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455 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Midstream:</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Pipeline</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Peaking</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9 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14 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Electricity Generation</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72 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Total Non-Utility</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1,755 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(75)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728 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16"/>
                <w:szCs w:val="16"/>
              </w:rPr>
              <w:t>Total revenues from contracts with customers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2,004 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(99)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728 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Other revenues (b)</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29 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BE60E9">
        <w:trPr>
          <w:jc w:val="center"/>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16"/>
                <w:szCs w:val="16"/>
              </w:rPr>
              <w:t xml:space="preserve">Total revenues </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2,033 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(99)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738 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274 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bl>
    <w:p w:rsidR="00000000" w:rsidRDefault="00BE60E9">
      <w:pPr>
        <w:jc w:val="center"/>
        <w:divId w:val="1779136196"/>
        <w:rPr>
          <w:rFonts w:eastAsia="Times New Roman"/>
        </w:rPr>
      </w:pPr>
      <w:r>
        <w:rPr>
          <w:rFonts w:eastAsia="Times New Roman"/>
          <w:color w:val="000000"/>
          <w:sz w:val="20"/>
          <w:szCs w:val="20"/>
        </w:rPr>
        <w:t>13</w:t>
      </w:r>
    </w:p>
    <w:p w:rsidR="00000000" w:rsidRDefault="00BE60E9">
      <w:pPr>
        <w:rPr>
          <w:rFonts w:eastAsia="Times New Roman"/>
        </w:rPr>
      </w:pPr>
      <w:r>
        <w:rPr>
          <w:rFonts w:eastAsia="Times New Roman"/>
        </w:rPr>
        <w:pict>
          <v:rect id="_x0000_i1039" style="width:0;height:1.5pt" o:hralign="center" o:hrstd="t" o:hr="t" fillcolor="#a0a0a0" stroked="f"/>
        </w:pict>
      </w:r>
    </w:p>
    <w:p w:rsidR="00000000" w:rsidRDefault="00BE60E9">
      <w:pPr>
        <w:divId w:val="804782652"/>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1587031913"/>
        <w:rPr>
          <w:rFonts w:eastAsia="Times New Roman"/>
        </w:rPr>
      </w:pPr>
      <w:r>
        <w:rPr>
          <w:rFonts w:eastAsia="Times New Roman"/>
          <w:b/>
          <w:bCs/>
          <w:color w:val="000000"/>
          <w:sz w:val="20"/>
          <w:szCs w:val="20"/>
        </w:rPr>
        <w:t>UGI CORPORATION AND SUBSIDIARIES</w:t>
      </w:r>
    </w:p>
    <w:p w:rsidR="00000000" w:rsidRDefault="00BE60E9">
      <w:pPr>
        <w:jc w:val="center"/>
        <w:divId w:val="804393457"/>
        <w:rPr>
          <w:rFonts w:eastAsia="Times New Roman"/>
        </w:rPr>
      </w:pPr>
      <w:r>
        <w:rPr>
          <w:rFonts w:eastAsia="Times New Roman"/>
          <w:b/>
          <w:bCs/>
          <w:color w:val="000000"/>
          <w:sz w:val="20"/>
          <w:szCs w:val="20"/>
          <w:u w:val="single"/>
        </w:rPr>
        <w:t>Notes to Condensed Consolidated Financial Statements</w:t>
      </w:r>
    </w:p>
    <w:p w:rsidR="00000000" w:rsidRDefault="00BE60E9">
      <w:pPr>
        <w:jc w:val="center"/>
        <w:divId w:val="1587031913"/>
        <w:rPr>
          <w:rFonts w:eastAsia="Times New Roman"/>
        </w:rPr>
      </w:pPr>
      <w:r>
        <w:rPr>
          <w:rFonts w:eastAsia="Times New Roman"/>
          <w:color w:val="000000"/>
          <w:sz w:val="20"/>
          <w:szCs w:val="20"/>
        </w:rPr>
        <w:t>(unaudited)</w:t>
      </w:r>
    </w:p>
    <w:p w:rsidR="00000000" w:rsidRDefault="00BE60E9">
      <w:pPr>
        <w:jc w:val="center"/>
        <w:divId w:val="1587031913"/>
        <w:rPr>
          <w:rFonts w:eastAsia="Times New Roman"/>
        </w:rPr>
      </w:pPr>
      <w:r>
        <w:rPr>
          <w:rFonts w:eastAsia="Times New Roman"/>
          <w:color w:val="000000"/>
          <w:sz w:val="20"/>
          <w:szCs w:val="20"/>
        </w:rPr>
        <w:t>(Currency in millions, except per share amounts and where indicated otherwise)</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067"/>
        <w:gridCol w:w="39"/>
        <w:gridCol w:w="36"/>
        <w:gridCol w:w="36"/>
        <w:gridCol w:w="36"/>
        <w:gridCol w:w="100"/>
        <w:gridCol w:w="408"/>
        <w:gridCol w:w="36"/>
        <w:gridCol w:w="36"/>
        <w:gridCol w:w="36"/>
        <w:gridCol w:w="36"/>
        <w:gridCol w:w="101"/>
        <w:gridCol w:w="800"/>
        <w:gridCol w:w="36"/>
        <w:gridCol w:w="36"/>
        <w:gridCol w:w="36"/>
        <w:gridCol w:w="36"/>
        <w:gridCol w:w="101"/>
        <w:gridCol w:w="647"/>
        <w:gridCol w:w="36"/>
        <w:gridCol w:w="36"/>
        <w:gridCol w:w="36"/>
        <w:gridCol w:w="36"/>
        <w:gridCol w:w="101"/>
        <w:gridCol w:w="762"/>
        <w:gridCol w:w="36"/>
        <w:gridCol w:w="36"/>
        <w:gridCol w:w="36"/>
        <w:gridCol w:w="36"/>
        <w:gridCol w:w="101"/>
        <w:gridCol w:w="684"/>
        <w:gridCol w:w="36"/>
        <w:gridCol w:w="36"/>
        <w:gridCol w:w="36"/>
        <w:gridCol w:w="36"/>
        <w:gridCol w:w="101"/>
        <w:gridCol w:w="517"/>
        <w:gridCol w:w="36"/>
        <w:gridCol w:w="36"/>
        <w:gridCol w:w="36"/>
        <w:gridCol w:w="36"/>
        <w:gridCol w:w="101"/>
        <w:gridCol w:w="628"/>
        <w:gridCol w:w="36"/>
      </w:tblGrid>
      <w:tr w:rsidR="00000000">
        <w:trPr>
          <w:jc w:val="center"/>
        </w:trPr>
        <w:tc>
          <w:tcPr>
            <w:tcW w:w="50" w:type="pct"/>
            <w:vAlign w:val="center"/>
            <w:hideMark/>
          </w:tcPr>
          <w:p w:rsidR="00000000" w:rsidRDefault="00BE60E9">
            <w:pPr>
              <w:jc w:val="center"/>
              <w:rPr>
                <w:rFonts w:eastAsia="Times New Roman"/>
              </w:rPr>
            </w:pPr>
          </w:p>
        </w:tc>
        <w:tc>
          <w:tcPr>
            <w:tcW w:w="138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4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390"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4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48"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4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390"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4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34"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4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19"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4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36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4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37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16"/>
                <w:szCs w:val="16"/>
              </w:rPr>
              <w:t>Three Months Ended June 30, 2021</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 Total</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 Eliminations</w:t>
            </w:r>
            <w:r>
              <w:rPr>
                <w:rFonts w:eastAsia="Times New Roman"/>
                <w:color w:val="000000"/>
                <w:sz w:val="16"/>
                <w:szCs w:val="16"/>
              </w:rPr>
              <w:br/>
              <w:t xml:space="preserve">(a) </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 xml:space="preserve"> AmeriGas Propane </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 </w:t>
            </w:r>
            <w:r>
              <w:rPr>
                <w:rFonts w:eastAsia="Times New Roman"/>
                <w:color w:val="000000"/>
                <w:sz w:val="16"/>
                <w:szCs w:val="16"/>
              </w:rPr>
              <w:t xml:space="preserve">UGI International </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 Midstream &amp; Marketing</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 Utilities</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 Corporate &amp; Other</w:t>
            </w:r>
          </w:p>
        </w:tc>
      </w:tr>
      <w:tr w:rsidR="00000000">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16"/>
                <w:szCs w:val="16"/>
              </w:rPr>
              <w:t>Revenues from contracts with customers: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u w:val="single"/>
              </w:rPr>
              <w:t>Utility:</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Core Market:</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BE60E9">
        <w:trPr>
          <w:jc w:val="center"/>
        </w:trPr>
        <w:tc>
          <w:tcPr>
            <w:tcW w:w="0" w:type="auto"/>
            <w:gridSpan w:val="3"/>
            <w:shd w:val="clear" w:color="auto" w:fill="FFFFFF"/>
            <w:tcMar>
              <w:top w:w="30" w:type="dxa"/>
              <w:left w:w="24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Residential</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90 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90 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Commercial &amp; Industrial</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34 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34 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Large delivery service</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Off-system sales and capacity releases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6 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(10)</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16 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 xml:space="preserve">Other </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Total Utility</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u w:val="single"/>
              </w:rPr>
              <w:t>Non-Utility:</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LPG:</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Retail</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800 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424 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376 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Wholesale</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77 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35 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42 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Energy Marketing</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311 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(24)</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129 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206 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Midstream:</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Pipeline</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45 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45 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Peaking</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6 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Electricity Generation</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69 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18 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Total Non-Utility</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1,306 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16"/>
                <w:szCs w:val="16"/>
              </w:rPr>
              <w:t>Total revenues from contracts with customers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1,474 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Other revenues (b)</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22 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16 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7 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(4)</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BE60E9">
        <w:trPr>
          <w:jc w:val="center"/>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16"/>
                <w:szCs w:val="16"/>
              </w:rPr>
              <w:t>Total revenues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1,496 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(40)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261 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bl>
    <w:p w:rsidR="00000000" w:rsidRDefault="00BE60E9">
      <w:pPr>
        <w:jc w:val="center"/>
        <w:divId w:val="814489931"/>
        <w:rPr>
          <w:rFonts w:eastAsia="Times New Roman"/>
        </w:rPr>
      </w:pPr>
      <w:r>
        <w:rPr>
          <w:rFonts w:eastAsia="Times New Roman"/>
          <w:color w:val="000000"/>
          <w:sz w:val="20"/>
          <w:szCs w:val="20"/>
        </w:rPr>
        <w:t>14</w:t>
      </w:r>
    </w:p>
    <w:p w:rsidR="00000000" w:rsidRDefault="00BE60E9">
      <w:pPr>
        <w:rPr>
          <w:rFonts w:eastAsia="Times New Roman"/>
        </w:rPr>
      </w:pPr>
      <w:r>
        <w:rPr>
          <w:rFonts w:eastAsia="Times New Roman"/>
        </w:rPr>
        <w:pict>
          <v:rect id="_x0000_i1040" style="width:0;height:1.5pt" o:hralign="center" o:hrstd="t" o:hr="t" fillcolor="#a0a0a0" stroked="f"/>
        </w:pict>
      </w:r>
    </w:p>
    <w:p w:rsidR="00000000" w:rsidRDefault="00BE60E9">
      <w:pPr>
        <w:divId w:val="177160915"/>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516240879"/>
        <w:rPr>
          <w:rFonts w:eastAsia="Times New Roman"/>
        </w:rPr>
      </w:pPr>
      <w:r>
        <w:rPr>
          <w:rFonts w:eastAsia="Times New Roman"/>
          <w:b/>
          <w:bCs/>
          <w:color w:val="000000"/>
          <w:sz w:val="20"/>
          <w:szCs w:val="20"/>
        </w:rPr>
        <w:t>UGI CORPORATION AND SUBSIDIARIES</w:t>
      </w:r>
    </w:p>
    <w:p w:rsidR="00000000" w:rsidRDefault="00BE60E9">
      <w:pPr>
        <w:jc w:val="center"/>
        <w:divId w:val="644743522"/>
        <w:rPr>
          <w:rFonts w:eastAsia="Times New Roman"/>
        </w:rPr>
      </w:pPr>
      <w:r>
        <w:rPr>
          <w:rFonts w:eastAsia="Times New Roman"/>
          <w:b/>
          <w:bCs/>
          <w:color w:val="000000"/>
          <w:sz w:val="20"/>
          <w:szCs w:val="20"/>
          <w:u w:val="single"/>
        </w:rPr>
        <w:t>Notes to Condensed Consolidated Financial Statements</w:t>
      </w:r>
    </w:p>
    <w:p w:rsidR="00000000" w:rsidRDefault="00BE60E9">
      <w:pPr>
        <w:jc w:val="center"/>
        <w:divId w:val="516240879"/>
        <w:rPr>
          <w:rFonts w:eastAsia="Times New Roman"/>
        </w:rPr>
      </w:pPr>
      <w:r>
        <w:rPr>
          <w:rFonts w:eastAsia="Times New Roman"/>
          <w:color w:val="000000"/>
          <w:sz w:val="20"/>
          <w:szCs w:val="20"/>
        </w:rPr>
        <w:t>(unaudited)</w:t>
      </w:r>
    </w:p>
    <w:p w:rsidR="00000000" w:rsidRDefault="00BE60E9">
      <w:pPr>
        <w:jc w:val="center"/>
        <w:divId w:val="516240879"/>
        <w:rPr>
          <w:rFonts w:eastAsia="Times New Roman"/>
        </w:rPr>
      </w:pPr>
      <w:r>
        <w:rPr>
          <w:rFonts w:eastAsia="Times New Roman"/>
          <w:color w:val="000000"/>
          <w:sz w:val="20"/>
          <w:szCs w:val="20"/>
        </w:rPr>
        <w:t>(Currency in millions, except per share amounts and where indicated otherwise)</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066"/>
        <w:gridCol w:w="39"/>
        <w:gridCol w:w="36"/>
        <w:gridCol w:w="36"/>
        <w:gridCol w:w="36"/>
        <w:gridCol w:w="100"/>
        <w:gridCol w:w="408"/>
        <w:gridCol w:w="36"/>
        <w:gridCol w:w="36"/>
        <w:gridCol w:w="36"/>
        <w:gridCol w:w="36"/>
        <w:gridCol w:w="101"/>
        <w:gridCol w:w="800"/>
        <w:gridCol w:w="36"/>
        <w:gridCol w:w="36"/>
        <w:gridCol w:w="36"/>
        <w:gridCol w:w="36"/>
        <w:gridCol w:w="101"/>
        <w:gridCol w:w="645"/>
        <w:gridCol w:w="36"/>
        <w:gridCol w:w="36"/>
        <w:gridCol w:w="36"/>
        <w:gridCol w:w="36"/>
        <w:gridCol w:w="101"/>
        <w:gridCol w:w="762"/>
        <w:gridCol w:w="36"/>
        <w:gridCol w:w="36"/>
        <w:gridCol w:w="36"/>
        <w:gridCol w:w="36"/>
        <w:gridCol w:w="101"/>
        <w:gridCol w:w="684"/>
        <w:gridCol w:w="36"/>
        <w:gridCol w:w="36"/>
        <w:gridCol w:w="36"/>
        <w:gridCol w:w="36"/>
        <w:gridCol w:w="101"/>
        <w:gridCol w:w="520"/>
        <w:gridCol w:w="36"/>
        <w:gridCol w:w="36"/>
        <w:gridCol w:w="36"/>
        <w:gridCol w:w="36"/>
        <w:gridCol w:w="101"/>
        <w:gridCol w:w="628"/>
        <w:gridCol w:w="36"/>
      </w:tblGrid>
      <w:tr w:rsidR="00000000">
        <w:trPr>
          <w:jc w:val="center"/>
        </w:trPr>
        <w:tc>
          <w:tcPr>
            <w:tcW w:w="50" w:type="pct"/>
            <w:vAlign w:val="center"/>
            <w:hideMark/>
          </w:tcPr>
          <w:p w:rsidR="00000000" w:rsidRDefault="00BE60E9">
            <w:pPr>
              <w:jc w:val="center"/>
              <w:rPr>
                <w:rFonts w:eastAsia="Times New Roman"/>
              </w:rPr>
            </w:pPr>
          </w:p>
        </w:tc>
        <w:tc>
          <w:tcPr>
            <w:tcW w:w="1380"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4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389"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4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47"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4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38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4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33"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4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18"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4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37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4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37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16"/>
                <w:szCs w:val="16"/>
              </w:rPr>
              <w:t>Nine Months Ended June 30, 2022</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 Total</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 Eliminations</w:t>
            </w:r>
            <w:r>
              <w:rPr>
                <w:rFonts w:eastAsia="Times New Roman"/>
                <w:color w:val="000000"/>
                <w:sz w:val="16"/>
                <w:szCs w:val="16"/>
              </w:rPr>
              <w:br/>
              <w:t xml:space="preserve">(a) </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 xml:space="preserve"> AmeriGas Propane </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 xml:space="preserve"> UGI International </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 Midstream &amp; Marketing</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 Utilities</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 Corporate &amp; Other</w:t>
            </w:r>
          </w:p>
        </w:tc>
      </w:tr>
      <w:tr w:rsidR="00000000">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16"/>
                <w:szCs w:val="16"/>
              </w:rPr>
              <w:t>Revenues from contracts with customers: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u w:val="single"/>
              </w:rPr>
              <w:t>Utility:</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Core Market:</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BE60E9">
        <w:trPr>
          <w:jc w:val="center"/>
        </w:trPr>
        <w:tc>
          <w:tcPr>
            <w:tcW w:w="0" w:type="auto"/>
            <w:gridSpan w:val="3"/>
            <w:shd w:val="clear" w:color="auto" w:fill="FFFFFF"/>
            <w:tcMar>
              <w:top w:w="30" w:type="dxa"/>
              <w:left w:w="24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Residential</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774 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774 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Commercial &amp; Industrial</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318 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318 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Large delivery service</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135 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135 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Off-system sales and capacity releases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65 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(86)</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151 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17 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18 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Total Utility</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1,309 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1,396 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u w:val="single"/>
              </w:rPr>
              <w:t>Non-Utility:</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LPG:</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Retail</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3,684 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2,032 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1,652 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Wholesale</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401 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172 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229 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Energy Marketing</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2,254 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(206)</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1,045 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1,415 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Midstream:</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Pipeline</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149 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149 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Peaking</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38 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(101)</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139 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6 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6 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Electricity Generation</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221 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163 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58 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Total Non-Utility</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6,773 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2,367 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2,984 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1,729 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16"/>
                <w:szCs w:val="16"/>
              </w:rPr>
              <w:t>Total revenues from contracts with customers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8,082 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(394)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2,367 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2,984 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1,729 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1,396 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Other revenues (b)</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90 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56 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27 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BE60E9">
        <w:trPr>
          <w:jc w:val="center"/>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16"/>
                <w:szCs w:val="16"/>
              </w:rPr>
              <w:t>Total revenues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8,172 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(396)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2,423 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3,011 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1,731 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1,400 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bl>
    <w:p w:rsidR="00000000" w:rsidRDefault="00BE60E9">
      <w:pPr>
        <w:jc w:val="center"/>
        <w:divId w:val="1066223916"/>
        <w:rPr>
          <w:rFonts w:eastAsia="Times New Roman"/>
        </w:rPr>
      </w:pPr>
      <w:r>
        <w:rPr>
          <w:rFonts w:eastAsia="Times New Roman"/>
          <w:color w:val="000000"/>
          <w:sz w:val="20"/>
          <w:szCs w:val="20"/>
        </w:rPr>
        <w:t>15</w:t>
      </w:r>
    </w:p>
    <w:p w:rsidR="00000000" w:rsidRDefault="00BE60E9">
      <w:pPr>
        <w:rPr>
          <w:rFonts w:eastAsia="Times New Roman"/>
        </w:rPr>
      </w:pPr>
      <w:r>
        <w:rPr>
          <w:rFonts w:eastAsia="Times New Roman"/>
        </w:rPr>
        <w:pict>
          <v:rect id="_x0000_i1041" style="width:0;height:1.5pt" o:hralign="center" o:hrstd="t" o:hr="t" fillcolor="#a0a0a0" stroked="f"/>
        </w:pict>
      </w:r>
    </w:p>
    <w:p w:rsidR="00000000" w:rsidRDefault="00BE60E9">
      <w:pPr>
        <w:divId w:val="349180593"/>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24601802"/>
        <w:rPr>
          <w:rFonts w:eastAsia="Times New Roman"/>
        </w:rPr>
      </w:pPr>
      <w:r>
        <w:rPr>
          <w:rFonts w:eastAsia="Times New Roman"/>
          <w:b/>
          <w:bCs/>
          <w:color w:val="000000"/>
          <w:sz w:val="20"/>
          <w:szCs w:val="20"/>
        </w:rPr>
        <w:t>UGI CORPORATION AND SUBSIDIARIES</w:t>
      </w:r>
    </w:p>
    <w:p w:rsidR="00000000" w:rsidRDefault="00BE60E9">
      <w:pPr>
        <w:jc w:val="center"/>
        <w:divId w:val="568149731"/>
        <w:rPr>
          <w:rFonts w:eastAsia="Times New Roman"/>
        </w:rPr>
      </w:pPr>
      <w:r>
        <w:rPr>
          <w:rFonts w:eastAsia="Times New Roman"/>
          <w:b/>
          <w:bCs/>
          <w:color w:val="000000"/>
          <w:sz w:val="20"/>
          <w:szCs w:val="20"/>
          <w:u w:val="single"/>
        </w:rPr>
        <w:t>Notes to Condensed Consolidated Financial Statements</w:t>
      </w:r>
    </w:p>
    <w:p w:rsidR="00000000" w:rsidRDefault="00BE60E9">
      <w:pPr>
        <w:jc w:val="center"/>
        <w:divId w:val="24601802"/>
        <w:rPr>
          <w:rFonts w:eastAsia="Times New Roman"/>
        </w:rPr>
      </w:pPr>
      <w:r>
        <w:rPr>
          <w:rFonts w:eastAsia="Times New Roman"/>
          <w:color w:val="000000"/>
          <w:sz w:val="20"/>
          <w:szCs w:val="20"/>
        </w:rPr>
        <w:t>(unaudited)</w:t>
      </w:r>
    </w:p>
    <w:p w:rsidR="00000000" w:rsidRDefault="00BE60E9">
      <w:pPr>
        <w:jc w:val="center"/>
        <w:divId w:val="24601802"/>
        <w:rPr>
          <w:rFonts w:eastAsia="Times New Roman"/>
        </w:rPr>
      </w:pPr>
      <w:r>
        <w:rPr>
          <w:rFonts w:eastAsia="Times New Roman"/>
          <w:color w:val="000000"/>
          <w:sz w:val="20"/>
          <w:szCs w:val="20"/>
        </w:rPr>
        <w:t>(Currency in millions, except per share amounts and where indicated otherwise)</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068"/>
        <w:gridCol w:w="39"/>
        <w:gridCol w:w="36"/>
        <w:gridCol w:w="36"/>
        <w:gridCol w:w="36"/>
        <w:gridCol w:w="100"/>
        <w:gridCol w:w="408"/>
        <w:gridCol w:w="36"/>
        <w:gridCol w:w="36"/>
        <w:gridCol w:w="36"/>
        <w:gridCol w:w="36"/>
        <w:gridCol w:w="101"/>
        <w:gridCol w:w="800"/>
        <w:gridCol w:w="36"/>
        <w:gridCol w:w="36"/>
        <w:gridCol w:w="36"/>
        <w:gridCol w:w="36"/>
        <w:gridCol w:w="101"/>
        <w:gridCol w:w="645"/>
        <w:gridCol w:w="36"/>
        <w:gridCol w:w="36"/>
        <w:gridCol w:w="36"/>
        <w:gridCol w:w="36"/>
        <w:gridCol w:w="101"/>
        <w:gridCol w:w="762"/>
        <w:gridCol w:w="36"/>
        <w:gridCol w:w="36"/>
        <w:gridCol w:w="36"/>
        <w:gridCol w:w="36"/>
        <w:gridCol w:w="101"/>
        <w:gridCol w:w="684"/>
        <w:gridCol w:w="36"/>
        <w:gridCol w:w="36"/>
        <w:gridCol w:w="36"/>
        <w:gridCol w:w="36"/>
        <w:gridCol w:w="101"/>
        <w:gridCol w:w="517"/>
        <w:gridCol w:w="36"/>
        <w:gridCol w:w="36"/>
        <w:gridCol w:w="36"/>
        <w:gridCol w:w="36"/>
        <w:gridCol w:w="101"/>
        <w:gridCol w:w="629"/>
        <w:gridCol w:w="36"/>
      </w:tblGrid>
      <w:tr w:rsidR="00000000">
        <w:trPr>
          <w:jc w:val="center"/>
        </w:trPr>
        <w:tc>
          <w:tcPr>
            <w:tcW w:w="50" w:type="pct"/>
            <w:vAlign w:val="center"/>
            <w:hideMark/>
          </w:tcPr>
          <w:p w:rsidR="00000000" w:rsidRDefault="00BE60E9">
            <w:pPr>
              <w:jc w:val="center"/>
              <w:rPr>
                <w:rFonts w:eastAsia="Times New Roman"/>
              </w:rPr>
            </w:pPr>
          </w:p>
        </w:tc>
        <w:tc>
          <w:tcPr>
            <w:tcW w:w="138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4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390"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4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48"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4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38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4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34"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4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19"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4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36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4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383"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16"/>
                <w:szCs w:val="16"/>
              </w:rPr>
              <w:t>Nine Months Ended June 30, 2021</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 Total</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 Eliminations</w:t>
            </w:r>
            <w:r>
              <w:rPr>
                <w:rFonts w:eastAsia="Times New Roman"/>
                <w:color w:val="000000"/>
                <w:sz w:val="16"/>
                <w:szCs w:val="16"/>
              </w:rPr>
              <w:br/>
              <w:t xml:space="preserve">(a) </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 xml:space="preserve"> AmeriGas Propane </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 </w:t>
            </w:r>
            <w:r>
              <w:rPr>
                <w:rFonts w:eastAsia="Times New Roman"/>
                <w:color w:val="000000"/>
                <w:sz w:val="16"/>
                <w:szCs w:val="16"/>
              </w:rPr>
              <w:t xml:space="preserve">UGI International </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 Midstream &amp; Marketing</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 Utilities</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 Corporate &amp; Other</w:t>
            </w:r>
          </w:p>
        </w:tc>
      </w:tr>
      <w:tr w:rsidR="00000000">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16"/>
                <w:szCs w:val="16"/>
              </w:rPr>
              <w:t>Revenues from contracts with customers: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u w:val="single"/>
              </w:rPr>
              <w:t>Utility:</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Core Market:</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BE60E9">
        <w:trPr>
          <w:jc w:val="center"/>
        </w:trPr>
        <w:tc>
          <w:tcPr>
            <w:tcW w:w="0" w:type="auto"/>
            <w:gridSpan w:val="3"/>
            <w:shd w:val="clear" w:color="auto" w:fill="FFFFFF"/>
            <w:tcMar>
              <w:top w:w="30" w:type="dxa"/>
              <w:left w:w="24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Residential</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498 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498 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Commercial &amp; Industrial</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190 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190 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Large delivery service</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117 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117 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Off-system sales and capacity releases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43 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(49)</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92 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16 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17 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Total Utility</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864 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914 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u w:val="single"/>
              </w:rPr>
              <w:t>Non-Utility:</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LPG:</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Retail</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3,250 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1,829 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1,421 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Wholesale</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235 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92 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143 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Energy Marketing</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1,205 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(89)</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470 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824 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Midstream:</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Pipeline</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138 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138 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Peaking</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12 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(94)</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106 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6 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6 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Electricity Generation</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8 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8 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211 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161 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Total Non-Utility</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5,065 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(183)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2,082 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2,084 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1,082 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16"/>
                <w:szCs w:val="16"/>
              </w:rPr>
              <w:t>Total revenues from contracts with customers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5,929 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(233)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2,082 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2,084 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1,082 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914 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Other revenues (b)</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80 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22 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9 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BE60E9">
        <w:trPr>
          <w:jc w:val="center"/>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16"/>
                <w:szCs w:val="16"/>
              </w:rPr>
              <w:t>Total revenues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6,009 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(236)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2,132 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2,106 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1,086 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923 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bl>
    <w:p w:rsidR="00000000" w:rsidRDefault="00BE60E9">
      <w:pPr>
        <w:divId w:val="1569220156"/>
        <w:rPr>
          <w:rFonts w:eastAsia="Times New Roman"/>
        </w:rPr>
      </w:pPr>
    </w:p>
    <w:p w:rsidR="00000000" w:rsidRDefault="00BE60E9">
      <w:pPr>
        <w:ind w:hanging="360"/>
        <w:divId w:val="875000215"/>
        <w:rPr>
          <w:rFonts w:eastAsia="Times New Roman"/>
        </w:rPr>
      </w:pPr>
      <w:r>
        <w:rPr>
          <w:rFonts w:eastAsia="Times New Roman"/>
          <w:color w:val="000000"/>
          <w:sz w:val="20"/>
          <w:szCs w:val="20"/>
        </w:rPr>
        <w:t>(a)Includes intersegment revenues principally among Midstream &amp; Marketing, Utilitie</w:t>
      </w:r>
      <w:r>
        <w:rPr>
          <w:rFonts w:eastAsia="Times New Roman"/>
          <w:color w:val="000000"/>
          <w:sz w:val="20"/>
          <w:szCs w:val="20"/>
        </w:rPr>
        <w:t>s and AmeriGas Propane.</w:t>
      </w:r>
    </w:p>
    <w:p w:rsidR="00000000" w:rsidRDefault="00BE60E9">
      <w:pPr>
        <w:ind w:hanging="360"/>
        <w:jc w:val="both"/>
        <w:rPr>
          <w:rFonts w:eastAsia="Times New Roman"/>
        </w:rPr>
      </w:pPr>
      <w:r>
        <w:rPr>
          <w:rFonts w:eastAsia="Times New Roman"/>
          <w:color w:val="000000"/>
          <w:sz w:val="20"/>
          <w:szCs w:val="20"/>
        </w:rPr>
        <w:t>(b)Primarily represents revenues from tank rentals at AmeriGas Propane and UGI International, revenues from certain gathering assets at Midstream &amp; Marketing, revenues from alternative revenue programs at UGI Utilities and gains and</w:t>
      </w:r>
      <w:r>
        <w:rPr>
          <w:rFonts w:eastAsia="Times New Roman"/>
          <w:color w:val="000000"/>
          <w:sz w:val="20"/>
          <w:szCs w:val="20"/>
        </w:rPr>
        <w:t xml:space="preserve"> losses on commodity derivative instruments not associated with current-period transactions reflected in Corporate &amp; Other, none of which are within the scope of ASC 606 and are accounted for in accordance with other GAAP.</w:t>
      </w:r>
    </w:p>
    <w:p w:rsidR="00000000" w:rsidRDefault="00BE60E9">
      <w:pPr>
        <w:jc w:val="both"/>
        <w:rPr>
          <w:rFonts w:eastAsia="Times New Roman"/>
        </w:rPr>
      </w:pPr>
    </w:p>
    <w:p w:rsidR="00000000" w:rsidRDefault="00BE60E9">
      <w:pPr>
        <w:jc w:val="both"/>
        <w:divId w:val="1745254883"/>
        <w:rPr>
          <w:rFonts w:eastAsia="Times New Roman"/>
        </w:rPr>
      </w:pPr>
      <w:r>
        <w:rPr>
          <w:rFonts w:eastAsia="Times New Roman"/>
          <w:b/>
          <w:bCs/>
          <w:color w:val="000000"/>
          <w:sz w:val="20"/>
          <w:szCs w:val="20"/>
        </w:rPr>
        <w:t>Contract Balances</w:t>
      </w:r>
    </w:p>
    <w:p w:rsidR="00000000" w:rsidRDefault="00BE60E9">
      <w:pPr>
        <w:jc w:val="both"/>
        <w:divId w:val="357122775"/>
        <w:rPr>
          <w:rFonts w:eastAsia="Times New Roman"/>
        </w:rPr>
      </w:pPr>
      <w:r>
        <w:rPr>
          <w:rFonts w:eastAsia="Times New Roman"/>
          <w:color w:val="000000"/>
          <w:sz w:val="20"/>
          <w:szCs w:val="20"/>
        </w:rPr>
        <w:t xml:space="preserve">The timing of revenue recognition may differ from the timing of invoicing to customers or cash receipts. Contract assets represent our right to consideration after the performance obligations have been satisfied when such right is conditioned on something </w:t>
      </w:r>
      <w:r>
        <w:rPr>
          <w:rFonts w:eastAsia="Times New Roman"/>
          <w:color w:val="000000"/>
          <w:sz w:val="20"/>
          <w:szCs w:val="20"/>
        </w:rPr>
        <w:t>other than the passage of time. Contract assets were not material for all periods presented. Substantially all of our receivables are unconditional rights to consideration and are included in “Accounts receivable” and, in the case of Utilities, “Accrued ut</w:t>
      </w:r>
      <w:r>
        <w:rPr>
          <w:rFonts w:eastAsia="Times New Roman"/>
          <w:color w:val="000000"/>
          <w:sz w:val="20"/>
          <w:szCs w:val="20"/>
        </w:rPr>
        <w:t xml:space="preserve">ility revenues” on the Condensed Consolidated Balance Sheets. Amounts billed are generally due within the following month. </w:t>
      </w:r>
    </w:p>
    <w:p w:rsidR="00000000" w:rsidRDefault="00BE60E9">
      <w:pPr>
        <w:jc w:val="both"/>
        <w:rPr>
          <w:rFonts w:eastAsia="Times New Roman"/>
        </w:rPr>
      </w:pPr>
      <w:r>
        <w:rPr>
          <w:rFonts w:eastAsia="Times New Roman"/>
          <w:color w:val="000000"/>
          <w:sz w:val="20"/>
          <w:szCs w:val="20"/>
        </w:rPr>
        <w:t>Contract liabilities arise when payment from a customer is received before the performance obligations have been satisfied and repre</w:t>
      </w:r>
      <w:r>
        <w:rPr>
          <w:rFonts w:eastAsia="Times New Roman"/>
          <w:color w:val="000000"/>
          <w:sz w:val="20"/>
          <w:szCs w:val="20"/>
        </w:rPr>
        <w:t>sent the Company’s obligations to transfer goods or services to a customer for which we have received consideration. The balances of contract liabilities were $128, $149 and $109 at June 30, 2022, September 30, 2021 and June 30, 2021, respectively, and are</w:t>
      </w:r>
      <w:r>
        <w:rPr>
          <w:rFonts w:eastAsia="Times New Roman"/>
          <w:color w:val="000000"/>
          <w:sz w:val="20"/>
          <w:szCs w:val="20"/>
        </w:rPr>
        <w:t xml:space="preserve"> included in “Other current liabilities” and “Other noncurrent liabilities” on the Condensed Consolidated Balance Sheets. Revenues recognized for the nine months ended June 30, 2022 and 2021, from the amounts included in contract liabilities at September 3</w:t>
      </w:r>
      <w:r>
        <w:rPr>
          <w:rFonts w:eastAsia="Times New Roman"/>
          <w:color w:val="000000"/>
          <w:sz w:val="20"/>
          <w:szCs w:val="20"/>
        </w:rPr>
        <w:t xml:space="preserve">0, 2021 and 2020, were $117 and $137, respectively. </w:t>
      </w:r>
    </w:p>
    <w:p w:rsidR="00000000" w:rsidRDefault="00BE60E9">
      <w:pPr>
        <w:jc w:val="both"/>
        <w:rPr>
          <w:rFonts w:eastAsia="Times New Roman"/>
        </w:rPr>
      </w:pPr>
    </w:p>
    <w:p w:rsidR="00000000" w:rsidRDefault="00BE60E9">
      <w:pPr>
        <w:jc w:val="center"/>
        <w:divId w:val="1433085239"/>
        <w:rPr>
          <w:rFonts w:eastAsia="Times New Roman"/>
        </w:rPr>
      </w:pPr>
      <w:r>
        <w:rPr>
          <w:rFonts w:eastAsia="Times New Roman"/>
          <w:color w:val="000000"/>
          <w:sz w:val="20"/>
          <w:szCs w:val="20"/>
        </w:rPr>
        <w:t>16</w:t>
      </w:r>
    </w:p>
    <w:p w:rsidR="00000000" w:rsidRDefault="00BE60E9">
      <w:pPr>
        <w:rPr>
          <w:rFonts w:eastAsia="Times New Roman"/>
        </w:rPr>
      </w:pPr>
      <w:r>
        <w:rPr>
          <w:rFonts w:eastAsia="Times New Roman"/>
        </w:rPr>
        <w:pict>
          <v:rect id="_x0000_i1042" style="width:0;height:1.5pt" o:hralign="center" o:hrstd="t" o:hr="t" fillcolor="#a0a0a0" stroked="f"/>
        </w:pict>
      </w:r>
    </w:p>
    <w:p w:rsidR="00000000" w:rsidRDefault="00BE60E9">
      <w:pPr>
        <w:divId w:val="794065138"/>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1512988883"/>
        <w:rPr>
          <w:rFonts w:eastAsia="Times New Roman"/>
        </w:rPr>
      </w:pPr>
      <w:r>
        <w:rPr>
          <w:rFonts w:eastAsia="Times New Roman"/>
          <w:b/>
          <w:bCs/>
          <w:color w:val="000000"/>
          <w:sz w:val="20"/>
          <w:szCs w:val="20"/>
        </w:rPr>
        <w:t>UGI CORPORATION AND SUBSIDIARIES</w:t>
      </w:r>
    </w:p>
    <w:p w:rsidR="00000000" w:rsidRDefault="00BE60E9">
      <w:pPr>
        <w:jc w:val="center"/>
        <w:divId w:val="350693601"/>
        <w:rPr>
          <w:rFonts w:eastAsia="Times New Roman"/>
        </w:rPr>
      </w:pPr>
      <w:r>
        <w:rPr>
          <w:rFonts w:eastAsia="Times New Roman"/>
          <w:b/>
          <w:bCs/>
          <w:color w:val="000000"/>
          <w:sz w:val="20"/>
          <w:szCs w:val="20"/>
          <w:u w:val="single"/>
        </w:rPr>
        <w:t>Notes to Condensed Consolidated Financial Statements</w:t>
      </w:r>
    </w:p>
    <w:p w:rsidR="00000000" w:rsidRDefault="00BE60E9">
      <w:pPr>
        <w:jc w:val="center"/>
        <w:divId w:val="1512988883"/>
        <w:rPr>
          <w:rFonts w:eastAsia="Times New Roman"/>
        </w:rPr>
      </w:pPr>
      <w:r>
        <w:rPr>
          <w:rFonts w:eastAsia="Times New Roman"/>
          <w:color w:val="000000"/>
          <w:sz w:val="20"/>
          <w:szCs w:val="20"/>
        </w:rPr>
        <w:t>(unaudited)</w:t>
      </w:r>
    </w:p>
    <w:p w:rsidR="00000000" w:rsidRDefault="00BE60E9">
      <w:pPr>
        <w:jc w:val="center"/>
        <w:divId w:val="1512988883"/>
        <w:rPr>
          <w:rFonts w:eastAsia="Times New Roman"/>
        </w:rPr>
      </w:pPr>
      <w:r>
        <w:rPr>
          <w:rFonts w:eastAsia="Times New Roman"/>
          <w:color w:val="000000"/>
          <w:sz w:val="20"/>
          <w:szCs w:val="20"/>
        </w:rPr>
        <w:t>(Currency in millions, except per share amounts and where indicated otherwise)</w:t>
      </w:r>
    </w:p>
    <w:p w:rsidR="00000000" w:rsidRDefault="00BE60E9">
      <w:pPr>
        <w:jc w:val="both"/>
        <w:divId w:val="351297842"/>
        <w:rPr>
          <w:rFonts w:eastAsia="Times New Roman"/>
        </w:rPr>
      </w:pPr>
      <w:r>
        <w:rPr>
          <w:rFonts w:eastAsia="Times New Roman"/>
          <w:b/>
          <w:bCs/>
          <w:color w:val="000000"/>
          <w:sz w:val="20"/>
          <w:szCs w:val="20"/>
        </w:rPr>
        <w:t>Remaining Performance Obligations</w:t>
      </w:r>
    </w:p>
    <w:p w:rsidR="00000000" w:rsidRDefault="00BE60E9">
      <w:pPr>
        <w:jc w:val="both"/>
        <w:rPr>
          <w:rFonts w:eastAsia="Times New Roman"/>
        </w:rPr>
      </w:pPr>
      <w:r>
        <w:rPr>
          <w:rFonts w:eastAsia="Times New Roman"/>
          <w:color w:val="000000"/>
          <w:sz w:val="20"/>
          <w:szCs w:val="20"/>
        </w:rPr>
        <w:t>The Company excludes disclosures related to the aggregate amount of the transaction price allocated to certain performance obligati</w:t>
      </w:r>
      <w:r>
        <w:rPr>
          <w:rFonts w:eastAsia="Times New Roman"/>
          <w:color w:val="000000"/>
          <w:sz w:val="20"/>
          <w:szCs w:val="20"/>
        </w:rPr>
        <w:t xml:space="preserve">ons that are unsatisfied as of the end of the reporting period because these contracts have an initial expected term of one year or less, or we have a right to bill the customer in an amount that corresponds directly with the value of services provided to </w:t>
      </w:r>
      <w:r>
        <w:rPr>
          <w:rFonts w:eastAsia="Times New Roman"/>
          <w:color w:val="000000"/>
          <w:sz w:val="20"/>
          <w:szCs w:val="20"/>
        </w:rPr>
        <w:t>the customer to date. Certain contracts with customers at Midstream &amp; Marketing and Utilities contain minimum future performance obligations through 2047 and 2053, respectively. At June 30, 2022, Midstream &amp; Marketing and Utilities expect to record approxi</w:t>
      </w:r>
      <w:r>
        <w:rPr>
          <w:rFonts w:eastAsia="Times New Roman"/>
          <w:color w:val="000000"/>
          <w:sz w:val="20"/>
          <w:szCs w:val="20"/>
        </w:rPr>
        <w:t>mately $2.3 billion and $0.2 billion of revenues, respectively, related to the minimum future performance obligations over the remaining terms of the related contracts.</w:t>
      </w:r>
    </w:p>
    <w:p w:rsidR="00000000" w:rsidRDefault="00BE60E9">
      <w:pPr>
        <w:jc w:val="both"/>
        <w:rPr>
          <w:rFonts w:eastAsia="Times New Roman"/>
        </w:rPr>
      </w:pPr>
    </w:p>
    <w:p w:rsidR="00000000" w:rsidRDefault="00BE60E9">
      <w:pPr>
        <w:divId w:val="1902784475"/>
        <w:rPr>
          <w:rFonts w:eastAsia="Times New Roman"/>
        </w:rPr>
      </w:pPr>
      <w:r>
        <w:rPr>
          <w:rFonts w:eastAsia="Times New Roman"/>
          <w:b/>
          <w:bCs/>
          <w:color w:val="000000"/>
          <w:sz w:val="20"/>
          <w:szCs w:val="20"/>
          <w:u w:val="single"/>
        </w:rPr>
        <w:t>Note 5 — Acquisitions</w:t>
      </w:r>
    </w:p>
    <w:p w:rsidR="00000000" w:rsidRDefault="00BE60E9">
      <w:pPr>
        <w:divId w:val="1789815259"/>
        <w:rPr>
          <w:rFonts w:eastAsia="Times New Roman"/>
        </w:rPr>
      </w:pPr>
    </w:p>
    <w:p w:rsidR="00000000" w:rsidRDefault="00BE60E9">
      <w:pPr>
        <w:jc w:val="both"/>
        <w:rPr>
          <w:rFonts w:eastAsia="Times New Roman"/>
        </w:rPr>
      </w:pPr>
      <w:r>
        <w:rPr>
          <w:rFonts w:eastAsia="Times New Roman"/>
          <w:b/>
          <w:bCs/>
          <w:color w:val="000000"/>
          <w:sz w:val="20"/>
          <w:szCs w:val="20"/>
        </w:rPr>
        <w:t>Stonehenge Acquisition</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On January 27, 2022, UGI through its</w:t>
      </w:r>
      <w:r>
        <w:rPr>
          <w:rFonts w:eastAsia="Times New Roman"/>
          <w:color w:val="000000"/>
          <w:sz w:val="20"/>
          <w:szCs w:val="20"/>
        </w:rPr>
        <w:t xml:space="preserve"> wholly owned indirect subsidiary, Energy Services, completed the Stonehenge Acquisition in which Energy Services acquired all of the equity interests in Stonehenge for total cash consideration of approximately $190. The Stonehenge business includes a natu</w:t>
      </w:r>
      <w:r>
        <w:rPr>
          <w:rFonts w:eastAsia="Times New Roman"/>
          <w:color w:val="000000"/>
          <w:sz w:val="20"/>
          <w:szCs w:val="20"/>
        </w:rPr>
        <w:t>ral gas gathering system, located in western Pennsylvania, with more than 47 miles of pipeline and associated compression assets. The Stonehenge Acquisition is consistent with our growth strategies, including expanding our midstream natural gas gathering a</w:t>
      </w:r>
      <w:r>
        <w:rPr>
          <w:rFonts w:eastAsia="Times New Roman"/>
          <w:color w:val="000000"/>
          <w:sz w:val="20"/>
          <w:szCs w:val="20"/>
        </w:rPr>
        <w:t>ssets within the Appalachian basin production region. The Stonehenge Acquisition was funded using available cash. The Company has accounted for the Stonehenge Acquisition using the acquisition method and the purchase price has been primarily allocated to p</w:t>
      </w:r>
      <w:r>
        <w:rPr>
          <w:rFonts w:eastAsia="Times New Roman"/>
          <w:color w:val="000000"/>
          <w:sz w:val="20"/>
          <w:szCs w:val="20"/>
        </w:rPr>
        <w:t>roperty, plant and equipment. We refer to Stonehenge and its assets as “UGI Moraine East”.</w:t>
      </w:r>
    </w:p>
    <w:p w:rsidR="00000000" w:rsidRDefault="00BE60E9">
      <w:pPr>
        <w:jc w:val="both"/>
        <w:rPr>
          <w:rFonts w:eastAsia="Times New Roman"/>
        </w:rPr>
      </w:pPr>
    </w:p>
    <w:p w:rsidR="00000000" w:rsidRDefault="00BE60E9">
      <w:pPr>
        <w:jc w:val="both"/>
        <w:rPr>
          <w:rFonts w:eastAsia="Times New Roman"/>
        </w:rPr>
      </w:pPr>
      <w:r>
        <w:rPr>
          <w:rFonts w:eastAsia="Times New Roman"/>
          <w:b/>
          <w:bCs/>
          <w:color w:val="000000"/>
          <w:sz w:val="20"/>
          <w:szCs w:val="20"/>
        </w:rPr>
        <w:t>Mountaineer Acquisition</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On September 1, 2021, UGI completed the Mountaineer Acquisition in which UGI acquired all of the equity interests in Mountaineer, the lar</w:t>
      </w:r>
      <w:r>
        <w:rPr>
          <w:rFonts w:eastAsia="Times New Roman"/>
          <w:color w:val="000000"/>
          <w:sz w:val="20"/>
          <w:szCs w:val="20"/>
        </w:rPr>
        <w:t>gest natural gas distribution company in West Virginia, for a purchase price of $540, including the assumption of $140 principal amounts of long-term debt. The Mountaineer Acquisition was consummated pursuant to a purchase and sale agreement between UGI an</w:t>
      </w:r>
      <w:r>
        <w:rPr>
          <w:rFonts w:eastAsia="Times New Roman"/>
          <w:color w:val="000000"/>
          <w:sz w:val="20"/>
          <w:szCs w:val="20"/>
        </w:rPr>
        <w:t>d the iCON Sellers and is consistent with our growth strategies, including expanding our core utility operations in the mid-Atlantic region.</w:t>
      </w:r>
      <w:r>
        <w:rPr>
          <w:rFonts w:eastAsia="Times New Roman"/>
          <w:color w:val="000000"/>
        </w:rPr>
        <w:t xml:space="preserve"> </w:t>
      </w:r>
      <w:r>
        <w:rPr>
          <w:rFonts w:eastAsia="Times New Roman"/>
          <w:color w:val="000000"/>
          <w:sz w:val="20"/>
          <w:szCs w:val="20"/>
        </w:rPr>
        <w:t xml:space="preserve">The Mountaineer Acquisition was funded with cash proceeds from </w:t>
      </w:r>
      <w:r>
        <w:rPr>
          <w:rFonts w:eastAsia="Times New Roman"/>
          <w:color w:val="000000"/>
          <w:sz w:val="20"/>
          <w:szCs w:val="20"/>
          <w:shd w:val="clear" w:color="auto" w:fill="FFFFFF"/>
        </w:rPr>
        <w:t xml:space="preserve">the UGI Corporation Senior Credit Facility </w:t>
      </w:r>
      <w:r>
        <w:rPr>
          <w:rFonts w:eastAsia="Times New Roman"/>
          <w:color w:val="000000"/>
          <w:sz w:val="20"/>
          <w:szCs w:val="20"/>
        </w:rPr>
        <w:t>$215</w:t>
      </w:r>
      <w:r>
        <w:rPr>
          <w:rFonts w:eastAsia="Times New Roman"/>
          <w:color w:val="000000"/>
          <w:sz w:val="20"/>
          <w:szCs w:val="20"/>
          <w:shd w:val="clear" w:color="auto" w:fill="FFFFFF"/>
        </w:rPr>
        <w:t xml:space="preserve"> term</w:t>
      </w:r>
      <w:r>
        <w:rPr>
          <w:rFonts w:eastAsia="Times New Roman"/>
          <w:color w:val="000000"/>
          <w:sz w:val="20"/>
          <w:szCs w:val="20"/>
          <w:shd w:val="clear" w:color="auto" w:fill="FFFFFF"/>
        </w:rPr>
        <w:t xml:space="preserve"> loan and cash on hand including proceeds from the issuance of Equity Units</w:t>
      </w:r>
      <w:r>
        <w:rPr>
          <w:rFonts w:eastAsia="Times New Roman"/>
          <w:color w:val="000000"/>
          <w:sz w:val="20"/>
          <w:szCs w:val="20"/>
        </w:rPr>
        <w:t>. Accounts associated with Mountaineer are included within our Utilities reportable segment.</w:t>
      </w:r>
    </w:p>
    <w:p w:rsidR="00000000" w:rsidRDefault="00BE60E9">
      <w:pPr>
        <w:divId w:val="394865098"/>
        <w:rPr>
          <w:rFonts w:eastAsia="Times New Roman"/>
        </w:rPr>
      </w:pPr>
    </w:p>
    <w:p w:rsidR="00000000" w:rsidRDefault="00BE60E9">
      <w:pPr>
        <w:jc w:val="both"/>
        <w:rPr>
          <w:rFonts w:eastAsia="Times New Roman"/>
        </w:rPr>
      </w:pPr>
      <w:r>
        <w:rPr>
          <w:rFonts w:eastAsia="Times New Roman"/>
          <w:color w:val="000000"/>
          <w:sz w:val="20"/>
          <w:szCs w:val="20"/>
        </w:rPr>
        <w:t>The Company has accounted for the Mountaineer Acquisition using the acquisition method</w:t>
      </w:r>
      <w:r>
        <w:rPr>
          <w:rFonts w:eastAsia="Times New Roman"/>
          <w:color w:val="000000"/>
          <w:sz w:val="20"/>
          <w:szCs w:val="20"/>
        </w:rPr>
        <w:t>. During the nine months ended June 30, 2022, the Company recorded an adjustment to decrease goodwill by $5 primarily reflecting an adjustment to a valuation allowance on certain deferred income taxes. The Condensed Balance Sheet at June 30, 2022, reflects</w:t>
      </w:r>
      <w:r>
        <w:rPr>
          <w:rFonts w:eastAsia="Times New Roman"/>
          <w:color w:val="000000"/>
          <w:sz w:val="20"/>
          <w:szCs w:val="20"/>
        </w:rPr>
        <w:t xml:space="preserve"> the final allocation of the purchase price to the assets acquired and liabilities assumed for the Mountaineer Acquisition. </w:t>
      </w:r>
    </w:p>
    <w:p w:rsidR="00000000" w:rsidRDefault="00BE60E9">
      <w:pPr>
        <w:jc w:val="center"/>
        <w:divId w:val="1357805747"/>
        <w:rPr>
          <w:rFonts w:eastAsia="Times New Roman"/>
        </w:rPr>
      </w:pPr>
      <w:r>
        <w:rPr>
          <w:rFonts w:eastAsia="Times New Roman"/>
          <w:color w:val="000000"/>
          <w:sz w:val="20"/>
          <w:szCs w:val="20"/>
        </w:rPr>
        <w:t>17</w:t>
      </w:r>
    </w:p>
    <w:p w:rsidR="00000000" w:rsidRDefault="00BE60E9">
      <w:pPr>
        <w:rPr>
          <w:rFonts w:eastAsia="Times New Roman"/>
        </w:rPr>
      </w:pPr>
      <w:r>
        <w:rPr>
          <w:rFonts w:eastAsia="Times New Roman"/>
        </w:rPr>
        <w:pict>
          <v:rect id="_x0000_i1043" style="width:0;height:1.5pt" o:hralign="center" o:hrstd="t" o:hr="t" fillcolor="#a0a0a0" stroked="f"/>
        </w:pict>
      </w:r>
    </w:p>
    <w:p w:rsidR="00000000" w:rsidRDefault="00BE60E9">
      <w:pPr>
        <w:divId w:val="1907646947"/>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1321344223"/>
        <w:rPr>
          <w:rFonts w:eastAsia="Times New Roman"/>
        </w:rPr>
      </w:pPr>
      <w:r>
        <w:rPr>
          <w:rFonts w:eastAsia="Times New Roman"/>
          <w:b/>
          <w:bCs/>
          <w:color w:val="000000"/>
          <w:sz w:val="20"/>
          <w:szCs w:val="20"/>
        </w:rPr>
        <w:t>UGI CORPORATION AND SUBSIDIARIES</w:t>
      </w:r>
    </w:p>
    <w:p w:rsidR="00000000" w:rsidRDefault="00BE60E9">
      <w:pPr>
        <w:jc w:val="center"/>
        <w:divId w:val="1995914773"/>
        <w:rPr>
          <w:rFonts w:eastAsia="Times New Roman"/>
        </w:rPr>
      </w:pPr>
      <w:r>
        <w:rPr>
          <w:rFonts w:eastAsia="Times New Roman"/>
          <w:b/>
          <w:bCs/>
          <w:color w:val="000000"/>
          <w:sz w:val="20"/>
          <w:szCs w:val="20"/>
          <w:u w:val="single"/>
        </w:rPr>
        <w:t>Notes to Condensed Consolidated Financial Statements</w:t>
      </w:r>
    </w:p>
    <w:p w:rsidR="00000000" w:rsidRDefault="00BE60E9">
      <w:pPr>
        <w:jc w:val="center"/>
        <w:divId w:val="1321344223"/>
        <w:rPr>
          <w:rFonts w:eastAsia="Times New Roman"/>
        </w:rPr>
      </w:pPr>
      <w:r>
        <w:rPr>
          <w:rFonts w:eastAsia="Times New Roman"/>
          <w:color w:val="000000"/>
          <w:sz w:val="20"/>
          <w:szCs w:val="20"/>
        </w:rPr>
        <w:t>(unaudited)</w:t>
      </w:r>
    </w:p>
    <w:p w:rsidR="00000000" w:rsidRDefault="00BE60E9">
      <w:pPr>
        <w:jc w:val="center"/>
        <w:divId w:val="1321344223"/>
        <w:rPr>
          <w:rFonts w:eastAsia="Times New Roman"/>
        </w:rPr>
      </w:pPr>
      <w:r>
        <w:rPr>
          <w:rFonts w:eastAsia="Times New Roman"/>
          <w:color w:val="000000"/>
          <w:sz w:val="20"/>
          <w:szCs w:val="20"/>
        </w:rPr>
        <w:t>(Currency in millions, except per share amounts and where indicated otherwise)</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 xml:space="preserve">The components of the Mountaineer purchase price allocations are as follows: </w:t>
      </w:r>
    </w:p>
    <w:p w:rsidR="00000000" w:rsidRDefault="00BE60E9">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2"/>
        <w:gridCol w:w="7006"/>
        <w:gridCol w:w="37"/>
        <w:gridCol w:w="120"/>
        <w:gridCol w:w="1055"/>
        <w:gridCol w:w="36"/>
      </w:tblGrid>
      <w:tr w:rsidR="00000000">
        <w:tc>
          <w:tcPr>
            <w:tcW w:w="50" w:type="pct"/>
            <w:vAlign w:val="center"/>
            <w:hideMark/>
          </w:tcPr>
          <w:p w:rsidR="00000000" w:rsidRDefault="00BE60E9">
            <w:pPr>
              <w:jc w:val="both"/>
              <w:rPr>
                <w:rFonts w:eastAsia="Times New Roman"/>
              </w:rPr>
            </w:pPr>
          </w:p>
        </w:tc>
        <w:tc>
          <w:tcPr>
            <w:tcW w:w="423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654"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Assets acquired:</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xml:space="preserve">Cash and cash equivalents </w:t>
            </w: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xml:space="preserve">Accounts receivable </w:t>
            </w: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xml:space="preserve">Inventories </w:t>
            </w: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Other current assets</w:t>
            </w: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xml:space="preserve">Property, plant and equipment </w:t>
            </w: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397 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xml:space="preserve">Other noncurrent assets </w:t>
            </w: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Total assets acquired</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trHeight w:val="300"/>
        </w:trPr>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Liabilities assumed:</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xml:space="preserve">Short-term borrowings </w:t>
            </w: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xml:space="preserve">Accounts payable </w:t>
            </w: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xml:space="preserve">Other current liabilities </w:t>
            </w: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xml:space="preserve">Long-term debt </w:t>
            </w: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164 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xml:space="preserve">Pension and other postretirement benefit obligation </w:t>
            </w: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xml:space="preserve">Other noncurrent liabilities </w:t>
            </w: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Total liabilities assumed</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Goodwill</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Net consideration transferred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bl>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Mountaineer is a regulated entity which accounts for the financial effects of regulation in accordance with ASC 980. The effects of regulation can impact the fair value of certain assets and liabilities acquired, and as such, the measurement of the fair va</w:t>
      </w:r>
      <w:r>
        <w:rPr>
          <w:rFonts w:eastAsia="Times New Roman"/>
          <w:color w:val="000000"/>
          <w:sz w:val="20"/>
          <w:szCs w:val="20"/>
        </w:rPr>
        <w:t>lue of regulated property assets using the predecessor’s carrying value is generally accepted since regulation attaches to the assets and regulation is so pervasive that the regulation extends to the individual assets. In certain other instances where asse</w:t>
      </w:r>
      <w:r>
        <w:rPr>
          <w:rFonts w:eastAsia="Times New Roman"/>
          <w:color w:val="000000"/>
          <w:sz w:val="20"/>
          <w:szCs w:val="20"/>
        </w:rPr>
        <w:t>ts or liabilities are subject to rate recovery, we recorded fair value adjustments to such assets and liabilities as regulatory assets and liabilities.</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The excess of the purchase price for the Mountaineer Acquisition over the fair values of the assets ac</w:t>
      </w:r>
      <w:r>
        <w:rPr>
          <w:rFonts w:eastAsia="Times New Roman"/>
          <w:color w:val="000000"/>
          <w:sz w:val="20"/>
          <w:szCs w:val="20"/>
        </w:rPr>
        <w:t>quired and liabilities assumed has been reflected as goodwill, assigned to the Utilities reportable segment. Goodwill is attributable to the assembled workforce of Mountaineer, planned customer growth and planned growth in rate base through continued inves</w:t>
      </w:r>
      <w:r>
        <w:rPr>
          <w:rFonts w:eastAsia="Times New Roman"/>
          <w:color w:val="000000"/>
          <w:sz w:val="20"/>
          <w:szCs w:val="20"/>
        </w:rPr>
        <w:t>tment in utility infrastructure. The goodwill recognized from the Mountaineer Acquisition is not expected to be deductible for income tax purposes.</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The impact of the Mountaineer Acquisition on a pro forma basis as if the Mountaineer Acquisition had occur</w:t>
      </w:r>
      <w:r>
        <w:rPr>
          <w:rFonts w:eastAsia="Times New Roman"/>
          <w:color w:val="000000"/>
          <w:sz w:val="20"/>
          <w:szCs w:val="20"/>
        </w:rPr>
        <w:t>red on October 1, 2020 was not material to the Company’s revenues or net income for the three and nine months ended June 30, 2021.</w:t>
      </w:r>
    </w:p>
    <w:p w:rsidR="00000000" w:rsidRDefault="00BE60E9">
      <w:pPr>
        <w:divId w:val="943617189"/>
        <w:rPr>
          <w:rFonts w:eastAsia="Times New Roman"/>
        </w:rPr>
      </w:pPr>
    </w:p>
    <w:p w:rsidR="00000000" w:rsidRDefault="00BE60E9">
      <w:pPr>
        <w:jc w:val="center"/>
        <w:divId w:val="2088384322"/>
        <w:rPr>
          <w:rFonts w:eastAsia="Times New Roman"/>
        </w:rPr>
      </w:pPr>
      <w:r>
        <w:rPr>
          <w:rFonts w:eastAsia="Times New Roman"/>
          <w:color w:val="000000"/>
          <w:sz w:val="20"/>
          <w:szCs w:val="20"/>
        </w:rPr>
        <w:t>18</w:t>
      </w:r>
    </w:p>
    <w:p w:rsidR="00000000" w:rsidRDefault="00BE60E9">
      <w:pPr>
        <w:rPr>
          <w:rFonts w:eastAsia="Times New Roman"/>
        </w:rPr>
      </w:pPr>
      <w:r>
        <w:rPr>
          <w:rFonts w:eastAsia="Times New Roman"/>
        </w:rPr>
        <w:pict>
          <v:rect id="_x0000_i1044" style="width:0;height:1.5pt" o:hralign="center" o:hrstd="t" o:hr="t" fillcolor="#a0a0a0" stroked="f"/>
        </w:pict>
      </w:r>
    </w:p>
    <w:p w:rsidR="00000000" w:rsidRDefault="00BE60E9">
      <w:pPr>
        <w:divId w:val="533738845"/>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272441321"/>
        <w:rPr>
          <w:rFonts w:eastAsia="Times New Roman"/>
        </w:rPr>
      </w:pPr>
      <w:r>
        <w:rPr>
          <w:rFonts w:eastAsia="Times New Roman"/>
          <w:b/>
          <w:bCs/>
          <w:color w:val="000000"/>
          <w:sz w:val="20"/>
          <w:szCs w:val="20"/>
        </w:rPr>
        <w:t>UGI CORPORATION AND SUBSIDIARIES</w:t>
      </w:r>
    </w:p>
    <w:p w:rsidR="00000000" w:rsidRDefault="00BE60E9">
      <w:pPr>
        <w:jc w:val="center"/>
        <w:divId w:val="1167287113"/>
        <w:rPr>
          <w:rFonts w:eastAsia="Times New Roman"/>
        </w:rPr>
      </w:pPr>
      <w:r>
        <w:rPr>
          <w:rFonts w:eastAsia="Times New Roman"/>
          <w:b/>
          <w:bCs/>
          <w:color w:val="000000"/>
          <w:sz w:val="20"/>
          <w:szCs w:val="20"/>
          <w:u w:val="single"/>
        </w:rPr>
        <w:t>Notes to Condensed Consolidated Financial Statements</w:t>
      </w:r>
    </w:p>
    <w:p w:rsidR="00000000" w:rsidRDefault="00BE60E9">
      <w:pPr>
        <w:jc w:val="center"/>
        <w:divId w:val="272441321"/>
        <w:rPr>
          <w:rFonts w:eastAsia="Times New Roman"/>
        </w:rPr>
      </w:pPr>
      <w:r>
        <w:rPr>
          <w:rFonts w:eastAsia="Times New Roman"/>
          <w:color w:val="000000"/>
          <w:sz w:val="20"/>
          <w:szCs w:val="20"/>
        </w:rPr>
        <w:t>(unaudited)</w:t>
      </w:r>
    </w:p>
    <w:p w:rsidR="00000000" w:rsidRDefault="00BE60E9">
      <w:pPr>
        <w:jc w:val="center"/>
        <w:divId w:val="272441321"/>
        <w:rPr>
          <w:rFonts w:eastAsia="Times New Roman"/>
        </w:rPr>
      </w:pPr>
      <w:r>
        <w:rPr>
          <w:rFonts w:eastAsia="Times New Roman"/>
          <w:color w:val="000000"/>
          <w:sz w:val="20"/>
          <w:szCs w:val="20"/>
        </w:rPr>
        <w:t>(Currency in millions, except per share amounts and where indicated otherwise)</w:t>
      </w:r>
    </w:p>
    <w:p w:rsidR="00000000" w:rsidRDefault="00BE60E9">
      <w:pPr>
        <w:ind w:hanging="540"/>
        <w:jc w:val="both"/>
        <w:rPr>
          <w:rFonts w:eastAsia="Times New Roman"/>
        </w:rPr>
      </w:pPr>
      <w:r>
        <w:rPr>
          <w:rFonts w:eastAsia="Times New Roman"/>
          <w:b/>
          <w:bCs/>
          <w:color w:val="000000"/>
          <w:sz w:val="20"/>
          <w:szCs w:val="20"/>
          <w:u w:val="single"/>
        </w:rPr>
        <w:t>Note 6 — Inventories</w:t>
      </w:r>
      <w:r>
        <w:rPr>
          <w:rFonts w:eastAsia="Times New Roman"/>
          <w:b/>
          <w:bCs/>
          <w:color w:val="000000"/>
          <w:sz w:val="20"/>
          <w:szCs w:val="20"/>
        </w:rPr>
        <w:t xml:space="preserve"> </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Inventories comprise the following:</w:t>
      </w:r>
      <w:r>
        <w:rPr>
          <w:rFonts w:eastAsia="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38"/>
        <w:gridCol w:w="4814"/>
        <w:gridCol w:w="37"/>
        <w:gridCol w:w="36"/>
        <w:gridCol w:w="36"/>
        <w:gridCol w:w="36"/>
        <w:gridCol w:w="120"/>
        <w:gridCol w:w="874"/>
        <w:gridCol w:w="36"/>
        <w:gridCol w:w="36"/>
        <w:gridCol w:w="36"/>
        <w:gridCol w:w="36"/>
        <w:gridCol w:w="121"/>
        <w:gridCol w:w="874"/>
        <w:gridCol w:w="36"/>
        <w:gridCol w:w="36"/>
        <w:gridCol w:w="36"/>
        <w:gridCol w:w="36"/>
        <w:gridCol w:w="120"/>
        <w:gridCol w:w="876"/>
        <w:gridCol w:w="36"/>
      </w:tblGrid>
      <w:tr w:rsidR="00000000">
        <w:trPr>
          <w:divId w:val="635180932"/>
        </w:trPr>
        <w:tc>
          <w:tcPr>
            <w:tcW w:w="50" w:type="pct"/>
            <w:vAlign w:val="center"/>
            <w:hideMark/>
          </w:tcPr>
          <w:p w:rsidR="00000000" w:rsidRDefault="00BE60E9">
            <w:pPr>
              <w:jc w:val="both"/>
              <w:rPr>
                <w:rFonts w:eastAsia="Times New Roman"/>
              </w:rPr>
            </w:pPr>
          </w:p>
        </w:tc>
        <w:tc>
          <w:tcPr>
            <w:tcW w:w="2927"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80"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80"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8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rPr>
          <w:divId w:val="635180932"/>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June 30,</w:t>
            </w:r>
            <w:r>
              <w:rPr>
                <w:rFonts w:eastAsia="Times New Roman"/>
                <w:color w:val="000000"/>
                <w:sz w:val="18"/>
                <w:szCs w:val="18"/>
              </w:rPr>
              <w:br/>
              <w:t>2022</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September 30,</w:t>
            </w:r>
            <w:r>
              <w:rPr>
                <w:rFonts w:eastAsia="Times New Roman"/>
                <w:color w:val="000000"/>
                <w:sz w:val="18"/>
                <w:szCs w:val="18"/>
              </w:rPr>
              <w:br/>
              <w:t>2021</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June 30,</w:t>
            </w:r>
            <w:r>
              <w:rPr>
                <w:rFonts w:eastAsia="Times New Roman"/>
                <w:color w:val="000000"/>
                <w:sz w:val="18"/>
                <w:szCs w:val="18"/>
              </w:rPr>
              <w:br/>
              <w:t>2021</w:t>
            </w:r>
          </w:p>
        </w:tc>
      </w:tr>
      <w:tr w:rsidR="00000000">
        <w:trPr>
          <w:divId w:val="635180932"/>
        </w:trPr>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Non-utility LPG and natural gas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635180932"/>
        </w:trPr>
        <w:tc>
          <w:tcPr>
            <w:tcW w:w="0" w:type="auto"/>
            <w:gridSpan w:val="3"/>
            <w:shd w:val="clear" w:color="auto" w:fill="FFFF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Gas Utility natural gas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84 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68 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635180932"/>
        </w:trPr>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Energy certificates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70 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635180932"/>
        </w:trPr>
        <w:tc>
          <w:tcPr>
            <w:tcW w:w="0" w:type="auto"/>
            <w:gridSpan w:val="3"/>
            <w:shd w:val="clear" w:color="auto" w:fill="FFFF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Materials, supplies and other</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81 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635180932"/>
        </w:trPr>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Total inventories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bl>
    <w:p w:rsidR="00000000" w:rsidRDefault="00BE60E9">
      <w:pPr>
        <w:jc w:val="both"/>
        <w:rPr>
          <w:rFonts w:eastAsia="Times New Roman"/>
        </w:rPr>
      </w:pPr>
    </w:p>
    <w:p w:rsidR="00000000" w:rsidRDefault="00BE60E9">
      <w:pPr>
        <w:ind w:hanging="540"/>
        <w:jc w:val="both"/>
        <w:rPr>
          <w:rFonts w:eastAsia="Times New Roman"/>
        </w:rPr>
      </w:pPr>
      <w:r>
        <w:rPr>
          <w:rFonts w:eastAsia="Times New Roman"/>
          <w:b/>
          <w:bCs/>
          <w:color w:val="000000"/>
          <w:sz w:val="20"/>
          <w:szCs w:val="20"/>
          <w:u w:val="single"/>
        </w:rPr>
        <w:t>Note 7 — Utility Regulatory Assets and Liabilities and Regulatory Matters</w:t>
      </w:r>
      <w:r>
        <w:rPr>
          <w:rFonts w:eastAsia="Times New Roman"/>
          <w:b/>
          <w:bCs/>
          <w:color w:val="000000"/>
          <w:sz w:val="20"/>
          <w:szCs w:val="20"/>
        </w:rPr>
        <w:t xml:space="preserve"> </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 xml:space="preserve">For a description </w:t>
      </w:r>
      <w:r>
        <w:rPr>
          <w:rFonts w:eastAsia="Times New Roman"/>
          <w:color w:val="000000"/>
          <w:sz w:val="20"/>
          <w:szCs w:val="20"/>
        </w:rPr>
        <w:t>of the Company’s regulatory assets and liabilities, other than those described below, see Note 9 in the Company’s 2021 Annual Report. Other than removal costs, Utilities currently does not recover a rate of return on its regulatory assets listed below. The</w:t>
      </w:r>
      <w:r>
        <w:rPr>
          <w:rFonts w:eastAsia="Times New Roman"/>
          <w:color w:val="000000"/>
          <w:sz w:val="20"/>
          <w:szCs w:val="20"/>
        </w:rPr>
        <w:t xml:space="preserve"> following regulatory assets and liabilities associated with Utilities are included on the Condensed Consolidated Balance Sheets:</w:t>
      </w:r>
    </w:p>
    <w:tbl>
      <w:tblPr>
        <w:tblW w:w="5000" w:type="pct"/>
        <w:tblCellMar>
          <w:top w:w="15" w:type="dxa"/>
          <w:left w:w="15" w:type="dxa"/>
          <w:bottom w:w="15" w:type="dxa"/>
          <w:right w:w="15" w:type="dxa"/>
        </w:tblCellMar>
        <w:tblLook w:val="04A0" w:firstRow="1" w:lastRow="0" w:firstColumn="1" w:lastColumn="0" w:noHBand="0" w:noVBand="1"/>
      </w:tblPr>
      <w:tblGrid>
        <w:gridCol w:w="40"/>
        <w:gridCol w:w="4811"/>
        <w:gridCol w:w="39"/>
        <w:gridCol w:w="36"/>
        <w:gridCol w:w="36"/>
        <w:gridCol w:w="36"/>
        <w:gridCol w:w="120"/>
        <w:gridCol w:w="873"/>
        <w:gridCol w:w="36"/>
        <w:gridCol w:w="36"/>
        <w:gridCol w:w="36"/>
        <w:gridCol w:w="36"/>
        <w:gridCol w:w="121"/>
        <w:gridCol w:w="874"/>
        <w:gridCol w:w="36"/>
        <w:gridCol w:w="36"/>
        <w:gridCol w:w="36"/>
        <w:gridCol w:w="36"/>
        <w:gridCol w:w="120"/>
        <w:gridCol w:w="876"/>
        <w:gridCol w:w="36"/>
      </w:tblGrid>
      <w:tr w:rsidR="00000000">
        <w:trPr>
          <w:divId w:val="874467266"/>
        </w:trPr>
        <w:tc>
          <w:tcPr>
            <w:tcW w:w="50" w:type="pct"/>
            <w:vAlign w:val="center"/>
            <w:hideMark/>
          </w:tcPr>
          <w:p w:rsidR="00000000" w:rsidRDefault="00BE60E9">
            <w:pPr>
              <w:jc w:val="both"/>
              <w:rPr>
                <w:rFonts w:eastAsia="Times New Roman"/>
              </w:rPr>
            </w:pPr>
          </w:p>
        </w:tc>
        <w:tc>
          <w:tcPr>
            <w:tcW w:w="2927"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80"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80"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8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rPr>
          <w:divId w:val="874467266"/>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June 30,</w:t>
            </w:r>
            <w:r>
              <w:rPr>
                <w:rFonts w:eastAsia="Times New Roman"/>
                <w:color w:val="000000"/>
                <w:sz w:val="18"/>
                <w:szCs w:val="18"/>
              </w:rPr>
              <w:br/>
              <w:t>2022</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September 30,</w:t>
            </w:r>
            <w:r>
              <w:rPr>
                <w:rFonts w:eastAsia="Times New Roman"/>
                <w:color w:val="000000"/>
                <w:sz w:val="18"/>
                <w:szCs w:val="18"/>
              </w:rPr>
              <w:br/>
              <w:t>2021</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June 30,</w:t>
            </w:r>
            <w:r>
              <w:rPr>
                <w:rFonts w:eastAsia="Times New Roman"/>
                <w:color w:val="000000"/>
                <w:sz w:val="18"/>
                <w:szCs w:val="18"/>
              </w:rPr>
              <w:br/>
              <w:t>2021</w:t>
            </w:r>
          </w:p>
        </w:tc>
      </w:tr>
      <w:tr w:rsidR="00000000">
        <w:trPr>
          <w:divId w:val="874467266"/>
        </w:trPr>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b/>
                <w:bCs/>
                <w:color w:val="000000"/>
                <w:sz w:val="20"/>
                <w:szCs w:val="20"/>
              </w:rPr>
              <w:t>Regulatory assets (a):</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874467266"/>
        </w:trPr>
        <w:tc>
          <w:tcPr>
            <w:tcW w:w="0" w:type="auto"/>
            <w:gridSpan w:val="3"/>
            <w:shd w:val="clear" w:color="auto" w:fill="FFFFFF"/>
            <w:tcMar>
              <w:top w:w="30" w:type="dxa"/>
              <w:left w:w="155" w:type="dxa"/>
              <w:bottom w:w="30" w:type="dxa"/>
              <w:right w:w="20" w:type="dxa"/>
            </w:tcMar>
            <w:hideMark/>
          </w:tcPr>
          <w:p w:rsidR="00000000" w:rsidRDefault="00BE60E9">
            <w:pPr>
              <w:spacing w:after="100"/>
              <w:rPr>
                <w:rFonts w:eastAsia="Times New Roman"/>
              </w:rPr>
            </w:pPr>
            <w:r>
              <w:rPr>
                <w:rFonts w:eastAsia="Times New Roman"/>
                <w:color w:val="000000"/>
                <w:sz w:val="20"/>
                <w:szCs w:val="20"/>
              </w:rPr>
              <w:t>Income taxes recoverable</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151 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143 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131 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874467266"/>
        </w:trPr>
        <w:tc>
          <w:tcPr>
            <w:tcW w:w="0" w:type="auto"/>
            <w:gridSpan w:val="3"/>
            <w:shd w:val="clear" w:color="auto" w:fill="CCEEFF"/>
            <w:tcMar>
              <w:top w:w="30" w:type="dxa"/>
              <w:left w:w="155" w:type="dxa"/>
              <w:bottom w:w="30" w:type="dxa"/>
              <w:right w:w="20" w:type="dxa"/>
            </w:tcMar>
            <w:hideMark/>
          </w:tcPr>
          <w:p w:rsidR="00000000" w:rsidRDefault="00BE60E9">
            <w:pPr>
              <w:spacing w:after="100"/>
              <w:rPr>
                <w:rFonts w:eastAsia="Times New Roman"/>
              </w:rPr>
            </w:pPr>
            <w:r>
              <w:rPr>
                <w:rFonts w:eastAsia="Times New Roman"/>
                <w:color w:val="000000"/>
                <w:sz w:val="20"/>
                <w:szCs w:val="20"/>
              </w:rPr>
              <w:t>Underfunded pension and postretirement plans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103 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108 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166 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874467266"/>
        </w:trPr>
        <w:tc>
          <w:tcPr>
            <w:tcW w:w="0" w:type="auto"/>
            <w:gridSpan w:val="3"/>
            <w:shd w:val="clear" w:color="auto" w:fill="FFFFFF"/>
            <w:tcMar>
              <w:top w:w="30" w:type="dxa"/>
              <w:left w:w="155" w:type="dxa"/>
              <w:bottom w:w="30" w:type="dxa"/>
              <w:right w:w="20" w:type="dxa"/>
            </w:tcMar>
            <w:hideMark/>
          </w:tcPr>
          <w:p w:rsidR="00000000" w:rsidRDefault="00BE60E9">
            <w:pPr>
              <w:spacing w:after="100"/>
              <w:rPr>
                <w:rFonts w:eastAsia="Times New Roman"/>
              </w:rPr>
            </w:pPr>
            <w:r>
              <w:rPr>
                <w:rFonts w:eastAsia="Times New Roman"/>
                <w:color w:val="000000"/>
                <w:sz w:val="20"/>
                <w:szCs w:val="20"/>
              </w:rPr>
              <w:t>Environmental costs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58 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58 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874467266"/>
        </w:trPr>
        <w:tc>
          <w:tcPr>
            <w:tcW w:w="0" w:type="auto"/>
            <w:gridSpan w:val="3"/>
            <w:shd w:val="clear" w:color="auto" w:fill="CCEEFF"/>
            <w:tcMar>
              <w:top w:w="30" w:type="dxa"/>
              <w:left w:w="155" w:type="dxa"/>
              <w:bottom w:w="30" w:type="dxa"/>
              <w:right w:w="20" w:type="dxa"/>
            </w:tcMar>
            <w:hideMark/>
          </w:tcPr>
          <w:p w:rsidR="00000000" w:rsidRDefault="00BE60E9">
            <w:pPr>
              <w:spacing w:after="100"/>
              <w:rPr>
                <w:rFonts w:eastAsia="Times New Roman"/>
              </w:rPr>
            </w:pPr>
            <w:r>
              <w:rPr>
                <w:rFonts w:eastAsia="Times New Roman"/>
                <w:color w:val="000000"/>
                <w:sz w:val="20"/>
                <w:szCs w:val="20"/>
              </w:rPr>
              <w:t>Deferred fuel and power costs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874467266"/>
        </w:trPr>
        <w:tc>
          <w:tcPr>
            <w:tcW w:w="0" w:type="auto"/>
            <w:gridSpan w:val="3"/>
            <w:shd w:val="clear" w:color="auto" w:fill="FFFFFF"/>
            <w:tcMar>
              <w:top w:w="30" w:type="dxa"/>
              <w:left w:w="155" w:type="dxa"/>
              <w:bottom w:w="30" w:type="dxa"/>
              <w:right w:w="20" w:type="dxa"/>
            </w:tcMar>
            <w:hideMark/>
          </w:tcPr>
          <w:p w:rsidR="00000000" w:rsidRDefault="00BE60E9">
            <w:pPr>
              <w:spacing w:after="100"/>
              <w:rPr>
                <w:rFonts w:eastAsia="Times New Roman"/>
              </w:rPr>
            </w:pPr>
            <w:r>
              <w:rPr>
                <w:rFonts w:eastAsia="Times New Roman"/>
                <w:color w:val="000000"/>
                <w:sz w:val="20"/>
                <w:szCs w:val="20"/>
              </w:rPr>
              <w:t>Removal costs, net</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874467266"/>
        </w:trPr>
        <w:tc>
          <w:tcPr>
            <w:tcW w:w="0" w:type="auto"/>
            <w:gridSpan w:val="3"/>
            <w:shd w:val="clear" w:color="auto" w:fill="CCEEFF"/>
            <w:tcMar>
              <w:top w:w="30" w:type="dxa"/>
              <w:left w:w="155" w:type="dxa"/>
              <w:bottom w:w="30" w:type="dxa"/>
              <w:right w:w="20" w:type="dxa"/>
            </w:tcMar>
            <w:hideMark/>
          </w:tcPr>
          <w:p w:rsidR="00000000" w:rsidRDefault="00BE60E9">
            <w:pPr>
              <w:spacing w:after="100"/>
              <w:rPr>
                <w:rFonts w:eastAsia="Times New Roman"/>
              </w:rPr>
            </w:pPr>
            <w:r>
              <w:rPr>
                <w:rFonts w:eastAsia="Times New Roman"/>
                <w:color w:val="000000"/>
                <w:sz w:val="20"/>
                <w:szCs w:val="20"/>
              </w:rPr>
              <w:t>Other</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874467266"/>
        </w:trPr>
        <w:tc>
          <w:tcPr>
            <w:tcW w:w="0" w:type="auto"/>
            <w:gridSpan w:val="3"/>
            <w:shd w:val="clear" w:color="auto" w:fill="FFFF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Total regulatory assets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874467266"/>
        </w:trPr>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b/>
                <w:bCs/>
                <w:color w:val="000000"/>
                <w:sz w:val="20"/>
                <w:szCs w:val="20"/>
              </w:rPr>
              <w:t>Regulatory liabilities (a):</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874467266"/>
        </w:trPr>
        <w:tc>
          <w:tcPr>
            <w:tcW w:w="0" w:type="auto"/>
            <w:gridSpan w:val="3"/>
            <w:shd w:val="clear" w:color="auto" w:fill="FFFFFF"/>
            <w:tcMar>
              <w:top w:w="30" w:type="dxa"/>
              <w:left w:w="155" w:type="dxa"/>
              <w:bottom w:w="30" w:type="dxa"/>
              <w:right w:w="20" w:type="dxa"/>
            </w:tcMar>
            <w:hideMark/>
          </w:tcPr>
          <w:p w:rsidR="00000000" w:rsidRDefault="00BE60E9">
            <w:pPr>
              <w:spacing w:after="100"/>
              <w:rPr>
                <w:rFonts w:eastAsia="Times New Roman"/>
              </w:rPr>
            </w:pPr>
            <w:r>
              <w:rPr>
                <w:rFonts w:eastAsia="Times New Roman"/>
                <w:color w:val="000000"/>
                <w:sz w:val="20"/>
                <w:szCs w:val="20"/>
              </w:rPr>
              <w:t>Postretirement benefit overcollections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874467266"/>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874467266"/>
        </w:trPr>
        <w:tc>
          <w:tcPr>
            <w:tcW w:w="0" w:type="auto"/>
            <w:gridSpan w:val="3"/>
            <w:shd w:val="clear" w:color="auto" w:fill="CCEEFF"/>
            <w:tcMar>
              <w:top w:w="30" w:type="dxa"/>
              <w:left w:w="155" w:type="dxa"/>
              <w:bottom w:w="30" w:type="dxa"/>
              <w:right w:w="20" w:type="dxa"/>
            </w:tcMar>
            <w:hideMark/>
          </w:tcPr>
          <w:p w:rsidR="00000000" w:rsidRDefault="00BE60E9">
            <w:pPr>
              <w:spacing w:after="100"/>
              <w:rPr>
                <w:rFonts w:eastAsia="Times New Roman"/>
              </w:rPr>
            </w:pPr>
            <w:r>
              <w:rPr>
                <w:rFonts w:eastAsia="Times New Roman"/>
                <w:color w:val="000000"/>
                <w:sz w:val="20"/>
                <w:szCs w:val="20"/>
              </w:rPr>
              <w:t>Deferred fuel and power refunds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874467266"/>
        </w:trPr>
        <w:tc>
          <w:tcPr>
            <w:tcW w:w="0" w:type="auto"/>
            <w:gridSpan w:val="3"/>
            <w:shd w:val="clear" w:color="auto" w:fill="FFFFFF"/>
            <w:tcMar>
              <w:top w:w="30" w:type="dxa"/>
              <w:left w:w="155" w:type="dxa"/>
              <w:bottom w:w="30" w:type="dxa"/>
              <w:right w:w="20" w:type="dxa"/>
            </w:tcMar>
            <w:hideMark/>
          </w:tcPr>
          <w:p w:rsidR="00000000" w:rsidRDefault="00BE60E9">
            <w:pPr>
              <w:spacing w:after="100"/>
              <w:rPr>
                <w:rFonts w:eastAsia="Times New Roman"/>
              </w:rPr>
            </w:pPr>
            <w:r>
              <w:rPr>
                <w:rFonts w:eastAsia="Times New Roman"/>
                <w:color w:val="000000"/>
                <w:sz w:val="20"/>
                <w:szCs w:val="20"/>
              </w:rPr>
              <w:t xml:space="preserve">State tax benefits — </w:t>
            </w:r>
            <w:r>
              <w:rPr>
                <w:rFonts w:eastAsia="Times New Roman"/>
                <w:color w:val="000000"/>
                <w:sz w:val="20"/>
                <w:szCs w:val="20"/>
              </w:rPr>
              <w:t>distribution system repairs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874467266"/>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874467266"/>
        </w:trPr>
        <w:tc>
          <w:tcPr>
            <w:tcW w:w="0" w:type="auto"/>
            <w:gridSpan w:val="3"/>
            <w:shd w:val="clear" w:color="auto" w:fill="CCEEFF"/>
            <w:tcMar>
              <w:top w:w="30" w:type="dxa"/>
              <w:left w:w="155" w:type="dxa"/>
              <w:bottom w:w="30" w:type="dxa"/>
              <w:right w:w="20" w:type="dxa"/>
            </w:tcMar>
            <w:hideMark/>
          </w:tcPr>
          <w:p w:rsidR="00000000" w:rsidRDefault="00BE60E9">
            <w:pPr>
              <w:spacing w:after="100"/>
              <w:rPr>
                <w:rFonts w:eastAsia="Times New Roman"/>
              </w:rPr>
            </w:pPr>
            <w:r>
              <w:rPr>
                <w:rFonts w:eastAsia="Times New Roman"/>
                <w:color w:val="000000"/>
                <w:sz w:val="20"/>
                <w:szCs w:val="20"/>
              </w:rPr>
              <w:t>Excess federal deferred income taxes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281 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287 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269 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874467266"/>
        </w:trPr>
        <w:tc>
          <w:tcPr>
            <w:tcW w:w="0" w:type="auto"/>
            <w:gridSpan w:val="3"/>
            <w:shd w:val="clear" w:color="auto" w:fill="FFFFFF"/>
            <w:tcMar>
              <w:top w:w="30" w:type="dxa"/>
              <w:left w:w="155" w:type="dxa"/>
              <w:bottom w:w="30" w:type="dxa"/>
              <w:right w:w="20" w:type="dxa"/>
            </w:tcMar>
            <w:hideMark/>
          </w:tcPr>
          <w:p w:rsidR="00000000" w:rsidRDefault="00BE60E9">
            <w:pPr>
              <w:spacing w:after="100"/>
              <w:rPr>
                <w:rFonts w:eastAsia="Times New Roman"/>
              </w:rPr>
            </w:pPr>
            <w:r>
              <w:rPr>
                <w:rFonts w:eastAsia="Times New Roman"/>
                <w:color w:val="000000"/>
                <w:sz w:val="20"/>
                <w:szCs w:val="20"/>
              </w:rPr>
              <w:t>Other</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874467266"/>
        </w:trPr>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Total regulatory liabilities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bl>
    <w:p w:rsidR="00000000" w:rsidRDefault="00BE60E9">
      <w:pPr>
        <w:ind w:hanging="360"/>
        <w:jc w:val="both"/>
        <w:rPr>
          <w:rFonts w:eastAsia="Times New Roman"/>
        </w:rPr>
      </w:pPr>
      <w:r>
        <w:rPr>
          <w:rFonts w:eastAsia="Times New Roman"/>
          <w:color w:val="000000"/>
          <w:sz w:val="20"/>
          <w:szCs w:val="20"/>
        </w:rPr>
        <w:t>(a)Current regulatory assets are included in “Prepaid expenses and other current assets” and regulatory liabilities are included in “Other current liabilities”</w:t>
      </w:r>
      <w:r>
        <w:rPr>
          <w:rFonts w:eastAsia="Times New Roman"/>
          <w:color w:val="000000"/>
          <w:sz w:val="20"/>
          <w:szCs w:val="20"/>
        </w:rPr>
        <w:t xml:space="preserve"> and “Other noncurrent liabilities” on the Condensed Consolidated Balance Sheets.</w:t>
      </w:r>
    </w:p>
    <w:p w:rsidR="00000000" w:rsidRDefault="00BE60E9">
      <w:pPr>
        <w:jc w:val="both"/>
        <w:rPr>
          <w:rFonts w:eastAsia="Times New Roman"/>
        </w:rPr>
      </w:pPr>
    </w:p>
    <w:p w:rsidR="00000000" w:rsidRDefault="00BE60E9">
      <w:pPr>
        <w:jc w:val="both"/>
        <w:rPr>
          <w:rFonts w:eastAsia="Times New Roman"/>
        </w:rPr>
      </w:pPr>
      <w:r>
        <w:rPr>
          <w:rFonts w:eastAsia="Times New Roman"/>
          <w:b/>
          <w:bCs/>
          <w:i/>
          <w:iCs/>
          <w:color w:val="000000"/>
          <w:sz w:val="20"/>
          <w:szCs w:val="20"/>
        </w:rPr>
        <w:t>Deferred fuel and power - costs and refunds.</w:t>
      </w:r>
      <w:r>
        <w:rPr>
          <w:rFonts w:eastAsia="Times New Roman"/>
          <w:color w:val="000000"/>
          <w:sz w:val="20"/>
          <w:szCs w:val="20"/>
        </w:rPr>
        <w:t xml:space="preserve"> Utilities’ tariffs contain clauses that permit recovery of all prudently incurred purchased gas and power costs through the app</w:t>
      </w:r>
      <w:r>
        <w:rPr>
          <w:rFonts w:eastAsia="Times New Roman"/>
          <w:color w:val="000000"/>
          <w:sz w:val="20"/>
          <w:szCs w:val="20"/>
        </w:rPr>
        <w:t>lication of PGC rates and DS tariffs. These clauses provide for periodic adjustments to PGC and DS rates for differences between the total amount of purchased gas and electric generation supply costs collected from customers and recoverable costs incurred.</w:t>
      </w:r>
      <w:r>
        <w:rPr>
          <w:rFonts w:eastAsia="Times New Roman"/>
          <w:color w:val="000000"/>
          <w:sz w:val="20"/>
          <w:szCs w:val="20"/>
        </w:rPr>
        <w:t xml:space="preserve"> Net undercollected costs are classified as a regulatory asset and net overcollections are classified as a regulatory liability.</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PA Gas Utility uses derivative instruments to reduce volatility in the cost of gas it purchases for retail core-market custom</w:t>
      </w:r>
      <w:r>
        <w:rPr>
          <w:rFonts w:eastAsia="Times New Roman"/>
          <w:color w:val="000000"/>
          <w:sz w:val="20"/>
          <w:szCs w:val="20"/>
        </w:rPr>
        <w:t xml:space="preserve">ers. Realized and unrealized gains or losses on natural gas derivative instruments are included in deferred fuel and power costs or refunds. Net unrealized gains on such contracts at June 30, 2022, September 30, 2021 and June 30, 2021 were $7, $35 and $9, </w:t>
      </w:r>
      <w:r>
        <w:rPr>
          <w:rFonts w:eastAsia="Times New Roman"/>
          <w:color w:val="000000"/>
          <w:sz w:val="20"/>
          <w:szCs w:val="20"/>
        </w:rPr>
        <w:t>respectively.</w:t>
      </w:r>
    </w:p>
    <w:p w:rsidR="00000000" w:rsidRDefault="00BE60E9">
      <w:pPr>
        <w:jc w:val="both"/>
        <w:rPr>
          <w:rFonts w:eastAsia="Times New Roman"/>
        </w:rPr>
      </w:pPr>
    </w:p>
    <w:p w:rsidR="00000000" w:rsidRDefault="00BE60E9">
      <w:pPr>
        <w:jc w:val="center"/>
        <w:divId w:val="2007905062"/>
        <w:rPr>
          <w:rFonts w:eastAsia="Times New Roman"/>
        </w:rPr>
      </w:pPr>
      <w:r>
        <w:rPr>
          <w:rFonts w:eastAsia="Times New Roman"/>
          <w:color w:val="000000"/>
          <w:sz w:val="20"/>
          <w:szCs w:val="20"/>
        </w:rPr>
        <w:t>19</w:t>
      </w:r>
    </w:p>
    <w:p w:rsidR="00000000" w:rsidRDefault="00BE60E9">
      <w:pPr>
        <w:rPr>
          <w:rFonts w:eastAsia="Times New Roman"/>
        </w:rPr>
      </w:pPr>
      <w:r>
        <w:rPr>
          <w:rFonts w:eastAsia="Times New Roman"/>
        </w:rPr>
        <w:pict>
          <v:rect id="_x0000_i1045" style="width:0;height:1.5pt" o:hralign="center" o:hrstd="t" o:hr="t" fillcolor="#a0a0a0" stroked="f"/>
        </w:pict>
      </w:r>
    </w:p>
    <w:p w:rsidR="00000000" w:rsidRDefault="00BE60E9">
      <w:pPr>
        <w:divId w:val="635573451"/>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1953248662"/>
        <w:rPr>
          <w:rFonts w:eastAsia="Times New Roman"/>
        </w:rPr>
      </w:pPr>
      <w:r>
        <w:rPr>
          <w:rFonts w:eastAsia="Times New Roman"/>
          <w:b/>
          <w:bCs/>
          <w:color w:val="000000"/>
          <w:sz w:val="20"/>
          <w:szCs w:val="20"/>
        </w:rPr>
        <w:t>UGI CORPORATION AND SUBSIDIARIES</w:t>
      </w:r>
    </w:p>
    <w:p w:rsidR="00000000" w:rsidRDefault="00BE60E9">
      <w:pPr>
        <w:jc w:val="center"/>
        <w:divId w:val="1127161427"/>
        <w:rPr>
          <w:rFonts w:eastAsia="Times New Roman"/>
        </w:rPr>
      </w:pPr>
      <w:r>
        <w:rPr>
          <w:rFonts w:eastAsia="Times New Roman"/>
          <w:b/>
          <w:bCs/>
          <w:color w:val="000000"/>
          <w:sz w:val="20"/>
          <w:szCs w:val="20"/>
          <w:u w:val="single"/>
        </w:rPr>
        <w:t>Notes to Condensed Consolidated Financial Statements</w:t>
      </w:r>
    </w:p>
    <w:p w:rsidR="00000000" w:rsidRDefault="00BE60E9">
      <w:pPr>
        <w:jc w:val="center"/>
        <w:divId w:val="1953248662"/>
        <w:rPr>
          <w:rFonts w:eastAsia="Times New Roman"/>
        </w:rPr>
      </w:pPr>
      <w:r>
        <w:rPr>
          <w:rFonts w:eastAsia="Times New Roman"/>
          <w:color w:val="000000"/>
          <w:sz w:val="20"/>
          <w:szCs w:val="20"/>
        </w:rPr>
        <w:t>(unaudited)</w:t>
      </w:r>
    </w:p>
    <w:p w:rsidR="00000000" w:rsidRDefault="00BE60E9">
      <w:pPr>
        <w:jc w:val="center"/>
        <w:divId w:val="1953248662"/>
        <w:rPr>
          <w:rFonts w:eastAsia="Times New Roman"/>
        </w:rPr>
      </w:pPr>
      <w:r>
        <w:rPr>
          <w:rFonts w:eastAsia="Times New Roman"/>
          <w:color w:val="000000"/>
          <w:sz w:val="20"/>
          <w:szCs w:val="20"/>
        </w:rPr>
        <w:t>(Currency in millions, except per share amount</w:t>
      </w:r>
      <w:r>
        <w:rPr>
          <w:rFonts w:eastAsia="Times New Roman"/>
          <w:color w:val="000000"/>
          <w:sz w:val="20"/>
          <w:szCs w:val="20"/>
        </w:rPr>
        <w:t>s and where indicated otherwise)</w:t>
      </w:r>
    </w:p>
    <w:p w:rsidR="00000000" w:rsidRDefault="00BE60E9">
      <w:pPr>
        <w:jc w:val="both"/>
        <w:rPr>
          <w:rFonts w:eastAsia="Times New Roman"/>
        </w:rPr>
      </w:pPr>
      <w:r>
        <w:rPr>
          <w:rFonts w:eastAsia="Times New Roman"/>
          <w:b/>
          <w:bCs/>
          <w:color w:val="000000"/>
          <w:sz w:val="20"/>
          <w:szCs w:val="20"/>
        </w:rPr>
        <w:t>Other Regulatory Matters</w:t>
      </w:r>
    </w:p>
    <w:p w:rsidR="00000000" w:rsidRDefault="00BE60E9">
      <w:pPr>
        <w:jc w:val="both"/>
        <w:rPr>
          <w:rFonts w:eastAsia="Times New Roman"/>
        </w:rPr>
      </w:pPr>
    </w:p>
    <w:p w:rsidR="00000000" w:rsidRDefault="00BE60E9">
      <w:pPr>
        <w:jc w:val="both"/>
        <w:rPr>
          <w:rFonts w:eastAsia="Times New Roman"/>
        </w:rPr>
      </w:pPr>
      <w:r>
        <w:rPr>
          <w:rFonts w:eastAsia="Times New Roman"/>
          <w:b/>
          <w:bCs/>
          <w:i/>
          <w:iCs/>
          <w:color w:val="000000"/>
          <w:sz w:val="20"/>
          <w:szCs w:val="20"/>
        </w:rPr>
        <w:t>Base Rate Filings</w:t>
      </w:r>
      <w:r>
        <w:rPr>
          <w:rFonts w:eastAsia="Times New Roman"/>
          <w:b/>
          <w:bCs/>
          <w:color w:val="000000"/>
          <w:sz w:val="20"/>
          <w:szCs w:val="20"/>
        </w:rPr>
        <w:t>.</w:t>
      </w:r>
      <w:r>
        <w:rPr>
          <w:rFonts w:eastAsia="Times New Roman"/>
          <w:color w:val="000000"/>
          <w:sz w:val="20"/>
          <w:szCs w:val="20"/>
        </w:rPr>
        <w:t> </w:t>
      </w:r>
      <w:r>
        <w:rPr>
          <w:rFonts w:eastAsia="Times New Roman"/>
          <w:color w:val="000000"/>
          <w:sz w:val="20"/>
          <w:szCs w:val="20"/>
        </w:rPr>
        <w:t>On January 28, 2022, PA Gas Utility filed a request with the PAPUC to increase its base operating revenues for residential, commercial and industrial customers by $83 annually. The increased revenues would fund ongoing system improvements and operations ne</w:t>
      </w:r>
      <w:r>
        <w:rPr>
          <w:rFonts w:eastAsia="Times New Roman"/>
          <w:color w:val="000000"/>
          <w:sz w:val="20"/>
          <w:szCs w:val="20"/>
        </w:rPr>
        <w:t xml:space="preserve">cessary to maintain safe and reliable natural gas service and continue to fund programs designed to promote and reward customers’ efforts to increase efficient use of natural gas. On June 24, 2022, a Joint Petition for Approval of Settlement of all issues </w:t>
      </w:r>
      <w:r>
        <w:rPr>
          <w:rFonts w:eastAsia="Times New Roman"/>
          <w:color w:val="000000"/>
          <w:sz w:val="20"/>
          <w:szCs w:val="20"/>
        </w:rPr>
        <w:t>supported by all active parties was filed with the PAPUC providing for a $49 annual base distribution rate increase for PA Gas Utility, through a phased approach, with $38 beginning October 29, 2022 and an additional $11 beginning October 1, 2023. In accor</w:t>
      </w:r>
      <w:r>
        <w:rPr>
          <w:rFonts w:eastAsia="Times New Roman"/>
          <w:color w:val="000000"/>
          <w:sz w:val="20"/>
          <w:szCs w:val="20"/>
        </w:rPr>
        <w:t>dance with the terms of the Joint Petition, PA Gas Utility will not be permitted to file a rate case prior to January 1, 2024. Also, in accordance with the terms of the Joint Petition, PA Gas Utility is authorized to implement a weather normalization adjus</w:t>
      </w:r>
      <w:r>
        <w:rPr>
          <w:rFonts w:eastAsia="Times New Roman"/>
          <w:color w:val="000000"/>
          <w:sz w:val="20"/>
          <w:szCs w:val="20"/>
        </w:rPr>
        <w:t>tment rider as a 5-year pilot program beginning on the effective date of the new rates. Under this rider, customer billings for distribution services will be adjusted to reflect normal weather conditions if weather deviates more than 3% from normal. Additi</w:t>
      </w:r>
      <w:r>
        <w:rPr>
          <w:rFonts w:eastAsia="Times New Roman"/>
          <w:color w:val="000000"/>
          <w:sz w:val="20"/>
          <w:szCs w:val="20"/>
        </w:rPr>
        <w:t>onally, under the terms of the Joint Petition, PA Gas Utility will be authorized to implement a DSIC once its total property, plant and equipment less accumulated depreciation reaches $3,368.</w:t>
      </w:r>
      <w:r>
        <w:rPr>
          <w:rFonts w:ascii="Helvetica" w:eastAsia="Times New Roman" w:hAnsi="Helvetica"/>
          <w:color w:val="008080"/>
        </w:rPr>
        <w:t xml:space="preserve"> </w:t>
      </w:r>
      <w:r>
        <w:rPr>
          <w:rFonts w:eastAsia="Times New Roman"/>
          <w:color w:val="000000"/>
          <w:sz w:val="20"/>
          <w:szCs w:val="20"/>
        </w:rPr>
        <w:t>The Joint Petition was approved by a PAPUC administrative law ju</w:t>
      </w:r>
      <w:r>
        <w:rPr>
          <w:rFonts w:eastAsia="Times New Roman"/>
          <w:color w:val="000000"/>
          <w:sz w:val="20"/>
          <w:szCs w:val="20"/>
        </w:rPr>
        <w:t>dge on July 28, 2022, and is further subject to receipt of an order from the PAPUC approving the settlement. The Company cannot predict the timing or the ultimate outcome of the rate case review process.</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On February 8, 2021, Electric Utility filed a rate</w:t>
      </w:r>
      <w:r>
        <w:rPr>
          <w:rFonts w:eastAsia="Times New Roman"/>
          <w:color w:val="000000"/>
          <w:sz w:val="20"/>
          <w:szCs w:val="20"/>
        </w:rPr>
        <w:t xml:space="preserve"> request with the PAPUC to increase its annual base distribution revenues by $9. On October 28, 2021, the PAPUC issued a final order approving a settlement that permitted Electric Utility, effective November 9, 2021, to increase its base distribution reven</w:t>
      </w:r>
      <w:r>
        <w:rPr>
          <w:rFonts w:eastAsia="Times New Roman"/>
          <w:color w:val="000000"/>
          <w:sz w:val="20"/>
          <w:szCs w:val="20"/>
        </w:rPr>
        <w:t>ues by $6.</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On January 28, 2020, PA Gas Utility filed a request with the PAPUC to increase its annual base distribution operating revenues by $75 annually. On October 8, 2020, the PAPUC issued a final Order approving a settlement that permitted PA Gas Uti</w:t>
      </w:r>
      <w:r>
        <w:rPr>
          <w:rFonts w:eastAsia="Times New Roman"/>
          <w:color w:val="000000"/>
          <w:sz w:val="20"/>
          <w:szCs w:val="20"/>
        </w:rPr>
        <w:t>lity to increase its annual base distribution rates by $20, through a phased approach, with $10 beginning January 1, 2021 and an additional $10 beginning July 1, 2021. Additionally, PA Gas Utility was authorized to implement a DSIC once PA Gas Utility tota</w:t>
      </w:r>
      <w:r>
        <w:rPr>
          <w:rFonts w:eastAsia="Times New Roman"/>
          <w:color w:val="000000"/>
          <w:sz w:val="20"/>
          <w:szCs w:val="20"/>
        </w:rPr>
        <w:t>l property, plant and equipment less accumulated depreciation reached $2,875. This threshold was achieved in December 2020, and PA Gas Utility implemented a DSIC effective April 1, 2021. The PAPUC’s final Order also included enhanced COVID-19 customer assi</w:t>
      </w:r>
      <w:r>
        <w:rPr>
          <w:rFonts w:eastAsia="Times New Roman"/>
          <w:color w:val="000000"/>
          <w:sz w:val="20"/>
          <w:szCs w:val="20"/>
        </w:rPr>
        <w:t>stance measures, including the establishment of an Emergency Relief Program for a defined set of payment troubled customers (“ERP”). Additionally, the PAPUC’s final order permitted PA Gas Utility to establish a regulatory asset for certain incremental expe</w:t>
      </w:r>
      <w:r>
        <w:rPr>
          <w:rFonts w:eastAsia="Times New Roman"/>
          <w:color w:val="000000"/>
          <w:sz w:val="20"/>
          <w:szCs w:val="20"/>
        </w:rPr>
        <w:t>nses attributable to the ongoing COVID-19 pandemic, most notably expenses related to the ERP and uncollectible accounts expense, through the effective date of rates in the next PA Gas Utility base rate case, to be recovered and amortized over a 10-year per</w:t>
      </w:r>
      <w:r>
        <w:rPr>
          <w:rFonts w:eastAsia="Times New Roman"/>
          <w:color w:val="000000"/>
          <w:sz w:val="20"/>
          <w:szCs w:val="20"/>
        </w:rPr>
        <w:t>iod. In accordance with the terms of the final Order, PA Gas Utility was not permitted to file a rate case prior to January 1, 2022.</w:t>
      </w:r>
    </w:p>
    <w:p w:rsidR="00000000" w:rsidRDefault="00BE60E9">
      <w:pPr>
        <w:jc w:val="both"/>
        <w:rPr>
          <w:rFonts w:eastAsia="Times New Roman"/>
        </w:rPr>
      </w:pPr>
    </w:p>
    <w:p w:rsidR="00000000" w:rsidRDefault="00BE60E9">
      <w:pPr>
        <w:divId w:val="1409964167"/>
        <w:rPr>
          <w:rFonts w:eastAsia="Times New Roman"/>
        </w:rPr>
      </w:pPr>
      <w:r>
        <w:rPr>
          <w:rFonts w:eastAsia="Times New Roman"/>
          <w:b/>
          <w:bCs/>
          <w:color w:val="000000"/>
          <w:sz w:val="20"/>
          <w:szCs w:val="20"/>
          <w:u w:val="single"/>
        </w:rPr>
        <w:t>Note 8 — Debt</w:t>
      </w:r>
    </w:p>
    <w:p w:rsidR="00000000" w:rsidRDefault="00BE60E9">
      <w:pPr>
        <w:jc w:val="both"/>
        <w:rPr>
          <w:rFonts w:eastAsia="Times New Roman"/>
        </w:rPr>
      </w:pPr>
    </w:p>
    <w:p w:rsidR="00000000" w:rsidRDefault="00BE60E9">
      <w:pPr>
        <w:jc w:val="both"/>
        <w:rPr>
          <w:rFonts w:eastAsia="Times New Roman"/>
        </w:rPr>
      </w:pPr>
      <w:r>
        <w:rPr>
          <w:rFonts w:eastAsia="Times New Roman"/>
          <w:b/>
          <w:bCs/>
          <w:i/>
          <w:iCs/>
          <w:color w:val="000000"/>
          <w:sz w:val="20"/>
          <w:szCs w:val="20"/>
        </w:rPr>
        <w:t>UGI Utilities</w:t>
      </w:r>
      <w:r>
        <w:rPr>
          <w:rFonts w:eastAsia="Times New Roman"/>
          <w:color w:val="000000"/>
          <w:sz w:val="20"/>
          <w:szCs w:val="20"/>
        </w:rPr>
        <w:t>. On July 12, 2022, UGI Utilities amended the existing Utilities Term Loan. The amendment ex</w:t>
      </w:r>
      <w:r>
        <w:rPr>
          <w:rFonts w:eastAsia="Times New Roman"/>
          <w:color w:val="000000"/>
          <w:sz w:val="20"/>
          <w:szCs w:val="20"/>
        </w:rPr>
        <w:t xml:space="preserve">tended the maturity date of the loan from October 2022 to July 2027, among other things. The current amount outstanding under the Utilities Term Loan remains unchanged and is payable in quarterly installments of $2, with the balance of the principal being </w:t>
      </w:r>
      <w:r>
        <w:rPr>
          <w:rFonts w:eastAsia="Times New Roman"/>
          <w:color w:val="000000"/>
          <w:sz w:val="20"/>
          <w:szCs w:val="20"/>
        </w:rPr>
        <w:t>due and payable at maturity. We have entered into a forward-starting interest rate swap that will generally fix the underlying market-based interest rate on this variable-rate loan through June 2026.</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On June 30, 2022, UGI Utilities entered into a note pu</w:t>
      </w:r>
      <w:r>
        <w:rPr>
          <w:rFonts w:eastAsia="Times New Roman"/>
          <w:color w:val="000000"/>
          <w:sz w:val="20"/>
          <w:szCs w:val="20"/>
        </w:rPr>
        <w:t>rchase agreement which provides for the private placement of (1) $90 aggregate principal amount of 4.75% Senior Notes due July 15, 2032 and (2) $85 aggregate principal amount of 4.99% Senior Notes due September 15, 2052. On July 15, 2022, UGI Utilities iss</w:t>
      </w:r>
      <w:r>
        <w:rPr>
          <w:rFonts w:eastAsia="Times New Roman"/>
          <w:color w:val="000000"/>
          <w:sz w:val="20"/>
          <w:szCs w:val="20"/>
        </w:rPr>
        <w:t>ued $90 aggregate principal amount of 4.75% Senior Notes pursuant to the note purchase agreement. The net proceeds from the issuance of the 4.75% Senior Notes were used to reduce short-term borrowings and for general corporate purposes. The 4.99% Senior No</w:t>
      </w:r>
      <w:r>
        <w:rPr>
          <w:rFonts w:eastAsia="Times New Roman"/>
          <w:color w:val="000000"/>
          <w:sz w:val="20"/>
          <w:szCs w:val="20"/>
        </w:rPr>
        <w:t xml:space="preserve">tes are expected to be issued on or before September 15, 2022. These Senior Notes are unsecured and will rank equally with UGI Utilities’ existing outstanding senior debt. UGI Utilities expects to use the net proceeds from the issuance of the 4.99% Senior </w:t>
      </w:r>
      <w:r>
        <w:rPr>
          <w:rFonts w:eastAsia="Times New Roman"/>
          <w:color w:val="000000"/>
          <w:sz w:val="20"/>
          <w:szCs w:val="20"/>
        </w:rPr>
        <w:t>Notes to reduce short-term borrowings and for general corporate purposes.</w:t>
      </w:r>
    </w:p>
    <w:p w:rsidR="00000000" w:rsidRDefault="00BE60E9">
      <w:pPr>
        <w:jc w:val="both"/>
        <w:rPr>
          <w:rFonts w:eastAsia="Times New Roman"/>
        </w:rPr>
      </w:pPr>
    </w:p>
    <w:p w:rsidR="00000000" w:rsidRDefault="00BE60E9">
      <w:pPr>
        <w:jc w:val="both"/>
        <w:rPr>
          <w:rFonts w:eastAsia="Times New Roman"/>
        </w:rPr>
      </w:pPr>
      <w:r>
        <w:rPr>
          <w:rFonts w:eastAsia="Times New Roman"/>
          <w:b/>
          <w:bCs/>
          <w:i/>
          <w:iCs/>
          <w:color w:val="000000"/>
          <w:sz w:val="20"/>
          <w:szCs w:val="20"/>
        </w:rPr>
        <w:t>Mountaineer.</w:t>
      </w:r>
      <w:r>
        <w:rPr>
          <w:rFonts w:eastAsia="Times New Roman"/>
          <w:color w:val="000000"/>
          <w:sz w:val="20"/>
          <w:szCs w:val="20"/>
        </w:rPr>
        <w:t xml:space="preserve"> On June 30, 2022, Mountaineer entered into a note purchase agreement which provides for the private placement of $40 aggregate principal amount of 4.49% Senior Notes d</w:t>
      </w:r>
      <w:r>
        <w:rPr>
          <w:rFonts w:eastAsia="Times New Roman"/>
          <w:color w:val="000000"/>
          <w:sz w:val="20"/>
          <w:szCs w:val="20"/>
        </w:rPr>
        <w:t xml:space="preserve">ue August 16, 2052. The 4.49% Senior Notes are expected to be </w:t>
      </w:r>
    </w:p>
    <w:p w:rsidR="00000000" w:rsidRDefault="00BE60E9">
      <w:pPr>
        <w:jc w:val="center"/>
        <w:divId w:val="1228690491"/>
        <w:rPr>
          <w:rFonts w:eastAsia="Times New Roman"/>
        </w:rPr>
      </w:pPr>
      <w:r>
        <w:rPr>
          <w:rFonts w:eastAsia="Times New Roman"/>
          <w:color w:val="000000"/>
          <w:sz w:val="20"/>
          <w:szCs w:val="20"/>
        </w:rPr>
        <w:t>20</w:t>
      </w:r>
    </w:p>
    <w:p w:rsidR="00000000" w:rsidRDefault="00BE60E9">
      <w:pPr>
        <w:rPr>
          <w:rFonts w:eastAsia="Times New Roman"/>
        </w:rPr>
      </w:pPr>
      <w:r>
        <w:rPr>
          <w:rFonts w:eastAsia="Times New Roman"/>
        </w:rPr>
        <w:pict>
          <v:rect id="_x0000_i1046" style="width:0;height:1.5pt" o:hralign="center" o:hrstd="t" o:hr="t" fillcolor="#a0a0a0" stroked="f"/>
        </w:pict>
      </w:r>
    </w:p>
    <w:p w:rsidR="00000000" w:rsidRDefault="00BE60E9">
      <w:pPr>
        <w:divId w:val="2041583703"/>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350691770"/>
        <w:rPr>
          <w:rFonts w:eastAsia="Times New Roman"/>
        </w:rPr>
      </w:pPr>
      <w:r>
        <w:rPr>
          <w:rFonts w:eastAsia="Times New Roman"/>
          <w:b/>
          <w:bCs/>
          <w:color w:val="000000"/>
          <w:sz w:val="20"/>
          <w:szCs w:val="20"/>
        </w:rPr>
        <w:t>UGI CORPORATION AND SUBSIDIARIES</w:t>
      </w:r>
    </w:p>
    <w:p w:rsidR="00000000" w:rsidRDefault="00BE60E9">
      <w:pPr>
        <w:jc w:val="center"/>
        <w:divId w:val="1224027533"/>
        <w:rPr>
          <w:rFonts w:eastAsia="Times New Roman"/>
        </w:rPr>
      </w:pPr>
      <w:r>
        <w:rPr>
          <w:rFonts w:eastAsia="Times New Roman"/>
          <w:b/>
          <w:bCs/>
          <w:color w:val="000000"/>
          <w:sz w:val="20"/>
          <w:szCs w:val="20"/>
          <w:u w:val="single"/>
        </w:rPr>
        <w:t>Notes to Condensed Consolidated Financial Statements</w:t>
      </w:r>
    </w:p>
    <w:p w:rsidR="00000000" w:rsidRDefault="00BE60E9">
      <w:pPr>
        <w:jc w:val="center"/>
        <w:divId w:val="350691770"/>
        <w:rPr>
          <w:rFonts w:eastAsia="Times New Roman"/>
        </w:rPr>
      </w:pPr>
      <w:r>
        <w:rPr>
          <w:rFonts w:eastAsia="Times New Roman"/>
          <w:color w:val="000000"/>
          <w:sz w:val="20"/>
          <w:szCs w:val="20"/>
        </w:rPr>
        <w:t>(unaudited)</w:t>
      </w:r>
    </w:p>
    <w:p w:rsidR="00000000" w:rsidRDefault="00BE60E9">
      <w:pPr>
        <w:jc w:val="center"/>
        <w:divId w:val="350691770"/>
        <w:rPr>
          <w:rFonts w:eastAsia="Times New Roman"/>
        </w:rPr>
      </w:pPr>
      <w:r>
        <w:rPr>
          <w:rFonts w:eastAsia="Times New Roman"/>
          <w:color w:val="000000"/>
          <w:sz w:val="20"/>
          <w:szCs w:val="20"/>
        </w:rPr>
        <w:t>(Currency in millions, except per share amounts and where indicated otherwise)</w:t>
      </w:r>
    </w:p>
    <w:p w:rsidR="00000000" w:rsidRDefault="00BE60E9">
      <w:pPr>
        <w:jc w:val="both"/>
        <w:rPr>
          <w:rFonts w:eastAsia="Times New Roman"/>
        </w:rPr>
      </w:pPr>
      <w:r>
        <w:rPr>
          <w:rFonts w:eastAsia="Times New Roman"/>
          <w:color w:val="000000"/>
          <w:sz w:val="20"/>
          <w:szCs w:val="20"/>
        </w:rPr>
        <w:t>issued on or before August 16, 2022. These Senior Notes are unsecured and will rank equally with Mountaineer’s e</w:t>
      </w:r>
      <w:r>
        <w:rPr>
          <w:rFonts w:eastAsia="Times New Roman"/>
          <w:color w:val="000000"/>
          <w:sz w:val="20"/>
          <w:szCs w:val="20"/>
        </w:rPr>
        <w:t>xisting outstanding senior debt. Mountaineer expects to use the net proceeds from the issuance of the 4.49% Senior Notes to reduce short-term borrowings and for general corporate purposes</w:t>
      </w:r>
      <w:r>
        <w:rPr>
          <w:rFonts w:ascii="Calibri" w:eastAsia="Times New Roman" w:hAnsi="Calibri" w:cs="Calibri"/>
          <w:color w:val="000000"/>
          <w:sz w:val="20"/>
          <w:szCs w:val="20"/>
        </w:rPr>
        <w:t xml:space="preserve">. </w:t>
      </w:r>
    </w:p>
    <w:p w:rsidR="00000000" w:rsidRDefault="00BE60E9">
      <w:pPr>
        <w:jc w:val="both"/>
        <w:rPr>
          <w:rFonts w:eastAsia="Times New Roman"/>
        </w:rPr>
      </w:pPr>
    </w:p>
    <w:p w:rsidR="00000000" w:rsidRDefault="00BE60E9">
      <w:pPr>
        <w:jc w:val="both"/>
        <w:rPr>
          <w:rFonts w:eastAsia="Times New Roman"/>
        </w:rPr>
      </w:pPr>
      <w:r>
        <w:rPr>
          <w:rFonts w:eastAsia="Times New Roman"/>
          <w:b/>
          <w:bCs/>
          <w:i/>
          <w:iCs/>
          <w:color w:val="000000"/>
          <w:sz w:val="20"/>
          <w:szCs w:val="20"/>
        </w:rPr>
        <w:t xml:space="preserve">UGI International. </w:t>
      </w:r>
      <w:r>
        <w:rPr>
          <w:rFonts w:eastAsia="Times New Roman"/>
          <w:color w:val="000000"/>
          <w:sz w:val="20"/>
          <w:szCs w:val="20"/>
        </w:rPr>
        <w:t>On December 7, 2021, UGI International, LLC i</w:t>
      </w:r>
      <w:r>
        <w:rPr>
          <w:rFonts w:eastAsia="Times New Roman"/>
          <w:color w:val="000000"/>
          <w:sz w:val="20"/>
          <w:szCs w:val="20"/>
        </w:rPr>
        <w:t>ssued, in an underwritten private placement, €400 principal amount of the UGI International 2.50% Senior Notes due December 1, 2029. The UGI International 2.50% Senior Notes rank equal in right of payment with indebtedness issued under the UGI Internationa</w:t>
      </w:r>
      <w:r>
        <w:rPr>
          <w:rFonts w:eastAsia="Times New Roman"/>
          <w:color w:val="000000"/>
          <w:sz w:val="20"/>
          <w:szCs w:val="20"/>
        </w:rPr>
        <w:t>l Credit Facilities Agreement.</w:t>
      </w:r>
    </w:p>
    <w:p w:rsidR="00000000" w:rsidRDefault="00BE60E9">
      <w:pPr>
        <w:divId w:val="2121799842"/>
        <w:rPr>
          <w:rFonts w:eastAsia="Times New Roman"/>
        </w:rPr>
      </w:pPr>
    </w:p>
    <w:p w:rsidR="00000000" w:rsidRDefault="00BE60E9">
      <w:pPr>
        <w:jc w:val="both"/>
        <w:rPr>
          <w:rFonts w:eastAsia="Times New Roman"/>
        </w:rPr>
      </w:pPr>
      <w:r>
        <w:rPr>
          <w:rFonts w:eastAsia="Times New Roman"/>
          <w:color w:val="000000"/>
          <w:sz w:val="20"/>
          <w:szCs w:val="20"/>
        </w:rPr>
        <w:t>The net proceeds from the UGI International 2.50% Senior Notes were used (1) to repay all of the UGI International 3.25% Senior Notes due November 1, 2025 and associated fees and expenses and (2) for general corporate purpo</w:t>
      </w:r>
      <w:r>
        <w:rPr>
          <w:rFonts w:eastAsia="Times New Roman"/>
          <w:color w:val="000000"/>
          <w:sz w:val="20"/>
          <w:szCs w:val="20"/>
        </w:rPr>
        <w:t>ses. We have designated the UGI International 2.50% Senior Notes as a net investment hedge. In connection with this early repayment of debt, UGI International recognized a pre-tax loss of $11, which is reflected in “Loss on extinguishment of debt” on the C</w:t>
      </w:r>
      <w:r>
        <w:rPr>
          <w:rFonts w:eastAsia="Times New Roman"/>
          <w:color w:val="000000"/>
          <w:sz w:val="20"/>
          <w:szCs w:val="20"/>
        </w:rPr>
        <w:t>ondensed Consolidated Statements of Income, and primarily comprises the write-off of unamortized debt issuance costs and early redemption premiums.</w:t>
      </w:r>
    </w:p>
    <w:p w:rsidR="00000000" w:rsidRDefault="00BE60E9">
      <w:pPr>
        <w:jc w:val="both"/>
        <w:rPr>
          <w:rFonts w:eastAsia="Times New Roman"/>
        </w:rPr>
      </w:pPr>
    </w:p>
    <w:p w:rsidR="00000000" w:rsidRDefault="00BE60E9">
      <w:pPr>
        <w:ind w:hanging="540"/>
        <w:jc w:val="both"/>
        <w:rPr>
          <w:rFonts w:eastAsia="Times New Roman"/>
        </w:rPr>
      </w:pPr>
      <w:r>
        <w:rPr>
          <w:rFonts w:eastAsia="Times New Roman"/>
          <w:b/>
          <w:bCs/>
          <w:color w:val="000000"/>
          <w:sz w:val="20"/>
          <w:szCs w:val="20"/>
          <w:u w:val="single"/>
        </w:rPr>
        <w:t>Note 9 — Commitments and Contingencies</w:t>
      </w:r>
      <w:r>
        <w:rPr>
          <w:rFonts w:eastAsia="Times New Roman"/>
          <w:b/>
          <w:bCs/>
          <w:color w:val="000000"/>
          <w:sz w:val="20"/>
          <w:szCs w:val="20"/>
        </w:rPr>
        <w:t xml:space="preserve"> </w:t>
      </w:r>
    </w:p>
    <w:p w:rsidR="00000000" w:rsidRDefault="00BE60E9">
      <w:pPr>
        <w:jc w:val="both"/>
        <w:rPr>
          <w:rFonts w:eastAsia="Times New Roman"/>
        </w:rPr>
      </w:pPr>
    </w:p>
    <w:p w:rsidR="00000000" w:rsidRDefault="00BE60E9">
      <w:pPr>
        <w:jc w:val="both"/>
        <w:rPr>
          <w:rFonts w:eastAsia="Times New Roman"/>
        </w:rPr>
      </w:pPr>
      <w:r>
        <w:rPr>
          <w:rFonts w:eastAsia="Times New Roman"/>
          <w:b/>
          <w:bCs/>
          <w:color w:val="000000"/>
          <w:sz w:val="20"/>
          <w:szCs w:val="20"/>
        </w:rPr>
        <w:t>Environmental Matters</w:t>
      </w:r>
    </w:p>
    <w:p w:rsidR="00000000" w:rsidRDefault="00BE60E9">
      <w:pPr>
        <w:jc w:val="both"/>
        <w:rPr>
          <w:rFonts w:eastAsia="Times New Roman"/>
        </w:rPr>
      </w:pPr>
    </w:p>
    <w:p w:rsidR="00000000" w:rsidRDefault="00BE60E9">
      <w:pPr>
        <w:jc w:val="both"/>
        <w:rPr>
          <w:rFonts w:eastAsia="Times New Roman"/>
        </w:rPr>
      </w:pPr>
      <w:r>
        <w:rPr>
          <w:rFonts w:eastAsia="Times New Roman"/>
          <w:b/>
          <w:bCs/>
          <w:i/>
          <w:iCs/>
          <w:color w:val="000000"/>
          <w:sz w:val="20"/>
          <w:szCs w:val="20"/>
        </w:rPr>
        <w:t>UGI Utilities</w:t>
      </w:r>
    </w:p>
    <w:p w:rsidR="00000000" w:rsidRDefault="00BE60E9">
      <w:pPr>
        <w:jc w:val="both"/>
        <w:rPr>
          <w:rFonts w:eastAsia="Times New Roman"/>
        </w:rPr>
      </w:pPr>
    </w:p>
    <w:p w:rsidR="00000000" w:rsidRDefault="00BE60E9">
      <w:pPr>
        <w:jc w:val="both"/>
        <w:divId w:val="2095587916"/>
        <w:rPr>
          <w:rFonts w:eastAsia="Times New Roman"/>
        </w:rPr>
      </w:pPr>
      <w:r>
        <w:rPr>
          <w:rFonts w:eastAsia="Times New Roman"/>
          <w:color w:val="000000"/>
          <w:sz w:val="20"/>
          <w:szCs w:val="20"/>
        </w:rPr>
        <w:t>From the late 1800s through the mid-1900s, UGI Utilities and its former subsidiaries owned and operated a number of MGPs prior to the general availability of natural gas. Some constituents of coal tars and other residues of the manufactured gas process are</w:t>
      </w:r>
      <w:r>
        <w:rPr>
          <w:rFonts w:eastAsia="Times New Roman"/>
          <w:color w:val="000000"/>
          <w:sz w:val="20"/>
          <w:szCs w:val="20"/>
        </w:rPr>
        <w:t xml:space="preserve"> today considered hazardous substances under the Superfund Law and may be present on the sites of former MGPs. Between 1882 and 1953, UGI Utilities owned the stock of subsidiary gas companies in Pennsylvania and elsewhere and also operated the businesses o</w:t>
      </w:r>
      <w:r>
        <w:rPr>
          <w:rFonts w:eastAsia="Times New Roman"/>
          <w:color w:val="000000"/>
          <w:sz w:val="20"/>
          <w:szCs w:val="20"/>
        </w:rPr>
        <w:t>f some gas companies under agreement. By the early 1950s, UGI Utilities divested all of its utility operations other than certain gas and electric operations. Beginning in 2006 and 2008, UGI Utilities also owned and operated two acquired subsidiaries, with</w:t>
      </w:r>
      <w:r>
        <w:rPr>
          <w:rFonts w:eastAsia="Times New Roman"/>
          <w:color w:val="000000"/>
          <w:sz w:val="20"/>
          <w:szCs w:val="20"/>
        </w:rPr>
        <w:t xml:space="preserve"> similar histories of owning, and in some cases operating, MGPs in Pennsylvania. </w:t>
      </w:r>
    </w:p>
    <w:p w:rsidR="00000000" w:rsidRDefault="00BE60E9">
      <w:pPr>
        <w:jc w:val="both"/>
        <w:rPr>
          <w:rFonts w:eastAsia="Times New Roman"/>
        </w:rPr>
      </w:pPr>
      <w:r>
        <w:rPr>
          <w:rFonts w:eastAsia="Times New Roman"/>
          <w:color w:val="000000"/>
          <w:sz w:val="20"/>
          <w:szCs w:val="20"/>
        </w:rPr>
        <w:t>UGI Utilities is subject to a COA with the PADEP to address the remediation of specified former MGP sites in Pennsylvania, which is scheduled to terminate at the end of 2031.</w:t>
      </w:r>
      <w:r>
        <w:rPr>
          <w:rFonts w:eastAsia="Times New Roman"/>
          <w:color w:val="000000"/>
          <w:sz w:val="20"/>
          <w:szCs w:val="20"/>
        </w:rPr>
        <w:t xml:space="preserve"> In accordance with the COA, UGI Utilities is required to either obtain a certain number of points per calendar year based on defined eligible environmental investigatory and/or remedial activities at the MGPs, or make expenditures for such activities in a</w:t>
      </w:r>
      <w:r>
        <w:rPr>
          <w:rFonts w:eastAsia="Times New Roman"/>
          <w:color w:val="000000"/>
          <w:sz w:val="20"/>
          <w:szCs w:val="20"/>
        </w:rPr>
        <w:t>n amount equal to an annual environmental minimum expenditure threshold. The annual minimum expenditure threshold of the COA is $5. The COA permits the transfer of the specified wells, with related costs counted towards the annual minimum expenditure. At J</w:t>
      </w:r>
      <w:r>
        <w:rPr>
          <w:rFonts w:eastAsia="Times New Roman"/>
          <w:color w:val="000000"/>
          <w:sz w:val="20"/>
          <w:szCs w:val="20"/>
        </w:rPr>
        <w:t>une 30, 2022, September 30, 2021 and June 30, 2021, our aggregate estimated accrued liabilities for environmental investigation and remediation costs related to the current COA and the predecessor agreements totaled $51, $50 and $49, respectively.</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 xml:space="preserve">We do </w:t>
      </w:r>
      <w:r>
        <w:rPr>
          <w:rFonts w:eastAsia="Times New Roman"/>
          <w:color w:val="000000"/>
          <w:sz w:val="20"/>
          <w:szCs w:val="20"/>
        </w:rPr>
        <w:t>not expect the costs for investigation and remediation of hazardous substances at Pennsylvania MGP sites to be material to UGI Utilities’ results of operations because UGI Utilities receives ratemaking recovery of actual environmental investigation and rem</w:t>
      </w:r>
      <w:r>
        <w:rPr>
          <w:rFonts w:eastAsia="Times New Roman"/>
          <w:color w:val="000000"/>
          <w:sz w:val="20"/>
          <w:szCs w:val="20"/>
        </w:rPr>
        <w:t>ediation costs associated with the sites covered by the COA. This ratemaking recognition reconciles the accumulated difference between historical costs and rate recoveries with an estimate of future costs associated with the sites. As such, UGI Utilities h</w:t>
      </w:r>
      <w:r>
        <w:rPr>
          <w:rFonts w:eastAsia="Times New Roman"/>
          <w:color w:val="000000"/>
          <w:sz w:val="20"/>
          <w:szCs w:val="20"/>
        </w:rPr>
        <w:t>as recorded an associated regulatory asset for these costs because recovery of these costs from customers is probable (see Note 7).</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From time to time, UGI Utilities is notified of sites outside Pennsylvania on which private parties allege MGPs were forme</w:t>
      </w:r>
      <w:r>
        <w:rPr>
          <w:rFonts w:eastAsia="Times New Roman"/>
          <w:color w:val="000000"/>
          <w:sz w:val="20"/>
          <w:szCs w:val="20"/>
        </w:rPr>
        <w:t>rly owned or operated by UGI Utilities or owned or operated by a former subsidiary. Such parties generally investigate the extent of environmental contamination or perform environmental remediation. Management believes that under applicable law, UGI Utilit</w:t>
      </w:r>
      <w:r>
        <w:rPr>
          <w:rFonts w:eastAsia="Times New Roman"/>
          <w:color w:val="000000"/>
          <w:sz w:val="20"/>
          <w:szCs w:val="20"/>
        </w:rPr>
        <w:t>ies should not be liable in those instances in which a former subsidiary owned or operated an MGP. There could be, however, significant future costs of an uncertain amount associated with environmental damage caused by MGPs outside Pennsylvania that UGI Ut</w:t>
      </w:r>
      <w:r>
        <w:rPr>
          <w:rFonts w:eastAsia="Times New Roman"/>
          <w:color w:val="000000"/>
          <w:sz w:val="20"/>
          <w:szCs w:val="20"/>
        </w:rPr>
        <w:t>ilities directly operated, or that were owned or operated by a former subsidiary of UGI Utilities if a court were to conclude that (1) the subsidiary’s separate corporate form should be disregarded, or (2) UGI Utilities should be considered to have been an</w:t>
      </w:r>
      <w:r>
        <w:rPr>
          <w:rFonts w:eastAsia="Times New Roman"/>
          <w:color w:val="000000"/>
          <w:sz w:val="20"/>
          <w:szCs w:val="20"/>
        </w:rPr>
        <w:t xml:space="preserve"> operator because of its conduct with respect to its subsidiary’s MGP. Neither the undiscounted nor the accrued liability for environmental investigation and cleanup costs for UGI Utilities’ MGP sites outside Pennsylvania were material for all periods pres</w:t>
      </w:r>
      <w:r>
        <w:rPr>
          <w:rFonts w:eastAsia="Times New Roman"/>
          <w:color w:val="000000"/>
          <w:sz w:val="20"/>
          <w:szCs w:val="20"/>
        </w:rPr>
        <w:t>ented.</w:t>
      </w:r>
    </w:p>
    <w:p w:rsidR="00000000" w:rsidRDefault="00BE60E9">
      <w:pPr>
        <w:jc w:val="center"/>
        <w:divId w:val="1296445195"/>
        <w:rPr>
          <w:rFonts w:eastAsia="Times New Roman"/>
        </w:rPr>
      </w:pPr>
      <w:r>
        <w:rPr>
          <w:rFonts w:eastAsia="Times New Roman"/>
          <w:color w:val="000000"/>
          <w:sz w:val="20"/>
          <w:szCs w:val="20"/>
        </w:rPr>
        <w:t>21</w:t>
      </w:r>
    </w:p>
    <w:p w:rsidR="00000000" w:rsidRDefault="00BE60E9">
      <w:pPr>
        <w:rPr>
          <w:rFonts w:eastAsia="Times New Roman"/>
        </w:rPr>
      </w:pPr>
      <w:r>
        <w:rPr>
          <w:rFonts w:eastAsia="Times New Roman"/>
        </w:rPr>
        <w:pict>
          <v:rect id="_x0000_i1047" style="width:0;height:1.5pt" o:hralign="center" o:hrstd="t" o:hr="t" fillcolor="#a0a0a0" stroked="f"/>
        </w:pict>
      </w:r>
    </w:p>
    <w:p w:rsidR="00000000" w:rsidRDefault="00BE60E9">
      <w:pPr>
        <w:divId w:val="575096263"/>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590621543"/>
        <w:rPr>
          <w:rFonts w:eastAsia="Times New Roman"/>
        </w:rPr>
      </w:pPr>
      <w:r>
        <w:rPr>
          <w:rFonts w:eastAsia="Times New Roman"/>
          <w:b/>
          <w:bCs/>
          <w:color w:val="000000"/>
          <w:sz w:val="20"/>
          <w:szCs w:val="20"/>
        </w:rPr>
        <w:t>UGI CORPORATION AND SUBSIDIARIES</w:t>
      </w:r>
    </w:p>
    <w:p w:rsidR="00000000" w:rsidRDefault="00BE60E9">
      <w:pPr>
        <w:jc w:val="center"/>
        <w:divId w:val="234365205"/>
        <w:rPr>
          <w:rFonts w:eastAsia="Times New Roman"/>
        </w:rPr>
      </w:pPr>
      <w:r>
        <w:rPr>
          <w:rFonts w:eastAsia="Times New Roman"/>
          <w:b/>
          <w:bCs/>
          <w:color w:val="000000"/>
          <w:sz w:val="20"/>
          <w:szCs w:val="20"/>
          <w:u w:val="single"/>
        </w:rPr>
        <w:t>Notes to Condensed Consolidated Financial Statements</w:t>
      </w:r>
    </w:p>
    <w:p w:rsidR="00000000" w:rsidRDefault="00BE60E9">
      <w:pPr>
        <w:jc w:val="center"/>
        <w:divId w:val="590621543"/>
        <w:rPr>
          <w:rFonts w:eastAsia="Times New Roman"/>
        </w:rPr>
      </w:pPr>
      <w:r>
        <w:rPr>
          <w:rFonts w:eastAsia="Times New Roman"/>
          <w:color w:val="000000"/>
          <w:sz w:val="20"/>
          <w:szCs w:val="20"/>
        </w:rPr>
        <w:t>(unaudited)</w:t>
      </w:r>
    </w:p>
    <w:p w:rsidR="00000000" w:rsidRDefault="00BE60E9">
      <w:pPr>
        <w:jc w:val="center"/>
        <w:divId w:val="590621543"/>
        <w:rPr>
          <w:rFonts w:eastAsia="Times New Roman"/>
        </w:rPr>
      </w:pPr>
      <w:r>
        <w:rPr>
          <w:rFonts w:eastAsia="Times New Roman"/>
          <w:color w:val="000000"/>
          <w:sz w:val="20"/>
          <w:szCs w:val="20"/>
        </w:rPr>
        <w:t>(Currency in millions, except per sh</w:t>
      </w:r>
      <w:r>
        <w:rPr>
          <w:rFonts w:eastAsia="Times New Roman"/>
          <w:color w:val="000000"/>
          <w:sz w:val="20"/>
          <w:szCs w:val="20"/>
        </w:rPr>
        <w:t>are amounts and where indicated otherwise)</w:t>
      </w:r>
    </w:p>
    <w:p w:rsidR="00000000" w:rsidRDefault="00BE60E9">
      <w:pPr>
        <w:jc w:val="both"/>
        <w:rPr>
          <w:rFonts w:eastAsia="Times New Roman"/>
        </w:rPr>
      </w:pPr>
    </w:p>
    <w:p w:rsidR="00000000" w:rsidRDefault="00BE60E9">
      <w:pPr>
        <w:jc w:val="both"/>
        <w:rPr>
          <w:rFonts w:eastAsia="Times New Roman"/>
        </w:rPr>
      </w:pPr>
      <w:r>
        <w:rPr>
          <w:rFonts w:eastAsia="Times New Roman"/>
          <w:b/>
          <w:bCs/>
          <w:i/>
          <w:iCs/>
          <w:color w:val="000000"/>
          <w:sz w:val="20"/>
          <w:szCs w:val="20"/>
        </w:rPr>
        <w:t>AmeriGas Propane</w:t>
      </w:r>
    </w:p>
    <w:p w:rsidR="00000000" w:rsidRDefault="00BE60E9">
      <w:pPr>
        <w:jc w:val="both"/>
        <w:rPr>
          <w:rFonts w:eastAsia="Times New Roman"/>
        </w:rPr>
      </w:pPr>
    </w:p>
    <w:p w:rsidR="00000000" w:rsidRDefault="00BE60E9">
      <w:pPr>
        <w:jc w:val="both"/>
        <w:rPr>
          <w:rFonts w:eastAsia="Times New Roman"/>
        </w:rPr>
      </w:pPr>
      <w:r>
        <w:rPr>
          <w:rFonts w:eastAsia="Times New Roman"/>
          <w:b/>
          <w:bCs/>
          <w:i/>
          <w:iCs/>
          <w:color w:val="000000"/>
          <w:sz w:val="20"/>
          <w:szCs w:val="20"/>
        </w:rPr>
        <w:t xml:space="preserve">AmeriGas OLP Saranac Lake. </w:t>
      </w:r>
      <w:r>
        <w:rPr>
          <w:rFonts w:eastAsia="Times New Roman"/>
          <w:color w:val="000000"/>
          <w:sz w:val="20"/>
          <w:szCs w:val="20"/>
        </w:rPr>
        <w:t>In 2008, the NYDEC notified AmeriGas OLP that the NYDEC had placed property purportedly owned by AmeriGas OLP in Saranac Lake, New York on the New York State Registry of Inactive Hazardous Waste Disposal Sites. A site characterization study performed by th</w:t>
      </w:r>
      <w:r>
        <w:rPr>
          <w:rFonts w:eastAsia="Times New Roman"/>
          <w:color w:val="000000"/>
          <w:sz w:val="20"/>
          <w:szCs w:val="20"/>
        </w:rPr>
        <w:t>e NYDEC disclosed contamination related to a former MGP. AmeriGas OLP responded to the NYDEC in 2009 to dispute the contention it was a PRP as it did not operate the MGP and appeared to only own a portion of the site. In 2017, the NYDEC communicated to Ame</w:t>
      </w:r>
      <w:r>
        <w:rPr>
          <w:rFonts w:eastAsia="Times New Roman"/>
          <w:color w:val="000000"/>
          <w:sz w:val="20"/>
          <w:szCs w:val="20"/>
        </w:rPr>
        <w:t xml:space="preserve">riGas OLP that the NYDEC had previously issued three RODs related to remediation of the site totaling approximately $28 and requested additional information regarding AmeriGas OLP’s purported ownership. AmeriGas OLP renewed its challenge to designation as </w:t>
      </w:r>
      <w:r>
        <w:rPr>
          <w:rFonts w:eastAsia="Times New Roman"/>
          <w:color w:val="000000"/>
          <w:sz w:val="20"/>
          <w:szCs w:val="20"/>
        </w:rPr>
        <w:t>a PRP and identified potential defenses. The NYDEC subsequently identified a third party PRP with respect to the site.</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 xml:space="preserve">The NYDEC commenced implementation of the remediation plan in the spring of 2018. Based on our evaluation of the available information </w:t>
      </w:r>
      <w:r>
        <w:rPr>
          <w:rFonts w:eastAsia="Times New Roman"/>
          <w:color w:val="000000"/>
          <w:sz w:val="20"/>
          <w:szCs w:val="20"/>
        </w:rPr>
        <w:t>as of June 30, 2022, the Partnership has an undiscounted environmental remediation liability of $8 related to the site. Our share of the actual remediation costs could be significantly more or less than the accrued amount.</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 xml:space="preserve">Although we cannot predict the </w:t>
      </w:r>
      <w:r>
        <w:rPr>
          <w:rFonts w:eastAsia="Times New Roman"/>
          <w:color w:val="000000"/>
          <w:sz w:val="20"/>
          <w:szCs w:val="20"/>
        </w:rPr>
        <w:t>final results of these pending claims and legal actions, we believe, after consultation with counsel, that the final outcome of these matters will not have a material effect on our financial statements.</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In addition to the matters described above, there are other pending claims and legal actions arising in the normal course of our businesses. Although we cannot predict the final results of these pending claims and legal actions, we believe, after consultat</w:t>
      </w:r>
      <w:r>
        <w:rPr>
          <w:rFonts w:eastAsia="Times New Roman"/>
          <w:color w:val="000000"/>
          <w:sz w:val="20"/>
          <w:szCs w:val="20"/>
        </w:rPr>
        <w:t>ion with counsel, that the final outcome of these matters will not have a material effect on our financial statements.</w:t>
      </w:r>
    </w:p>
    <w:p w:rsidR="00000000" w:rsidRDefault="00BE60E9">
      <w:pPr>
        <w:jc w:val="both"/>
        <w:rPr>
          <w:rFonts w:eastAsia="Times New Roman"/>
        </w:rPr>
      </w:pPr>
    </w:p>
    <w:p w:rsidR="00000000" w:rsidRDefault="00BE60E9">
      <w:pPr>
        <w:ind w:hanging="540"/>
        <w:jc w:val="both"/>
        <w:rPr>
          <w:rFonts w:eastAsia="Times New Roman"/>
        </w:rPr>
      </w:pPr>
      <w:r>
        <w:rPr>
          <w:rFonts w:eastAsia="Times New Roman"/>
          <w:b/>
          <w:bCs/>
          <w:color w:val="000000"/>
          <w:sz w:val="20"/>
          <w:szCs w:val="20"/>
          <w:u w:val="single"/>
        </w:rPr>
        <w:t>Note 10 — Defined Benefit Pension and Other Postretirement Plans</w:t>
      </w:r>
      <w:r>
        <w:rPr>
          <w:rFonts w:eastAsia="Times New Roman"/>
          <w:b/>
          <w:bCs/>
          <w:color w:val="000000"/>
          <w:sz w:val="20"/>
          <w:szCs w:val="20"/>
        </w:rPr>
        <w:t xml:space="preserve"> </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The Company maintains defined benefit plans and other postretiremen</w:t>
      </w:r>
      <w:r>
        <w:rPr>
          <w:rFonts w:eastAsia="Times New Roman"/>
          <w:color w:val="000000"/>
          <w:sz w:val="20"/>
          <w:szCs w:val="20"/>
        </w:rPr>
        <w:t>t plans for certain current and former employees. The service cost component of our pension and other postretirement plans, net of amounts capitalized, is reflected in “Operating and administrative expenses” on the Condensed Consolidated Statements of Inco</w:t>
      </w:r>
      <w:r>
        <w:rPr>
          <w:rFonts w:eastAsia="Times New Roman"/>
          <w:color w:val="000000"/>
          <w:sz w:val="20"/>
          <w:szCs w:val="20"/>
        </w:rPr>
        <w:t xml:space="preserve">me. The non-service cost component, net of amounts capitalized by Utilities as a regulatory asset, is reflected in “Other non-operating income, net” on the Condensed Consolidated Statements of Income. Other postretirement benefit cost was not material for </w:t>
      </w:r>
      <w:r>
        <w:rPr>
          <w:rFonts w:eastAsia="Times New Roman"/>
          <w:color w:val="000000"/>
          <w:sz w:val="20"/>
          <w:szCs w:val="20"/>
        </w:rPr>
        <w:t>all periods presented. Net periodic pension cost includes the following components:</w:t>
      </w:r>
    </w:p>
    <w:tbl>
      <w:tblPr>
        <w:tblW w:w="5000" w:type="pct"/>
        <w:tblCellMar>
          <w:top w:w="15" w:type="dxa"/>
          <w:left w:w="15" w:type="dxa"/>
          <w:bottom w:w="15" w:type="dxa"/>
          <w:right w:w="15" w:type="dxa"/>
        </w:tblCellMar>
        <w:tblLook w:val="04A0" w:firstRow="1" w:lastRow="0" w:firstColumn="1" w:lastColumn="0" w:noHBand="0" w:noVBand="1"/>
      </w:tblPr>
      <w:tblGrid>
        <w:gridCol w:w="39"/>
        <w:gridCol w:w="6081"/>
        <w:gridCol w:w="38"/>
        <w:gridCol w:w="36"/>
        <w:gridCol w:w="36"/>
        <w:gridCol w:w="36"/>
        <w:gridCol w:w="121"/>
        <w:gridCol w:w="809"/>
        <w:gridCol w:w="36"/>
        <w:gridCol w:w="36"/>
        <w:gridCol w:w="36"/>
        <w:gridCol w:w="36"/>
        <w:gridCol w:w="121"/>
        <w:gridCol w:w="809"/>
        <w:gridCol w:w="36"/>
      </w:tblGrid>
      <w:tr w:rsidR="00000000">
        <w:trPr>
          <w:divId w:val="7995971"/>
        </w:trPr>
        <w:tc>
          <w:tcPr>
            <w:tcW w:w="50" w:type="pct"/>
            <w:vAlign w:val="center"/>
            <w:hideMark/>
          </w:tcPr>
          <w:p w:rsidR="00000000" w:rsidRDefault="00BE60E9">
            <w:pPr>
              <w:jc w:val="both"/>
              <w:rPr>
                <w:rFonts w:eastAsia="Times New Roman"/>
              </w:rPr>
            </w:pPr>
          </w:p>
        </w:tc>
        <w:tc>
          <w:tcPr>
            <w:tcW w:w="3687"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37"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37"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rPr>
          <w:divId w:val="7995971"/>
        </w:trPr>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7995971"/>
        </w:trPr>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r>
      <w:tr w:rsidR="00000000">
        <w:trPr>
          <w:divId w:val="7995971"/>
        </w:trPr>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Three Months Ended June 30,</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2021</w:t>
            </w:r>
          </w:p>
        </w:tc>
      </w:tr>
      <w:tr w:rsidR="00000000">
        <w:trPr>
          <w:divId w:val="7995971"/>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Service cost</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7995971"/>
        </w:trPr>
        <w:tc>
          <w:tcPr>
            <w:tcW w:w="0" w:type="auto"/>
            <w:gridSpan w:val="3"/>
            <w:shd w:val="clear" w:color="auto" w:fill="FFFF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Interest cost</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7995971"/>
        </w:trPr>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Expected return on assets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7995971"/>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7995971"/>
        </w:trPr>
        <w:tc>
          <w:tcPr>
            <w:tcW w:w="0" w:type="auto"/>
            <w:gridSpan w:val="3"/>
            <w:shd w:val="clear" w:color="auto" w:fill="FFFF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Amortization of:</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7995971"/>
        </w:trPr>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7995971"/>
        </w:trPr>
        <w:tc>
          <w:tcPr>
            <w:tcW w:w="0" w:type="auto"/>
            <w:gridSpan w:val="3"/>
            <w:shd w:val="clear" w:color="auto" w:fill="CCEEFF"/>
            <w:tcMar>
              <w:top w:w="30" w:type="dxa"/>
              <w:left w:w="380" w:type="dxa"/>
              <w:bottom w:w="30" w:type="dxa"/>
              <w:right w:w="20" w:type="dxa"/>
            </w:tcMar>
            <w:hideMark/>
          </w:tcPr>
          <w:p w:rsidR="00000000" w:rsidRDefault="00BE60E9">
            <w:pPr>
              <w:spacing w:after="100"/>
              <w:rPr>
                <w:rFonts w:eastAsia="Times New Roman"/>
              </w:rPr>
            </w:pPr>
            <w:r>
              <w:rPr>
                <w:rFonts w:eastAsia="Times New Roman"/>
                <w:color w:val="000000"/>
                <w:sz w:val="20"/>
                <w:szCs w:val="20"/>
              </w:rPr>
              <w:t>Actuarial loss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7995971"/>
        </w:trPr>
        <w:tc>
          <w:tcPr>
            <w:tcW w:w="0" w:type="auto"/>
            <w:gridSpan w:val="3"/>
            <w:shd w:val="clear" w:color="auto" w:fill="FFFF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Net cost</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7995971"/>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7995971"/>
        </w:trPr>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7995971"/>
        </w:trPr>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r>
      <w:tr w:rsidR="00000000">
        <w:trPr>
          <w:divId w:val="7995971"/>
        </w:trPr>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Nine Months Ended June 30,</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2021</w:t>
            </w:r>
          </w:p>
        </w:tc>
      </w:tr>
      <w:tr w:rsidR="00000000">
        <w:trPr>
          <w:divId w:val="7995971"/>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Service cost</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7995971"/>
        </w:trPr>
        <w:tc>
          <w:tcPr>
            <w:tcW w:w="0" w:type="auto"/>
            <w:gridSpan w:val="3"/>
            <w:shd w:val="clear" w:color="auto" w:fill="FFFF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Interest cost</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7995971"/>
        </w:trPr>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Expected return on assets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(37)</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(30)</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7995971"/>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7995971"/>
        </w:trPr>
        <w:tc>
          <w:tcPr>
            <w:tcW w:w="0" w:type="auto"/>
            <w:gridSpan w:val="3"/>
            <w:shd w:val="clear" w:color="auto" w:fill="FFFF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Amortization of:</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7995971"/>
        </w:trPr>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7995971"/>
        </w:trPr>
        <w:tc>
          <w:tcPr>
            <w:tcW w:w="0" w:type="auto"/>
            <w:gridSpan w:val="3"/>
            <w:shd w:val="clear" w:color="auto" w:fill="CCEEFF"/>
            <w:tcMar>
              <w:top w:w="30" w:type="dxa"/>
              <w:left w:w="380" w:type="dxa"/>
              <w:bottom w:w="30" w:type="dxa"/>
              <w:right w:w="20" w:type="dxa"/>
            </w:tcMar>
            <w:hideMark/>
          </w:tcPr>
          <w:p w:rsidR="00000000" w:rsidRDefault="00BE60E9">
            <w:pPr>
              <w:spacing w:after="100"/>
              <w:rPr>
                <w:rFonts w:eastAsia="Times New Roman"/>
              </w:rPr>
            </w:pPr>
            <w:r>
              <w:rPr>
                <w:rFonts w:eastAsia="Times New Roman"/>
                <w:color w:val="000000"/>
                <w:sz w:val="20"/>
                <w:szCs w:val="20"/>
              </w:rPr>
              <w:t>Actuarial loss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7995971"/>
        </w:trPr>
        <w:tc>
          <w:tcPr>
            <w:tcW w:w="0" w:type="auto"/>
            <w:gridSpan w:val="3"/>
            <w:shd w:val="clear" w:color="auto" w:fill="FFFF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Net cost</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bl>
    <w:p w:rsidR="00000000" w:rsidRDefault="00BE60E9">
      <w:pPr>
        <w:jc w:val="both"/>
        <w:rPr>
          <w:rFonts w:eastAsia="Times New Roman"/>
        </w:rPr>
      </w:pPr>
    </w:p>
    <w:p w:rsidR="00000000" w:rsidRDefault="00BE60E9">
      <w:pPr>
        <w:jc w:val="center"/>
        <w:divId w:val="999234122"/>
        <w:rPr>
          <w:rFonts w:eastAsia="Times New Roman"/>
        </w:rPr>
      </w:pPr>
      <w:r>
        <w:rPr>
          <w:rFonts w:eastAsia="Times New Roman"/>
          <w:color w:val="000000"/>
          <w:sz w:val="20"/>
          <w:szCs w:val="20"/>
        </w:rPr>
        <w:t>22</w:t>
      </w:r>
    </w:p>
    <w:p w:rsidR="00000000" w:rsidRDefault="00BE60E9">
      <w:pPr>
        <w:rPr>
          <w:rFonts w:eastAsia="Times New Roman"/>
        </w:rPr>
      </w:pPr>
      <w:r>
        <w:rPr>
          <w:rFonts w:eastAsia="Times New Roman"/>
        </w:rPr>
        <w:pict>
          <v:rect id="_x0000_i1048" style="width:0;height:1.5pt" o:hralign="center" o:hrstd="t" o:hr="t" fillcolor="#a0a0a0" stroked="f"/>
        </w:pict>
      </w:r>
    </w:p>
    <w:p w:rsidR="00000000" w:rsidRDefault="00BE60E9">
      <w:pPr>
        <w:divId w:val="198934173"/>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313529556"/>
        <w:rPr>
          <w:rFonts w:eastAsia="Times New Roman"/>
        </w:rPr>
      </w:pPr>
      <w:r>
        <w:rPr>
          <w:rFonts w:eastAsia="Times New Roman"/>
          <w:b/>
          <w:bCs/>
          <w:color w:val="000000"/>
          <w:sz w:val="20"/>
          <w:szCs w:val="20"/>
        </w:rPr>
        <w:t>UGI CORPORATION AND SUBSIDIARIES</w:t>
      </w:r>
    </w:p>
    <w:p w:rsidR="00000000" w:rsidRDefault="00BE60E9">
      <w:pPr>
        <w:jc w:val="center"/>
        <w:divId w:val="2027633145"/>
        <w:rPr>
          <w:rFonts w:eastAsia="Times New Roman"/>
        </w:rPr>
      </w:pPr>
      <w:r>
        <w:rPr>
          <w:rFonts w:eastAsia="Times New Roman"/>
          <w:b/>
          <w:bCs/>
          <w:color w:val="000000"/>
          <w:sz w:val="20"/>
          <w:szCs w:val="20"/>
          <w:u w:val="single"/>
        </w:rPr>
        <w:t>Notes to Condensed Consolidated Financial Statements</w:t>
      </w:r>
    </w:p>
    <w:p w:rsidR="00000000" w:rsidRDefault="00BE60E9">
      <w:pPr>
        <w:jc w:val="center"/>
        <w:divId w:val="313529556"/>
        <w:rPr>
          <w:rFonts w:eastAsia="Times New Roman"/>
        </w:rPr>
      </w:pPr>
      <w:r>
        <w:rPr>
          <w:rFonts w:eastAsia="Times New Roman"/>
          <w:color w:val="000000"/>
          <w:sz w:val="20"/>
          <w:szCs w:val="20"/>
        </w:rPr>
        <w:t>(unaudited)</w:t>
      </w:r>
    </w:p>
    <w:p w:rsidR="00000000" w:rsidRDefault="00BE60E9">
      <w:pPr>
        <w:jc w:val="center"/>
        <w:divId w:val="313529556"/>
        <w:rPr>
          <w:rFonts w:eastAsia="Times New Roman"/>
        </w:rPr>
      </w:pPr>
      <w:r>
        <w:rPr>
          <w:rFonts w:eastAsia="Times New Roman"/>
          <w:color w:val="000000"/>
          <w:sz w:val="20"/>
          <w:szCs w:val="20"/>
        </w:rPr>
        <w:t>(Currency in millions, except per share amounts and where indicated otherwise)</w:t>
      </w:r>
    </w:p>
    <w:p w:rsidR="00000000" w:rsidRDefault="00BE60E9">
      <w:pPr>
        <w:ind w:hanging="540"/>
        <w:jc w:val="both"/>
        <w:rPr>
          <w:rFonts w:eastAsia="Times New Roman"/>
        </w:rPr>
      </w:pPr>
      <w:r>
        <w:rPr>
          <w:rFonts w:eastAsia="Times New Roman"/>
          <w:b/>
          <w:bCs/>
          <w:color w:val="000000"/>
          <w:sz w:val="20"/>
          <w:szCs w:val="20"/>
          <w:u w:val="single"/>
        </w:rPr>
        <w:t>Note 11 — Fair Value Measurements</w:t>
      </w:r>
      <w:r>
        <w:rPr>
          <w:rFonts w:eastAsia="Times New Roman"/>
          <w:b/>
          <w:bCs/>
          <w:color w:val="000000"/>
          <w:sz w:val="20"/>
          <w:szCs w:val="20"/>
        </w:rPr>
        <w:t xml:space="preserve"> </w:t>
      </w:r>
    </w:p>
    <w:p w:rsidR="00000000" w:rsidRDefault="00BE60E9">
      <w:pPr>
        <w:jc w:val="both"/>
        <w:rPr>
          <w:rFonts w:eastAsia="Times New Roman"/>
        </w:rPr>
      </w:pPr>
    </w:p>
    <w:p w:rsidR="00000000" w:rsidRDefault="00BE60E9">
      <w:pPr>
        <w:jc w:val="both"/>
        <w:rPr>
          <w:rFonts w:eastAsia="Times New Roman"/>
        </w:rPr>
      </w:pPr>
      <w:r>
        <w:rPr>
          <w:rFonts w:eastAsia="Times New Roman"/>
          <w:b/>
          <w:bCs/>
          <w:color w:val="000000"/>
          <w:sz w:val="20"/>
          <w:szCs w:val="20"/>
        </w:rPr>
        <w:t>Recurring Fair Value Measurements</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The following table presents, on a gross basis, our financial assets and liabilities, including both cur</w:t>
      </w:r>
      <w:r>
        <w:rPr>
          <w:rFonts w:eastAsia="Times New Roman"/>
          <w:color w:val="000000"/>
          <w:sz w:val="20"/>
          <w:szCs w:val="20"/>
        </w:rPr>
        <w:t>rent and noncurrent portions, that are measured at fair value on a recurring basis within the fair value hierarchy:</w:t>
      </w:r>
    </w:p>
    <w:tbl>
      <w:tblPr>
        <w:tblW w:w="4992" w:type="pct"/>
        <w:tblCellMar>
          <w:top w:w="15" w:type="dxa"/>
          <w:left w:w="15" w:type="dxa"/>
          <w:bottom w:w="15" w:type="dxa"/>
          <w:right w:w="15" w:type="dxa"/>
        </w:tblCellMar>
        <w:tblLook w:val="04A0" w:firstRow="1" w:lastRow="0" w:firstColumn="1" w:lastColumn="0" w:noHBand="0" w:noVBand="1"/>
      </w:tblPr>
      <w:tblGrid>
        <w:gridCol w:w="39"/>
        <w:gridCol w:w="4659"/>
        <w:gridCol w:w="38"/>
        <w:gridCol w:w="36"/>
        <w:gridCol w:w="36"/>
        <w:gridCol w:w="36"/>
        <w:gridCol w:w="110"/>
        <w:gridCol w:w="634"/>
        <w:gridCol w:w="36"/>
        <w:gridCol w:w="36"/>
        <w:gridCol w:w="36"/>
        <w:gridCol w:w="36"/>
        <w:gridCol w:w="110"/>
        <w:gridCol w:w="634"/>
        <w:gridCol w:w="36"/>
        <w:gridCol w:w="36"/>
        <w:gridCol w:w="36"/>
        <w:gridCol w:w="36"/>
        <w:gridCol w:w="111"/>
        <w:gridCol w:w="636"/>
        <w:gridCol w:w="36"/>
        <w:gridCol w:w="36"/>
        <w:gridCol w:w="36"/>
        <w:gridCol w:w="36"/>
        <w:gridCol w:w="110"/>
        <w:gridCol w:w="636"/>
        <w:gridCol w:w="36"/>
      </w:tblGrid>
      <w:tr w:rsidR="00000000">
        <w:trPr>
          <w:divId w:val="278073055"/>
        </w:trPr>
        <w:tc>
          <w:tcPr>
            <w:tcW w:w="50" w:type="pct"/>
            <w:vAlign w:val="center"/>
            <w:hideMark/>
          </w:tcPr>
          <w:p w:rsidR="00000000" w:rsidRDefault="00BE60E9">
            <w:pPr>
              <w:jc w:val="both"/>
              <w:rPr>
                <w:rFonts w:eastAsia="Times New Roman"/>
              </w:rPr>
            </w:pPr>
          </w:p>
        </w:tc>
        <w:tc>
          <w:tcPr>
            <w:tcW w:w="283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3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3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3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3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rPr>
          <w:divId w:val="278073055"/>
        </w:trPr>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1"/>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Asset (Liability)</w:t>
            </w:r>
          </w:p>
        </w:tc>
      </w:tr>
      <w:tr w:rsidR="00000000">
        <w:trPr>
          <w:divId w:val="278073055"/>
        </w:trPr>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Level 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Total</w:t>
            </w:r>
          </w:p>
        </w:tc>
      </w:tr>
      <w:tr w:rsidR="00000000">
        <w:trPr>
          <w:divId w:val="278073055"/>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18"/>
                <w:szCs w:val="18"/>
              </w:rPr>
              <w:t>June 30, 2022:</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278073055"/>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Derivative instruments: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278073055"/>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278073055"/>
        </w:trPr>
        <w:tc>
          <w:tcPr>
            <w:tcW w:w="0" w:type="auto"/>
            <w:gridSpan w:val="3"/>
            <w:shd w:val="clear" w:color="auto" w:fill="FFFFFF"/>
            <w:tcMar>
              <w:top w:w="30" w:type="dxa"/>
              <w:left w:w="245" w:type="dxa"/>
              <w:bottom w:w="30" w:type="dxa"/>
              <w:right w:w="20" w:type="dxa"/>
            </w:tcMar>
            <w:hideMark/>
          </w:tcPr>
          <w:p w:rsidR="00000000" w:rsidRDefault="00BE60E9">
            <w:pPr>
              <w:spacing w:after="100"/>
              <w:rPr>
                <w:rFonts w:eastAsia="Times New Roman"/>
              </w:rPr>
            </w:pPr>
            <w:r>
              <w:rPr>
                <w:rFonts w:eastAsia="Times New Roman"/>
                <w:color w:val="000000"/>
                <w:sz w:val="18"/>
                <w:szCs w:val="18"/>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816 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1,149 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1,965 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278073055"/>
        </w:trPr>
        <w:tc>
          <w:tcPr>
            <w:tcW w:w="0" w:type="auto"/>
            <w:gridSpan w:val="3"/>
            <w:shd w:val="clear" w:color="auto" w:fill="CCEEFF"/>
            <w:tcMar>
              <w:top w:w="30" w:type="dxa"/>
              <w:left w:w="245" w:type="dxa"/>
              <w:bottom w:w="30" w:type="dxa"/>
              <w:right w:w="20" w:type="dxa"/>
            </w:tcMar>
            <w:hideMark/>
          </w:tcPr>
          <w:p w:rsidR="00000000" w:rsidRDefault="00BE60E9">
            <w:pPr>
              <w:spacing w:after="100"/>
              <w:rPr>
                <w:rFonts w:eastAsia="Times New Roman"/>
              </w:rPr>
            </w:pPr>
            <w:r>
              <w:rPr>
                <w:rFonts w:eastAsia="Times New Roman"/>
                <w:color w:val="000000"/>
                <w:sz w:val="18"/>
                <w:szCs w:val="18"/>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59 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59 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278073055"/>
        </w:trPr>
        <w:tc>
          <w:tcPr>
            <w:tcW w:w="0" w:type="auto"/>
            <w:gridSpan w:val="3"/>
            <w:shd w:val="clear" w:color="auto" w:fill="FFFFFF"/>
            <w:tcMar>
              <w:top w:w="30" w:type="dxa"/>
              <w:left w:w="245" w:type="dxa"/>
              <w:bottom w:w="30" w:type="dxa"/>
              <w:right w:w="20" w:type="dxa"/>
            </w:tcMar>
            <w:hideMark/>
          </w:tcPr>
          <w:p w:rsidR="00000000" w:rsidRDefault="00BE60E9">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44 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44 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278073055"/>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278073055"/>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Liabilities: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278073055"/>
        </w:trPr>
        <w:tc>
          <w:tcPr>
            <w:tcW w:w="0" w:type="auto"/>
            <w:gridSpan w:val="3"/>
            <w:shd w:val="clear" w:color="auto" w:fill="FFFFFF"/>
            <w:tcMar>
              <w:top w:w="30" w:type="dxa"/>
              <w:left w:w="245" w:type="dxa"/>
              <w:bottom w:w="30" w:type="dxa"/>
              <w:right w:w="20" w:type="dxa"/>
            </w:tcMar>
            <w:hideMark/>
          </w:tcPr>
          <w:p w:rsidR="00000000" w:rsidRDefault="00BE60E9">
            <w:pPr>
              <w:spacing w:after="100"/>
              <w:rPr>
                <w:rFonts w:eastAsia="Times New Roman"/>
              </w:rPr>
            </w:pPr>
            <w:r>
              <w:rPr>
                <w:rFonts w:eastAsia="Times New Roman"/>
                <w:color w:val="000000"/>
                <w:sz w:val="18"/>
                <w:szCs w:val="18"/>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(324)</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(37)</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(361)</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278073055"/>
        </w:trPr>
        <w:tc>
          <w:tcPr>
            <w:tcW w:w="0" w:type="auto"/>
            <w:gridSpan w:val="3"/>
            <w:shd w:val="clear" w:color="auto" w:fill="CCEEFF"/>
            <w:tcMar>
              <w:top w:w="30" w:type="dxa"/>
              <w:left w:w="245" w:type="dxa"/>
              <w:bottom w:w="30" w:type="dxa"/>
              <w:right w:w="20" w:type="dxa"/>
            </w:tcMar>
            <w:hideMark/>
          </w:tcPr>
          <w:p w:rsidR="00000000" w:rsidRDefault="00BE60E9">
            <w:pPr>
              <w:spacing w:after="100"/>
              <w:rPr>
                <w:rFonts w:eastAsia="Times New Roman"/>
              </w:rPr>
            </w:pPr>
            <w:r>
              <w:rPr>
                <w:rFonts w:eastAsia="Times New Roman"/>
                <w:color w:val="000000"/>
                <w:sz w:val="18"/>
                <w:szCs w:val="18"/>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278073055"/>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278073055"/>
        </w:trPr>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278073055"/>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Non-qualified supplemental postretirement grantor trust investments (a)</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46 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46 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278073055"/>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18"/>
                <w:szCs w:val="18"/>
              </w:rPr>
              <w:t>September 30, 2021:</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278073055"/>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Derivative instruments: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278073055"/>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278073055"/>
        </w:trPr>
        <w:tc>
          <w:tcPr>
            <w:tcW w:w="0" w:type="auto"/>
            <w:gridSpan w:val="3"/>
            <w:shd w:val="clear" w:color="auto" w:fill="FFFFFF"/>
            <w:tcMar>
              <w:top w:w="30" w:type="dxa"/>
              <w:left w:w="245" w:type="dxa"/>
              <w:bottom w:w="30" w:type="dxa"/>
              <w:right w:w="20" w:type="dxa"/>
            </w:tcMar>
            <w:hideMark/>
          </w:tcPr>
          <w:p w:rsidR="00000000" w:rsidRDefault="00BE60E9">
            <w:pPr>
              <w:spacing w:after="100"/>
              <w:rPr>
                <w:rFonts w:eastAsia="Times New Roman"/>
              </w:rPr>
            </w:pPr>
            <w:r>
              <w:rPr>
                <w:rFonts w:eastAsia="Times New Roman"/>
                <w:color w:val="000000"/>
                <w:sz w:val="18"/>
                <w:szCs w:val="18"/>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641 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1,008 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1,649 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278073055"/>
        </w:trPr>
        <w:tc>
          <w:tcPr>
            <w:tcW w:w="0" w:type="auto"/>
            <w:gridSpan w:val="3"/>
            <w:shd w:val="clear" w:color="auto" w:fill="CCEEFF"/>
            <w:tcMar>
              <w:top w:w="30" w:type="dxa"/>
              <w:left w:w="245" w:type="dxa"/>
              <w:bottom w:w="30" w:type="dxa"/>
              <w:right w:w="20" w:type="dxa"/>
            </w:tcMar>
            <w:hideMark/>
          </w:tcPr>
          <w:p w:rsidR="00000000" w:rsidRDefault="00BE60E9">
            <w:pPr>
              <w:spacing w:after="100"/>
              <w:rPr>
                <w:rFonts w:eastAsia="Times New Roman"/>
              </w:rPr>
            </w:pPr>
            <w:r>
              <w:rPr>
                <w:rFonts w:eastAsia="Times New Roman"/>
                <w:color w:val="000000"/>
                <w:sz w:val="18"/>
                <w:szCs w:val="18"/>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38 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38 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278073055"/>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278073055"/>
        </w:trPr>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278073055"/>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Liabilities: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278073055"/>
        </w:trPr>
        <w:tc>
          <w:tcPr>
            <w:tcW w:w="0" w:type="auto"/>
            <w:gridSpan w:val="3"/>
            <w:shd w:val="clear" w:color="auto" w:fill="CCEEFF"/>
            <w:tcMar>
              <w:top w:w="30" w:type="dxa"/>
              <w:left w:w="245" w:type="dxa"/>
              <w:bottom w:w="30" w:type="dxa"/>
              <w:right w:w="20" w:type="dxa"/>
            </w:tcMar>
            <w:hideMark/>
          </w:tcPr>
          <w:p w:rsidR="00000000" w:rsidRDefault="00BE60E9">
            <w:pPr>
              <w:spacing w:after="100"/>
              <w:rPr>
                <w:rFonts w:eastAsia="Times New Roman"/>
              </w:rPr>
            </w:pPr>
            <w:r>
              <w:rPr>
                <w:rFonts w:eastAsia="Times New Roman"/>
                <w:color w:val="000000"/>
                <w:sz w:val="18"/>
                <w:szCs w:val="18"/>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(264)</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(16)</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(280)</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278073055"/>
        </w:trPr>
        <w:tc>
          <w:tcPr>
            <w:tcW w:w="0" w:type="auto"/>
            <w:gridSpan w:val="3"/>
            <w:shd w:val="clear" w:color="auto" w:fill="FFFFFF"/>
            <w:tcMar>
              <w:top w:w="30" w:type="dxa"/>
              <w:left w:w="245" w:type="dxa"/>
              <w:bottom w:w="30" w:type="dxa"/>
              <w:right w:w="20" w:type="dxa"/>
            </w:tcMar>
            <w:hideMark/>
          </w:tcPr>
          <w:p w:rsidR="00000000" w:rsidRDefault="00BE60E9">
            <w:pPr>
              <w:spacing w:after="100"/>
              <w:rPr>
                <w:rFonts w:eastAsia="Times New Roman"/>
              </w:rPr>
            </w:pPr>
            <w:r>
              <w:rPr>
                <w:rFonts w:eastAsia="Times New Roman"/>
                <w:color w:val="000000"/>
                <w:sz w:val="18"/>
                <w:szCs w:val="18"/>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(8)</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(8)</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278073055"/>
        </w:trPr>
        <w:tc>
          <w:tcPr>
            <w:tcW w:w="0" w:type="auto"/>
            <w:gridSpan w:val="3"/>
            <w:shd w:val="clear" w:color="auto" w:fill="CCEEFF"/>
            <w:tcMar>
              <w:top w:w="30" w:type="dxa"/>
              <w:left w:w="245" w:type="dxa"/>
              <w:bottom w:w="30" w:type="dxa"/>
              <w:right w:w="20" w:type="dxa"/>
            </w:tcMar>
            <w:hideMark/>
          </w:tcPr>
          <w:p w:rsidR="00000000" w:rsidRDefault="00BE60E9">
            <w:pPr>
              <w:spacing w:after="100"/>
              <w:rPr>
                <w:rFonts w:eastAsia="Times New Roman"/>
              </w:rPr>
            </w:pPr>
            <w:r>
              <w:rPr>
                <w:rFonts w:eastAsia="Times New Roman"/>
                <w:color w:val="000000"/>
                <w:sz w:val="18"/>
                <w:szCs w:val="18"/>
              </w:rPr>
              <w:t>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(29)</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(29)</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278073055"/>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278073055"/>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Non-qualified supplemental postretirement grantor trust investments (a)</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53 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53 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278073055"/>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18"/>
                <w:szCs w:val="18"/>
              </w:rPr>
              <w:t>June 30, 2021:</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278073055"/>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Derivative instruments: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278073055"/>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278073055"/>
        </w:trPr>
        <w:tc>
          <w:tcPr>
            <w:tcW w:w="0" w:type="auto"/>
            <w:gridSpan w:val="3"/>
            <w:shd w:val="clear" w:color="auto" w:fill="FFFFFF"/>
            <w:tcMar>
              <w:top w:w="30" w:type="dxa"/>
              <w:left w:w="245" w:type="dxa"/>
              <w:bottom w:w="30" w:type="dxa"/>
              <w:right w:w="20" w:type="dxa"/>
            </w:tcMar>
            <w:hideMark/>
          </w:tcPr>
          <w:p w:rsidR="00000000" w:rsidRDefault="00BE60E9">
            <w:pPr>
              <w:spacing w:after="100"/>
              <w:rPr>
                <w:rFonts w:eastAsia="Times New Roman"/>
              </w:rPr>
            </w:pPr>
            <w:r>
              <w:rPr>
                <w:rFonts w:eastAsia="Times New Roman"/>
                <w:color w:val="000000"/>
                <w:sz w:val="18"/>
                <w:szCs w:val="18"/>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241 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396 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637 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278073055"/>
        </w:trPr>
        <w:tc>
          <w:tcPr>
            <w:tcW w:w="0" w:type="auto"/>
            <w:gridSpan w:val="3"/>
            <w:shd w:val="clear" w:color="auto" w:fill="CCEEFF"/>
            <w:tcMar>
              <w:top w:w="30" w:type="dxa"/>
              <w:left w:w="245" w:type="dxa"/>
              <w:bottom w:w="30" w:type="dxa"/>
              <w:right w:w="20" w:type="dxa"/>
            </w:tcMar>
            <w:hideMark/>
          </w:tcPr>
          <w:p w:rsidR="00000000" w:rsidRDefault="00BE60E9">
            <w:pPr>
              <w:spacing w:after="100"/>
              <w:rPr>
                <w:rFonts w:eastAsia="Times New Roman"/>
              </w:rPr>
            </w:pPr>
            <w:r>
              <w:rPr>
                <w:rFonts w:eastAsia="Times New Roman"/>
                <w:color w:val="000000"/>
                <w:sz w:val="18"/>
                <w:szCs w:val="18"/>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24 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24 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278073055"/>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278073055"/>
        </w:trPr>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278073055"/>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Liabilities: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278073055"/>
        </w:trPr>
        <w:tc>
          <w:tcPr>
            <w:tcW w:w="0" w:type="auto"/>
            <w:gridSpan w:val="3"/>
            <w:shd w:val="clear" w:color="auto" w:fill="CCEEFF"/>
            <w:tcMar>
              <w:top w:w="30" w:type="dxa"/>
              <w:left w:w="245" w:type="dxa"/>
              <w:bottom w:w="30" w:type="dxa"/>
              <w:right w:w="20" w:type="dxa"/>
            </w:tcMar>
            <w:hideMark/>
          </w:tcPr>
          <w:p w:rsidR="00000000" w:rsidRDefault="00BE60E9">
            <w:pPr>
              <w:spacing w:after="100"/>
              <w:rPr>
                <w:rFonts w:eastAsia="Times New Roman"/>
              </w:rPr>
            </w:pPr>
            <w:r>
              <w:rPr>
                <w:rFonts w:eastAsia="Times New Roman"/>
                <w:color w:val="000000"/>
                <w:sz w:val="18"/>
                <w:szCs w:val="18"/>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(136)</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(9)</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(145)</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278073055"/>
        </w:trPr>
        <w:tc>
          <w:tcPr>
            <w:tcW w:w="0" w:type="auto"/>
            <w:gridSpan w:val="3"/>
            <w:shd w:val="clear" w:color="auto" w:fill="FFFFFF"/>
            <w:tcMar>
              <w:top w:w="30" w:type="dxa"/>
              <w:left w:w="245" w:type="dxa"/>
              <w:bottom w:w="30" w:type="dxa"/>
              <w:right w:w="20" w:type="dxa"/>
            </w:tcMar>
            <w:hideMark/>
          </w:tcPr>
          <w:p w:rsidR="00000000" w:rsidRDefault="00BE60E9">
            <w:pPr>
              <w:spacing w:after="100"/>
              <w:rPr>
                <w:rFonts w:eastAsia="Times New Roman"/>
              </w:rPr>
            </w:pPr>
            <w:r>
              <w:rPr>
                <w:rFonts w:eastAsia="Times New Roman"/>
                <w:color w:val="000000"/>
                <w:sz w:val="18"/>
                <w:szCs w:val="18"/>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(13)</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(13)</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278073055"/>
        </w:trPr>
        <w:tc>
          <w:tcPr>
            <w:tcW w:w="0" w:type="auto"/>
            <w:gridSpan w:val="3"/>
            <w:shd w:val="clear" w:color="auto" w:fill="CCEEFF"/>
            <w:tcMar>
              <w:top w:w="30" w:type="dxa"/>
              <w:left w:w="245" w:type="dxa"/>
              <w:bottom w:w="30" w:type="dxa"/>
              <w:right w:w="20" w:type="dxa"/>
            </w:tcMar>
            <w:hideMark/>
          </w:tcPr>
          <w:p w:rsidR="00000000" w:rsidRDefault="00BE60E9">
            <w:pPr>
              <w:spacing w:after="100"/>
              <w:rPr>
                <w:rFonts w:eastAsia="Times New Roman"/>
              </w:rPr>
            </w:pPr>
            <w:r>
              <w:rPr>
                <w:rFonts w:eastAsia="Times New Roman"/>
                <w:color w:val="000000"/>
                <w:sz w:val="18"/>
                <w:szCs w:val="18"/>
              </w:rPr>
              <w:t>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(35)</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(35)</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278073055"/>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278073055"/>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Non-qualified supplemental postretirement grantor trust investments (a)</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42 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42 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bl>
    <w:p w:rsidR="00000000" w:rsidRDefault="00BE60E9">
      <w:pPr>
        <w:ind w:hanging="360"/>
        <w:jc w:val="both"/>
        <w:rPr>
          <w:rFonts w:eastAsia="Times New Roman"/>
        </w:rPr>
      </w:pPr>
      <w:r>
        <w:rPr>
          <w:rFonts w:eastAsia="Times New Roman"/>
          <w:color w:val="000000"/>
          <w:sz w:val="20"/>
          <w:szCs w:val="20"/>
        </w:rPr>
        <w:t>(a)Consists primarily of mutual fund investments held in grantor trusts associated with non-qualified supplemental retire</w:t>
      </w:r>
      <w:r>
        <w:rPr>
          <w:rFonts w:eastAsia="Times New Roman"/>
          <w:color w:val="000000"/>
          <w:sz w:val="20"/>
          <w:szCs w:val="20"/>
        </w:rPr>
        <w:t xml:space="preserve">ment plans. </w:t>
      </w:r>
    </w:p>
    <w:p w:rsidR="00000000" w:rsidRDefault="00BE60E9">
      <w:pPr>
        <w:jc w:val="both"/>
        <w:rPr>
          <w:rFonts w:eastAsia="Times New Roman"/>
        </w:rPr>
      </w:pPr>
      <w:r>
        <w:rPr>
          <w:rFonts w:eastAsia="Times New Roman"/>
          <w:color w:val="000000"/>
          <w:sz w:val="16"/>
          <w:szCs w:val="16"/>
        </w:rPr>
        <w:t> </w:t>
      </w:r>
    </w:p>
    <w:p w:rsidR="00000000" w:rsidRDefault="00BE60E9">
      <w:pPr>
        <w:jc w:val="both"/>
        <w:rPr>
          <w:rFonts w:eastAsia="Times New Roman"/>
        </w:rPr>
      </w:pPr>
      <w:r>
        <w:rPr>
          <w:rFonts w:eastAsia="Times New Roman"/>
          <w:color w:val="000000"/>
          <w:sz w:val="20"/>
          <w:szCs w:val="20"/>
        </w:rPr>
        <w:t>The fair values of our Level 1 exchange-traded commodity futures and option contracts and non-exchange-traded commodity futures and forward contracts are based upon actively quoted market prices for identical assets and liabilities. The rema</w:t>
      </w:r>
      <w:r>
        <w:rPr>
          <w:rFonts w:eastAsia="Times New Roman"/>
          <w:color w:val="000000"/>
          <w:sz w:val="20"/>
          <w:szCs w:val="20"/>
        </w:rPr>
        <w:t>inder of our derivative instruments are designated as Level 2. The fair values of certain non-exchange-traded commodity derivatives designated as Level 2 are based upon indicative price quotations available through brokers, industry price publications or r</w:t>
      </w:r>
      <w:r>
        <w:rPr>
          <w:rFonts w:eastAsia="Times New Roman"/>
          <w:color w:val="000000"/>
          <w:sz w:val="20"/>
          <w:szCs w:val="20"/>
        </w:rPr>
        <w:t xml:space="preserve">ecent market transactions and related market indicators. The fair values of our Level 2 interest rate contracts and foreign currency contracts are based upon third-party quotes or indicative values based on recent market transactions. The fair values of </w:t>
      </w:r>
    </w:p>
    <w:p w:rsidR="00000000" w:rsidRDefault="00BE60E9">
      <w:pPr>
        <w:jc w:val="center"/>
        <w:divId w:val="2122798013"/>
        <w:rPr>
          <w:rFonts w:eastAsia="Times New Roman"/>
        </w:rPr>
      </w:pPr>
      <w:r>
        <w:rPr>
          <w:rFonts w:eastAsia="Times New Roman"/>
          <w:color w:val="000000"/>
          <w:sz w:val="20"/>
          <w:szCs w:val="20"/>
        </w:rPr>
        <w:t>2</w:t>
      </w:r>
      <w:r>
        <w:rPr>
          <w:rFonts w:eastAsia="Times New Roman"/>
          <w:color w:val="000000"/>
          <w:sz w:val="20"/>
          <w:szCs w:val="20"/>
        </w:rPr>
        <w:t>3</w:t>
      </w:r>
    </w:p>
    <w:p w:rsidR="00000000" w:rsidRDefault="00BE60E9">
      <w:pPr>
        <w:rPr>
          <w:rFonts w:eastAsia="Times New Roman"/>
        </w:rPr>
      </w:pPr>
      <w:r>
        <w:rPr>
          <w:rFonts w:eastAsia="Times New Roman"/>
        </w:rPr>
        <w:pict>
          <v:rect id="_x0000_i1049" style="width:0;height:1.5pt" o:hralign="center" o:hrstd="t" o:hr="t" fillcolor="#a0a0a0" stroked="f"/>
        </w:pict>
      </w:r>
    </w:p>
    <w:p w:rsidR="00000000" w:rsidRDefault="00BE60E9">
      <w:pPr>
        <w:divId w:val="68162304"/>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979698300"/>
        <w:rPr>
          <w:rFonts w:eastAsia="Times New Roman"/>
        </w:rPr>
      </w:pPr>
      <w:r>
        <w:rPr>
          <w:rFonts w:eastAsia="Times New Roman"/>
          <w:b/>
          <w:bCs/>
          <w:color w:val="000000"/>
          <w:sz w:val="20"/>
          <w:szCs w:val="20"/>
        </w:rPr>
        <w:t>UGI CORPORATION AND SUBSIDIARIES</w:t>
      </w:r>
    </w:p>
    <w:p w:rsidR="00000000" w:rsidRDefault="00BE60E9">
      <w:pPr>
        <w:jc w:val="center"/>
        <w:divId w:val="1951204500"/>
        <w:rPr>
          <w:rFonts w:eastAsia="Times New Roman"/>
        </w:rPr>
      </w:pPr>
      <w:r>
        <w:rPr>
          <w:rFonts w:eastAsia="Times New Roman"/>
          <w:b/>
          <w:bCs/>
          <w:color w:val="000000"/>
          <w:sz w:val="20"/>
          <w:szCs w:val="20"/>
          <w:u w:val="single"/>
        </w:rPr>
        <w:t>Notes to Condensed Consolidated Financial Statements</w:t>
      </w:r>
    </w:p>
    <w:p w:rsidR="00000000" w:rsidRDefault="00BE60E9">
      <w:pPr>
        <w:jc w:val="center"/>
        <w:divId w:val="979698300"/>
        <w:rPr>
          <w:rFonts w:eastAsia="Times New Roman"/>
        </w:rPr>
      </w:pPr>
      <w:r>
        <w:rPr>
          <w:rFonts w:eastAsia="Times New Roman"/>
          <w:color w:val="000000"/>
          <w:sz w:val="20"/>
          <w:szCs w:val="20"/>
        </w:rPr>
        <w:t>(unaudited)</w:t>
      </w:r>
    </w:p>
    <w:p w:rsidR="00000000" w:rsidRDefault="00BE60E9">
      <w:pPr>
        <w:jc w:val="center"/>
        <w:divId w:val="979698300"/>
        <w:rPr>
          <w:rFonts w:eastAsia="Times New Roman"/>
        </w:rPr>
      </w:pPr>
      <w:r>
        <w:rPr>
          <w:rFonts w:eastAsia="Times New Roman"/>
          <w:color w:val="000000"/>
          <w:sz w:val="20"/>
          <w:szCs w:val="20"/>
        </w:rPr>
        <w:t>(Currency in millions, except per share amounts and where indicated otherwise)</w:t>
      </w:r>
    </w:p>
    <w:p w:rsidR="00000000" w:rsidRDefault="00BE60E9">
      <w:pPr>
        <w:jc w:val="both"/>
        <w:rPr>
          <w:rFonts w:eastAsia="Times New Roman"/>
        </w:rPr>
      </w:pPr>
      <w:r>
        <w:rPr>
          <w:rFonts w:eastAsia="Times New Roman"/>
          <w:color w:val="000000"/>
          <w:sz w:val="20"/>
          <w:szCs w:val="20"/>
        </w:rPr>
        <w:t>investments held in grantor trusts are derived from quoted market prices as substantially all of the investments in these trusts have active markets.</w:t>
      </w:r>
    </w:p>
    <w:p w:rsidR="00000000" w:rsidRDefault="00BE60E9">
      <w:pPr>
        <w:jc w:val="both"/>
        <w:rPr>
          <w:rFonts w:eastAsia="Times New Roman"/>
        </w:rPr>
      </w:pPr>
    </w:p>
    <w:p w:rsidR="00000000" w:rsidRDefault="00BE60E9">
      <w:pPr>
        <w:jc w:val="both"/>
        <w:rPr>
          <w:rFonts w:eastAsia="Times New Roman"/>
        </w:rPr>
      </w:pPr>
      <w:r>
        <w:rPr>
          <w:rFonts w:eastAsia="Times New Roman"/>
          <w:b/>
          <w:bCs/>
          <w:color w:val="000000"/>
          <w:sz w:val="20"/>
          <w:szCs w:val="20"/>
        </w:rPr>
        <w:t>Other Financial Instrumen</w:t>
      </w:r>
      <w:r>
        <w:rPr>
          <w:rFonts w:eastAsia="Times New Roman"/>
          <w:b/>
          <w:bCs/>
          <w:color w:val="000000"/>
          <w:sz w:val="20"/>
          <w:szCs w:val="20"/>
        </w:rPr>
        <w:t>ts</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The carrying amounts of other financial instruments included in current assets and current liabilities (except for current maturities of long-term debt) approximate their fair values because of their short-term nature. We estimate the fair value of lo</w:t>
      </w:r>
      <w:r>
        <w:rPr>
          <w:rFonts w:eastAsia="Times New Roman"/>
          <w:color w:val="000000"/>
          <w:sz w:val="20"/>
          <w:szCs w:val="20"/>
        </w:rPr>
        <w:t>ng-term debt by using current market rates and by discounting future cash flows using rates available for similar type debt (Level 2). The carrying amounts and estimated fair values of our long-term debt (including current maturities but excluding unamorti</w:t>
      </w:r>
      <w:r>
        <w:rPr>
          <w:rFonts w:eastAsia="Times New Roman"/>
          <w:color w:val="000000"/>
          <w:sz w:val="20"/>
          <w:szCs w:val="20"/>
        </w:rPr>
        <w:t>zed debt issuance costs) were as follows:</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3160"/>
        <w:gridCol w:w="37"/>
        <w:gridCol w:w="120"/>
        <w:gridCol w:w="1477"/>
        <w:gridCol w:w="36"/>
        <w:gridCol w:w="36"/>
        <w:gridCol w:w="36"/>
        <w:gridCol w:w="36"/>
        <w:gridCol w:w="121"/>
        <w:gridCol w:w="1436"/>
        <w:gridCol w:w="36"/>
        <w:gridCol w:w="36"/>
        <w:gridCol w:w="36"/>
        <w:gridCol w:w="36"/>
        <w:gridCol w:w="120"/>
        <w:gridCol w:w="1436"/>
        <w:gridCol w:w="36"/>
      </w:tblGrid>
      <w:tr w:rsidR="00000000">
        <w:trPr>
          <w:divId w:val="1740857274"/>
          <w:jc w:val="center"/>
        </w:trPr>
        <w:tc>
          <w:tcPr>
            <w:tcW w:w="50" w:type="pct"/>
            <w:vAlign w:val="center"/>
            <w:hideMark/>
          </w:tcPr>
          <w:p w:rsidR="00000000" w:rsidRDefault="00BE60E9">
            <w:pPr>
              <w:jc w:val="both"/>
              <w:rPr>
                <w:rFonts w:eastAsia="Times New Roman"/>
              </w:rPr>
            </w:pPr>
          </w:p>
        </w:tc>
        <w:tc>
          <w:tcPr>
            <w:tcW w:w="194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92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92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92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rPr>
          <w:divId w:val="1740857274"/>
          <w:jc w:val="center"/>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June 30, 2022</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September 30, 2021</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June 30, 2021</w:t>
            </w:r>
          </w:p>
        </w:tc>
      </w:tr>
      <w:tr w:rsidR="00000000">
        <w:trPr>
          <w:divId w:val="1740857274"/>
          <w:jc w:val="center"/>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Carrying amount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6,483 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6,491 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5,890 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740857274"/>
          <w:jc w:val="center"/>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Estimated fair value</w:t>
            </w: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6,145 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6,996 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6,314 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bl>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 xml:space="preserve">Financial instruments other than derivative instruments, such as short-term investments and trade accounts receivable, could expose us to concentrations of credit risk. We limit credit risk from short-term investments by investing only in investment-grade </w:t>
      </w:r>
      <w:r>
        <w:rPr>
          <w:rFonts w:eastAsia="Times New Roman"/>
          <w:color w:val="000000"/>
          <w:sz w:val="20"/>
          <w:szCs w:val="20"/>
        </w:rPr>
        <w:t>commercial paper, money market mutual funds, securities guaranteed by the U.S. Government or its agencies and FDIC insured bank deposits. The credit risk arising from concentrations of trade accounts receivable is limited because we have a large customer b</w:t>
      </w:r>
      <w:r>
        <w:rPr>
          <w:rFonts w:eastAsia="Times New Roman"/>
          <w:color w:val="000000"/>
          <w:sz w:val="20"/>
          <w:szCs w:val="20"/>
        </w:rPr>
        <w:t xml:space="preserve">ase that extends across many different U.S. markets and a number of foreign countries. For information regarding concentrations of credit risk associated with our derivative instruments, see Note 12. </w:t>
      </w:r>
    </w:p>
    <w:p w:rsidR="00000000" w:rsidRDefault="00BE60E9">
      <w:pPr>
        <w:jc w:val="both"/>
        <w:rPr>
          <w:rFonts w:eastAsia="Times New Roman"/>
        </w:rPr>
      </w:pPr>
    </w:p>
    <w:p w:rsidR="00000000" w:rsidRDefault="00BE60E9">
      <w:pPr>
        <w:ind w:hanging="540"/>
        <w:jc w:val="both"/>
        <w:rPr>
          <w:rFonts w:eastAsia="Times New Roman"/>
        </w:rPr>
      </w:pPr>
      <w:r>
        <w:rPr>
          <w:rFonts w:eastAsia="Times New Roman"/>
          <w:b/>
          <w:bCs/>
          <w:color w:val="000000"/>
          <w:sz w:val="20"/>
          <w:szCs w:val="20"/>
          <w:u w:val="single"/>
        </w:rPr>
        <w:t>Note 12 — Derivative Instruments and Hedging Activiti</w:t>
      </w:r>
      <w:r>
        <w:rPr>
          <w:rFonts w:eastAsia="Times New Roman"/>
          <w:b/>
          <w:bCs/>
          <w:color w:val="000000"/>
          <w:sz w:val="20"/>
          <w:szCs w:val="20"/>
          <w:u w:val="single"/>
        </w:rPr>
        <w:t>es</w:t>
      </w:r>
      <w:r>
        <w:rPr>
          <w:rFonts w:eastAsia="Times New Roman"/>
          <w:b/>
          <w:bCs/>
          <w:color w:val="000000"/>
          <w:sz w:val="20"/>
          <w:szCs w:val="20"/>
        </w:rPr>
        <w:t xml:space="preserve"> </w:t>
      </w:r>
    </w:p>
    <w:p w:rsidR="00000000" w:rsidRDefault="00BE60E9">
      <w:pPr>
        <w:ind w:hanging="540"/>
        <w:divId w:val="2121292055"/>
        <w:rPr>
          <w:rFonts w:eastAsia="Times New Roman"/>
        </w:rPr>
      </w:pPr>
    </w:p>
    <w:p w:rsidR="00000000" w:rsidRDefault="00BE60E9">
      <w:pPr>
        <w:jc w:val="both"/>
        <w:rPr>
          <w:rFonts w:eastAsia="Times New Roman"/>
        </w:rPr>
      </w:pPr>
      <w:r>
        <w:rPr>
          <w:rFonts w:eastAsia="Times New Roman"/>
          <w:color w:val="000000"/>
          <w:sz w:val="20"/>
          <w:szCs w:val="20"/>
        </w:rPr>
        <w:t>We are exposed to certain market risks related to our ongoing business operations. Management uses derivative financial and commodity instruments, among other things, to manage: (1) commodity price risk; (2) interest rate risk; and (3) foreign curren</w:t>
      </w:r>
      <w:r>
        <w:rPr>
          <w:rFonts w:eastAsia="Times New Roman"/>
          <w:color w:val="000000"/>
          <w:sz w:val="20"/>
          <w:szCs w:val="20"/>
        </w:rPr>
        <w:t>cy exchange rate risk. Although we use derivative financial and commodity instruments to reduce market risk associated with forecasted transactions, we do not use derivative financial and commodity instruments for speculative or trading purposes. The use o</w:t>
      </w:r>
      <w:r>
        <w:rPr>
          <w:rFonts w:eastAsia="Times New Roman"/>
          <w:color w:val="000000"/>
          <w:sz w:val="20"/>
          <w:szCs w:val="20"/>
        </w:rPr>
        <w:t>f derivative instruments is controlled by our risk management and credit policies, which govern, among other things, the derivative instruments we can use, counterparty credit limits and contract authorization limits. Although our commodity derivative inst</w:t>
      </w:r>
      <w:r>
        <w:rPr>
          <w:rFonts w:eastAsia="Times New Roman"/>
          <w:color w:val="000000"/>
          <w:sz w:val="20"/>
          <w:szCs w:val="20"/>
        </w:rPr>
        <w:t>ruments extend over a number of years, a significant portion of our commodity derivative instruments economically hedge commodity price risk during the next twelve months. For information on the accounting for our derivative instruments, see Note 2.</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 xml:space="preserve">The </w:t>
      </w:r>
      <w:r>
        <w:rPr>
          <w:rFonts w:eastAsia="Times New Roman"/>
          <w:color w:val="000000"/>
          <w:sz w:val="20"/>
          <w:szCs w:val="20"/>
        </w:rPr>
        <w:t>following summarizes the types of derivative instruments used by the Company to manage certain market risks:</w:t>
      </w:r>
    </w:p>
    <w:p w:rsidR="00000000" w:rsidRDefault="00BE60E9">
      <w:pPr>
        <w:jc w:val="both"/>
        <w:rPr>
          <w:rFonts w:eastAsia="Times New Roman"/>
        </w:rPr>
      </w:pPr>
    </w:p>
    <w:p w:rsidR="00000000" w:rsidRDefault="00BE60E9">
      <w:pPr>
        <w:jc w:val="both"/>
        <w:rPr>
          <w:rFonts w:eastAsia="Times New Roman"/>
        </w:rPr>
      </w:pPr>
      <w:r>
        <w:rPr>
          <w:rFonts w:eastAsia="Times New Roman"/>
          <w:b/>
          <w:bCs/>
          <w:color w:val="000000"/>
          <w:sz w:val="20"/>
          <w:szCs w:val="20"/>
        </w:rPr>
        <w:t>Commodity Price Risk</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u w:val="single"/>
        </w:rPr>
        <w:t>Regulated Utility Operations</w:t>
      </w:r>
    </w:p>
    <w:p w:rsidR="00000000" w:rsidRDefault="00BE60E9">
      <w:pPr>
        <w:jc w:val="both"/>
        <w:rPr>
          <w:rFonts w:eastAsia="Times New Roman"/>
        </w:rPr>
      </w:pPr>
    </w:p>
    <w:p w:rsidR="00000000" w:rsidRDefault="00BE60E9">
      <w:pPr>
        <w:jc w:val="both"/>
        <w:rPr>
          <w:rFonts w:eastAsia="Times New Roman"/>
        </w:rPr>
      </w:pPr>
      <w:r>
        <w:rPr>
          <w:rFonts w:eastAsia="Times New Roman"/>
          <w:i/>
          <w:iCs/>
          <w:color w:val="000000"/>
          <w:sz w:val="20"/>
          <w:szCs w:val="20"/>
        </w:rPr>
        <w:t>Natural Gas</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 xml:space="preserve">UGI Utilities’ tariffs contain clauses that permit recovery of all prudently </w:t>
      </w:r>
      <w:r>
        <w:rPr>
          <w:rFonts w:eastAsia="Times New Roman"/>
          <w:color w:val="000000"/>
          <w:sz w:val="20"/>
          <w:szCs w:val="20"/>
        </w:rPr>
        <w:t>incurred costs of natural gas it sells to retail core-market customers, including the cost of financial instruments used to hedge purchased gas costs. As permitted and agreed to by the PAPUC pursuant to PA Gas Utility’s annual PGC filings, PA Gas Utility c</w:t>
      </w:r>
      <w:r>
        <w:rPr>
          <w:rFonts w:eastAsia="Times New Roman"/>
          <w:color w:val="000000"/>
          <w:sz w:val="20"/>
          <w:szCs w:val="20"/>
        </w:rPr>
        <w:t>urrently uses NYMEX natural gas futures and option contracts to reduce commodity price volatility associated with a portion of the natural gas it purchases for its retail core-market customers. See Note 7 for further information on the regulatory accountin</w:t>
      </w:r>
      <w:r>
        <w:rPr>
          <w:rFonts w:eastAsia="Times New Roman"/>
          <w:color w:val="000000"/>
          <w:sz w:val="20"/>
          <w:szCs w:val="20"/>
        </w:rPr>
        <w:t xml:space="preserve">g treatment for these derivative instruments. </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u w:val="single"/>
        </w:rPr>
        <w:t>Non-utility Operations</w:t>
      </w:r>
    </w:p>
    <w:p w:rsidR="00000000" w:rsidRDefault="00BE60E9">
      <w:pPr>
        <w:jc w:val="both"/>
        <w:rPr>
          <w:rFonts w:eastAsia="Times New Roman"/>
        </w:rPr>
      </w:pPr>
    </w:p>
    <w:p w:rsidR="00000000" w:rsidRDefault="00BE60E9">
      <w:pPr>
        <w:jc w:val="both"/>
        <w:rPr>
          <w:rFonts w:eastAsia="Times New Roman"/>
        </w:rPr>
      </w:pPr>
      <w:r>
        <w:rPr>
          <w:rFonts w:eastAsia="Times New Roman"/>
          <w:i/>
          <w:iCs/>
          <w:color w:val="000000"/>
          <w:sz w:val="20"/>
          <w:szCs w:val="20"/>
        </w:rPr>
        <w:t>LPG</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 xml:space="preserve">In order to manage market price risk associated with the Partnership’s fixed-price programs and to reduce the effects of short-term commodity price volatility, the Partnership </w:t>
      </w:r>
      <w:r>
        <w:rPr>
          <w:rFonts w:eastAsia="Times New Roman"/>
          <w:color w:val="000000"/>
          <w:sz w:val="20"/>
          <w:szCs w:val="20"/>
        </w:rPr>
        <w:t xml:space="preserve">uses over-the-counter derivative commodity instruments, principally price </w:t>
      </w:r>
    </w:p>
    <w:p w:rsidR="00000000" w:rsidRDefault="00BE60E9">
      <w:pPr>
        <w:jc w:val="center"/>
        <w:divId w:val="1811441899"/>
        <w:rPr>
          <w:rFonts w:eastAsia="Times New Roman"/>
        </w:rPr>
      </w:pPr>
      <w:r>
        <w:rPr>
          <w:rFonts w:eastAsia="Times New Roman"/>
          <w:color w:val="000000"/>
          <w:sz w:val="20"/>
          <w:szCs w:val="20"/>
        </w:rPr>
        <w:t>24</w:t>
      </w:r>
    </w:p>
    <w:p w:rsidR="00000000" w:rsidRDefault="00BE60E9">
      <w:pPr>
        <w:rPr>
          <w:rFonts w:eastAsia="Times New Roman"/>
        </w:rPr>
      </w:pPr>
      <w:r>
        <w:rPr>
          <w:rFonts w:eastAsia="Times New Roman"/>
        </w:rPr>
        <w:pict>
          <v:rect id="_x0000_i1050" style="width:0;height:1.5pt" o:hralign="center" o:hrstd="t" o:hr="t" fillcolor="#a0a0a0" stroked="f"/>
        </w:pict>
      </w:r>
    </w:p>
    <w:p w:rsidR="00000000" w:rsidRDefault="00BE60E9">
      <w:pPr>
        <w:divId w:val="122769575"/>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541359845"/>
        <w:rPr>
          <w:rFonts w:eastAsia="Times New Roman"/>
        </w:rPr>
      </w:pPr>
      <w:r>
        <w:rPr>
          <w:rFonts w:eastAsia="Times New Roman"/>
          <w:b/>
          <w:bCs/>
          <w:color w:val="000000"/>
          <w:sz w:val="20"/>
          <w:szCs w:val="20"/>
        </w:rPr>
        <w:t>UGI CORPORATION AND SUBSIDIARIES</w:t>
      </w:r>
    </w:p>
    <w:p w:rsidR="00000000" w:rsidRDefault="00BE60E9">
      <w:pPr>
        <w:jc w:val="center"/>
        <w:divId w:val="1151674855"/>
        <w:rPr>
          <w:rFonts w:eastAsia="Times New Roman"/>
        </w:rPr>
      </w:pPr>
      <w:r>
        <w:rPr>
          <w:rFonts w:eastAsia="Times New Roman"/>
          <w:b/>
          <w:bCs/>
          <w:color w:val="000000"/>
          <w:sz w:val="20"/>
          <w:szCs w:val="20"/>
          <w:u w:val="single"/>
        </w:rPr>
        <w:t>Notes to Condensed Consolidated F</w:t>
      </w:r>
      <w:r>
        <w:rPr>
          <w:rFonts w:eastAsia="Times New Roman"/>
          <w:b/>
          <w:bCs/>
          <w:color w:val="000000"/>
          <w:sz w:val="20"/>
          <w:szCs w:val="20"/>
          <w:u w:val="single"/>
        </w:rPr>
        <w:t>inancial Statements</w:t>
      </w:r>
    </w:p>
    <w:p w:rsidR="00000000" w:rsidRDefault="00BE60E9">
      <w:pPr>
        <w:jc w:val="center"/>
        <w:divId w:val="541359845"/>
        <w:rPr>
          <w:rFonts w:eastAsia="Times New Roman"/>
        </w:rPr>
      </w:pPr>
      <w:r>
        <w:rPr>
          <w:rFonts w:eastAsia="Times New Roman"/>
          <w:color w:val="000000"/>
          <w:sz w:val="20"/>
          <w:szCs w:val="20"/>
        </w:rPr>
        <w:t>(unaudited)</w:t>
      </w:r>
    </w:p>
    <w:p w:rsidR="00000000" w:rsidRDefault="00BE60E9">
      <w:pPr>
        <w:jc w:val="center"/>
        <w:divId w:val="541359845"/>
        <w:rPr>
          <w:rFonts w:eastAsia="Times New Roman"/>
        </w:rPr>
      </w:pPr>
      <w:r>
        <w:rPr>
          <w:rFonts w:eastAsia="Times New Roman"/>
          <w:color w:val="000000"/>
          <w:sz w:val="20"/>
          <w:szCs w:val="20"/>
        </w:rPr>
        <w:t>(Currency in millions, except per share amounts and where indicated otherwise)</w:t>
      </w:r>
    </w:p>
    <w:p w:rsidR="00000000" w:rsidRDefault="00BE60E9">
      <w:pPr>
        <w:jc w:val="both"/>
        <w:rPr>
          <w:rFonts w:eastAsia="Times New Roman"/>
        </w:rPr>
      </w:pPr>
      <w:r>
        <w:rPr>
          <w:rFonts w:eastAsia="Times New Roman"/>
          <w:color w:val="000000"/>
          <w:sz w:val="20"/>
          <w:szCs w:val="20"/>
        </w:rPr>
        <w:t xml:space="preserve">swap contracts. In addition, the Partnership and our UGI International operations also use over-the-counter price swap and option contracts to reduce commodity price volatility associated with a portion of their forecasted LPG purchases. </w:t>
      </w:r>
    </w:p>
    <w:p w:rsidR="00000000" w:rsidRDefault="00BE60E9">
      <w:pPr>
        <w:jc w:val="both"/>
        <w:rPr>
          <w:rFonts w:eastAsia="Times New Roman"/>
        </w:rPr>
      </w:pPr>
    </w:p>
    <w:p w:rsidR="00000000" w:rsidRDefault="00BE60E9">
      <w:pPr>
        <w:jc w:val="both"/>
        <w:rPr>
          <w:rFonts w:eastAsia="Times New Roman"/>
        </w:rPr>
      </w:pPr>
      <w:r>
        <w:rPr>
          <w:rFonts w:eastAsia="Times New Roman"/>
          <w:i/>
          <w:iCs/>
          <w:color w:val="000000"/>
          <w:sz w:val="20"/>
          <w:szCs w:val="20"/>
        </w:rPr>
        <w:t>Natural Gas</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I</w:t>
      </w:r>
      <w:r>
        <w:rPr>
          <w:rFonts w:eastAsia="Times New Roman"/>
          <w:color w:val="000000"/>
          <w:sz w:val="20"/>
          <w:szCs w:val="20"/>
        </w:rPr>
        <w:t>n order to manage market price risk relating to fixed-price sales contracts for physical natural gas, Midstream &amp; Marketing enters into NYMEX and over-the-counter natural gas futures and over-the-counter and ICE natural gas basis swap contracts. In additio</w:t>
      </w:r>
      <w:r>
        <w:rPr>
          <w:rFonts w:eastAsia="Times New Roman"/>
          <w:color w:val="000000"/>
          <w:sz w:val="20"/>
          <w:szCs w:val="20"/>
        </w:rPr>
        <w:t>n, Midstream &amp; Marketing uses NYMEX and over-the-counter futures and options contracts to economically hedge price volatility associated with the gross margin derived from the purchase and anticipated later near-term sale of natural gas storage inventories</w:t>
      </w:r>
      <w:r>
        <w:rPr>
          <w:rFonts w:eastAsia="Times New Roman"/>
          <w:color w:val="000000"/>
          <w:sz w:val="20"/>
          <w:szCs w:val="20"/>
        </w:rPr>
        <w:t>. Outside of the financial market, Midstream &amp; Marketing also uses ICE and over-the-counter forward physical contracts. UGI International also uses natural gas futures and forward contracts to economically hedge market price risk associated with a substant</w:t>
      </w:r>
      <w:r>
        <w:rPr>
          <w:rFonts w:eastAsia="Times New Roman"/>
          <w:color w:val="000000"/>
          <w:sz w:val="20"/>
          <w:szCs w:val="20"/>
        </w:rPr>
        <w:t>ial portion of anticipated volumes under fixed-price sales contracts with its customers.</w:t>
      </w:r>
    </w:p>
    <w:p w:rsidR="00000000" w:rsidRDefault="00BE60E9">
      <w:pPr>
        <w:jc w:val="both"/>
        <w:rPr>
          <w:rFonts w:eastAsia="Times New Roman"/>
        </w:rPr>
      </w:pPr>
    </w:p>
    <w:p w:rsidR="00000000" w:rsidRDefault="00BE60E9">
      <w:pPr>
        <w:jc w:val="both"/>
        <w:rPr>
          <w:rFonts w:eastAsia="Times New Roman"/>
        </w:rPr>
      </w:pPr>
      <w:r>
        <w:rPr>
          <w:rFonts w:eastAsia="Times New Roman"/>
          <w:i/>
          <w:iCs/>
          <w:color w:val="000000"/>
          <w:sz w:val="20"/>
          <w:szCs w:val="20"/>
        </w:rPr>
        <w:t>Electricity</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In order to manage market price risk relating to fixed-price sales contracts for electricity, Midstream &amp; Marketing enters into electricity futures and forward contracts. Midstream &amp; Marketing also uses NYMEX and over-the-counter electricity futures contra</w:t>
      </w:r>
      <w:r>
        <w:rPr>
          <w:rFonts w:eastAsia="Times New Roman"/>
          <w:color w:val="000000"/>
          <w:sz w:val="20"/>
          <w:szCs w:val="20"/>
        </w:rPr>
        <w:t>cts to economically hedge the price of a portion of its anticipated future sales of electricity from its electric generation facilities. UGI International also uses electricity futures and forward contracts to economically hedge market price risk associate</w:t>
      </w:r>
      <w:r>
        <w:rPr>
          <w:rFonts w:eastAsia="Times New Roman"/>
          <w:color w:val="000000"/>
          <w:sz w:val="20"/>
          <w:szCs w:val="20"/>
        </w:rPr>
        <w:t>d with fixed-price sales and purchase contracts for electricity.</w:t>
      </w:r>
    </w:p>
    <w:p w:rsidR="00000000" w:rsidRDefault="00BE60E9">
      <w:pPr>
        <w:jc w:val="both"/>
        <w:rPr>
          <w:rFonts w:eastAsia="Times New Roman"/>
        </w:rPr>
      </w:pPr>
    </w:p>
    <w:p w:rsidR="00000000" w:rsidRDefault="00BE60E9">
      <w:pPr>
        <w:jc w:val="both"/>
        <w:rPr>
          <w:rFonts w:eastAsia="Times New Roman"/>
        </w:rPr>
      </w:pPr>
      <w:r>
        <w:rPr>
          <w:rFonts w:eastAsia="Times New Roman"/>
          <w:b/>
          <w:bCs/>
          <w:color w:val="000000"/>
          <w:sz w:val="20"/>
          <w:szCs w:val="20"/>
        </w:rPr>
        <w:t>Interest Rate Risk</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Certain of our long-term debt agreements have interest rates that are generally indexed to short-term market interest rates. In order to fix the underlying short-term m</w:t>
      </w:r>
      <w:r>
        <w:rPr>
          <w:rFonts w:eastAsia="Times New Roman"/>
          <w:color w:val="000000"/>
          <w:sz w:val="20"/>
          <w:szCs w:val="20"/>
        </w:rPr>
        <w:t>arket interest rates, we may enter into pay-fixed, receive-variable interest rate swap agreements and designate such swaps as cash flow hedges.</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The remainder of our long-term debt is typically issued at fixed rates of interest. As this long-term debt mat</w:t>
      </w:r>
      <w:r>
        <w:rPr>
          <w:rFonts w:eastAsia="Times New Roman"/>
          <w:color w:val="000000"/>
          <w:sz w:val="20"/>
          <w:szCs w:val="20"/>
        </w:rPr>
        <w:t>ures, we typically refinance such debt with new debt having interest rates reflecting then-current market conditions. In order to reduce market rate risk on the underlying benchmark rate of interest associated with near- to medium-term forecasted issuances</w:t>
      </w:r>
      <w:r>
        <w:rPr>
          <w:rFonts w:eastAsia="Times New Roman"/>
          <w:color w:val="000000"/>
          <w:sz w:val="20"/>
          <w:szCs w:val="20"/>
        </w:rPr>
        <w:t xml:space="preserve"> of fixed-rate debt, from time to time, we enter into IRPAs. We account for IRPAs as cash flow hedges. There were no unsettled IRPAs during any of the periods presented. At June 30, 2022, the amount of pre-tax net losses associated with interest rate hedge</w:t>
      </w:r>
      <w:r>
        <w:rPr>
          <w:rFonts w:eastAsia="Times New Roman"/>
          <w:color w:val="000000"/>
          <w:sz w:val="20"/>
          <w:szCs w:val="20"/>
        </w:rPr>
        <w:t>s (excluding pay-fixed, receive-variable interest rate swaps) expected to be reclassified into earnings during the next twelve months is $3.</w:t>
      </w:r>
    </w:p>
    <w:p w:rsidR="00000000" w:rsidRDefault="00BE60E9">
      <w:pPr>
        <w:jc w:val="both"/>
        <w:rPr>
          <w:rFonts w:eastAsia="Times New Roman"/>
        </w:rPr>
      </w:pPr>
    </w:p>
    <w:p w:rsidR="00000000" w:rsidRDefault="00BE60E9">
      <w:pPr>
        <w:jc w:val="both"/>
        <w:rPr>
          <w:rFonts w:eastAsia="Times New Roman"/>
        </w:rPr>
      </w:pPr>
      <w:r>
        <w:rPr>
          <w:rFonts w:eastAsia="Times New Roman"/>
          <w:b/>
          <w:bCs/>
          <w:color w:val="000000"/>
          <w:sz w:val="20"/>
          <w:szCs w:val="20"/>
        </w:rPr>
        <w:t>Foreign Currency Exchange Rate Risk</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u w:val="single"/>
        </w:rPr>
        <w:t>Forward Foreign Currency Exchange Contracts</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In order to reduce the volati</w:t>
      </w:r>
      <w:r>
        <w:rPr>
          <w:rFonts w:eastAsia="Times New Roman"/>
          <w:color w:val="000000"/>
          <w:sz w:val="20"/>
          <w:szCs w:val="20"/>
        </w:rPr>
        <w:t>lity in net income associated with our foreign operations, principally as a result of changes in the USD exchange rate to the euro and British pound sterling, we enter into forward foreign currency exchange contracts. We layer in these foreign currency exc</w:t>
      </w:r>
      <w:r>
        <w:rPr>
          <w:rFonts w:eastAsia="Times New Roman"/>
          <w:color w:val="000000"/>
          <w:sz w:val="20"/>
          <w:szCs w:val="20"/>
        </w:rPr>
        <w:t xml:space="preserve">hange contracts over a multi-year period to eventually equal approximately 90% of anticipated UGI International foreign currency earnings before income taxes. Because these contracts are not designated as hedging instruments, realized and unrealized gains </w:t>
      </w:r>
      <w:r>
        <w:rPr>
          <w:rFonts w:eastAsia="Times New Roman"/>
          <w:color w:val="000000"/>
          <w:sz w:val="20"/>
          <w:szCs w:val="20"/>
        </w:rPr>
        <w:t>and losses on these contracts are recorded in “Other non-operating income, net,” on the Condensed Consolidated Statements of Income.</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u w:val="single"/>
        </w:rPr>
        <w:t>Net Investment Hedges</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From time to time, we also enter into certain forward foreign currency exchange contracts to redu</w:t>
      </w:r>
      <w:r>
        <w:rPr>
          <w:rFonts w:eastAsia="Times New Roman"/>
          <w:color w:val="000000"/>
          <w:sz w:val="20"/>
          <w:szCs w:val="20"/>
        </w:rPr>
        <w:t>ce the volatility of the USD value of a portion of our UGI International euro-denominated net investments, including anticipated foreign currency denominated dividends. We account for these foreign currency exchange contracts as net investment hedges and a</w:t>
      </w:r>
      <w:r>
        <w:rPr>
          <w:rFonts w:eastAsia="Times New Roman"/>
          <w:color w:val="000000"/>
          <w:sz w:val="20"/>
          <w:szCs w:val="20"/>
        </w:rPr>
        <w:t>ll changes in the fair value of these contracts are reported in the cumulative translation adjustment component in AOCI. We use the spot rate method to measure ineffectiveness of our net investment hedges.</w:t>
      </w:r>
    </w:p>
    <w:p w:rsidR="00000000" w:rsidRDefault="00BE60E9">
      <w:pPr>
        <w:jc w:val="both"/>
        <w:rPr>
          <w:rFonts w:eastAsia="Times New Roman"/>
        </w:rPr>
      </w:pPr>
    </w:p>
    <w:p w:rsidR="00000000" w:rsidRDefault="00BE60E9">
      <w:pPr>
        <w:jc w:val="center"/>
        <w:divId w:val="837422147"/>
        <w:rPr>
          <w:rFonts w:eastAsia="Times New Roman"/>
        </w:rPr>
      </w:pPr>
      <w:r>
        <w:rPr>
          <w:rFonts w:eastAsia="Times New Roman"/>
          <w:color w:val="000000"/>
          <w:sz w:val="20"/>
          <w:szCs w:val="20"/>
        </w:rPr>
        <w:t>25</w:t>
      </w:r>
    </w:p>
    <w:p w:rsidR="00000000" w:rsidRDefault="00BE60E9">
      <w:pPr>
        <w:rPr>
          <w:rFonts w:eastAsia="Times New Roman"/>
        </w:rPr>
      </w:pPr>
      <w:r>
        <w:rPr>
          <w:rFonts w:eastAsia="Times New Roman"/>
        </w:rPr>
        <w:pict>
          <v:rect id="_x0000_i1051" style="width:0;height:1.5pt" o:hralign="center" o:hrstd="t" o:hr="t" fillcolor="#a0a0a0" stroked="f"/>
        </w:pict>
      </w:r>
    </w:p>
    <w:p w:rsidR="00000000" w:rsidRDefault="00BE60E9">
      <w:pPr>
        <w:divId w:val="60760057"/>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836382094"/>
        <w:rPr>
          <w:rFonts w:eastAsia="Times New Roman"/>
        </w:rPr>
      </w:pPr>
      <w:r>
        <w:rPr>
          <w:rFonts w:eastAsia="Times New Roman"/>
          <w:b/>
          <w:bCs/>
          <w:color w:val="000000"/>
          <w:sz w:val="20"/>
          <w:szCs w:val="20"/>
        </w:rPr>
        <w:t>UGI CORPORATION AND SUBSIDIARIES</w:t>
      </w:r>
    </w:p>
    <w:p w:rsidR="00000000" w:rsidRDefault="00BE60E9">
      <w:pPr>
        <w:jc w:val="center"/>
        <w:divId w:val="466751710"/>
        <w:rPr>
          <w:rFonts w:eastAsia="Times New Roman"/>
        </w:rPr>
      </w:pPr>
      <w:r>
        <w:rPr>
          <w:rFonts w:eastAsia="Times New Roman"/>
          <w:b/>
          <w:bCs/>
          <w:color w:val="000000"/>
          <w:sz w:val="20"/>
          <w:szCs w:val="20"/>
          <w:u w:val="single"/>
        </w:rPr>
        <w:t>Notes to Condensed Consolidated Financial Statements</w:t>
      </w:r>
    </w:p>
    <w:p w:rsidR="00000000" w:rsidRDefault="00BE60E9">
      <w:pPr>
        <w:jc w:val="center"/>
        <w:divId w:val="836382094"/>
        <w:rPr>
          <w:rFonts w:eastAsia="Times New Roman"/>
        </w:rPr>
      </w:pPr>
      <w:r>
        <w:rPr>
          <w:rFonts w:eastAsia="Times New Roman"/>
          <w:color w:val="000000"/>
          <w:sz w:val="20"/>
          <w:szCs w:val="20"/>
        </w:rPr>
        <w:t>(unaudited)</w:t>
      </w:r>
    </w:p>
    <w:p w:rsidR="00000000" w:rsidRDefault="00BE60E9">
      <w:pPr>
        <w:jc w:val="center"/>
        <w:divId w:val="836382094"/>
        <w:rPr>
          <w:rFonts w:eastAsia="Times New Roman"/>
        </w:rPr>
      </w:pPr>
      <w:r>
        <w:rPr>
          <w:rFonts w:eastAsia="Times New Roman"/>
          <w:color w:val="000000"/>
          <w:sz w:val="20"/>
          <w:szCs w:val="20"/>
        </w:rPr>
        <w:t>(Currency in millions, except per share amount</w:t>
      </w:r>
      <w:r>
        <w:rPr>
          <w:rFonts w:eastAsia="Times New Roman"/>
          <w:color w:val="000000"/>
          <w:sz w:val="20"/>
          <w:szCs w:val="20"/>
        </w:rPr>
        <w:t>s and where indicated otherwise)</w:t>
      </w:r>
    </w:p>
    <w:p w:rsidR="00000000" w:rsidRDefault="00BE60E9">
      <w:pPr>
        <w:jc w:val="both"/>
        <w:rPr>
          <w:rFonts w:eastAsia="Times New Roman"/>
        </w:rPr>
      </w:pPr>
      <w:r>
        <w:rPr>
          <w:rFonts w:eastAsia="Times New Roman"/>
          <w:color w:val="000000"/>
          <w:sz w:val="20"/>
          <w:szCs w:val="20"/>
        </w:rPr>
        <w:t>Concurrent with the repayment of UGI International’s 3.25% Senior Notes on December 7, 2021, we settled an associated net investment hedge having a notional value of €93. Additionally, in May 2022, we restructured certain n</w:t>
      </w:r>
      <w:r>
        <w:rPr>
          <w:rFonts w:eastAsia="Times New Roman"/>
          <w:color w:val="000000"/>
          <w:sz w:val="20"/>
          <w:szCs w:val="20"/>
        </w:rPr>
        <w:t>et investment hedges associated with anticipated foreign currency denominated dividends. Cash flows from these settlements are included in cash flows from investing activities on the Condensed Consolidated Statements of Cash Flows.</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Our euro-denominated l</w:t>
      </w:r>
      <w:r>
        <w:rPr>
          <w:rFonts w:eastAsia="Times New Roman"/>
          <w:color w:val="000000"/>
          <w:sz w:val="20"/>
          <w:szCs w:val="20"/>
        </w:rPr>
        <w:t>ong-term debt has also been designated as net investment hedges, representing a portion of our UGI International euro-denominated net investment. We recognized pre-tax gains (losses) associated with these net investment hedges in the cumulative translation</w:t>
      </w:r>
      <w:r>
        <w:rPr>
          <w:rFonts w:eastAsia="Times New Roman"/>
          <w:color w:val="000000"/>
          <w:sz w:val="20"/>
          <w:szCs w:val="20"/>
        </w:rPr>
        <w:t xml:space="preserve"> adjustment component in AOCI of $41 and $(8) during the three months ended June 30, 2022 and 2021, respectively, $75 and $(9) during the nine months ended June 30, 2022 and 2021, respectively. </w:t>
      </w:r>
    </w:p>
    <w:p w:rsidR="00000000" w:rsidRDefault="00BE60E9">
      <w:pPr>
        <w:jc w:val="both"/>
        <w:rPr>
          <w:rFonts w:eastAsia="Times New Roman"/>
        </w:rPr>
      </w:pPr>
    </w:p>
    <w:p w:rsidR="00000000" w:rsidRDefault="00BE60E9">
      <w:pPr>
        <w:jc w:val="both"/>
        <w:rPr>
          <w:rFonts w:eastAsia="Times New Roman"/>
        </w:rPr>
      </w:pPr>
      <w:r>
        <w:rPr>
          <w:rFonts w:eastAsia="Times New Roman"/>
          <w:b/>
          <w:bCs/>
          <w:color w:val="000000"/>
          <w:sz w:val="20"/>
          <w:szCs w:val="20"/>
        </w:rPr>
        <w:t>Quantitative Disclosures Related to Derivative Instruments</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The following table summarizes by derivative type the gross notional amounts related to open derivative contracts at June 30, 2022, September 30, 2021 and June 30, 2021, and the final settlement dates of the Company's open derivative contracts as of June</w:t>
      </w:r>
      <w:r>
        <w:rPr>
          <w:rFonts w:eastAsia="Times New Roman"/>
          <w:color w:val="000000"/>
          <w:sz w:val="20"/>
          <w:szCs w:val="20"/>
        </w:rPr>
        <w:t> 30, 2022, excluding those derivatives that qualified for the NPNS exception: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670"/>
        <w:gridCol w:w="38"/>
        <w:gridCol w:w="36"/>
        <w:gridCol w:w="36"/>
        <w:gridCol w:w="36"/>
        <w:gridCol w:w="95"/>
        <w:gridCol w:w="903"/>
        <w:gridCol w:w="36"/>
        <w:gridCol w:w="36"/>
        <w:gridCol w:w="36"/>
        <w:gridCol w:w="36"/>
        <w:gridCol w:w="68"/>
        <w:gridCol w:w="914"/>
        <w:gridCol w:w="36"/>
        <w:gridCol w:w="36"/>
        <w:gridCol w:w="36"/>
        <w:gridCol w:w="36"/>
        <w:gridCol w:w="120"/>
        <w:gridCol w:w="837"/>
        <w:gridCol w:w="36"/>
        <w:gridCol w:w="36"/>
        <w:gridCol w:w="36"/>
        <w:gridCol w:w="36"/>
        <w:gridCol w:w="121"/>
        <w:gridCol w:w="860"/>
        <w:gridCol w:w="36"/>
        <w:gridCol w:w="36"/>
        <w:gridCol w:w="36"/>
        <w:gridCol w:w="36"/>
        <w:gridCol w:w="120"/>
        <w:gridCol w:w="800"/>
        <w:gridCol w:w="36"/>
      </w:tblGrid>
      <w:tr w:rsidR="00000000">
        <w:trPr>
          <w:divId w:val="1180118587"/>
          <w:jc w:val="center"/>
        </w:trPr>
        <w:tc>
          <w:tcPr>
            <w:tcW w:w="50" w:type="pct"/>
            <w:vAlign w:val="center"/>
            <w:hideMark/>
          </w:tcPr>
          <w:p w:rsidR="00000000" w:rsidRDefault="00BE60E9">
            <w:pPr>
              <w:jc w:val="both"/>
              <w:rPr>
                <w:rFonts w:eastAsia="Times New Roman"/>
              </w:rPr>
            </w:pPr>
          </w:p>
        </w:tc>
        <w:tc>
          <w:tcPr>
            <w:tcW w:w="1648"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78"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668"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6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80"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44"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rPr>
          <w:divId w:val="1180118587"/>
          <w:jc w:val="center"/>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Notional Amounts</w:t>
            </w:r>
            <w:r>
              <w:rPr>
                <w:rFonts w:eastAsia="Times New Roman"/>
                <w:color w:val="000000"/>
                <w:sz w:val="20"/>
                <w:szCs w:val="20"/>
              </w:rPr>
              <w:br/>
              <w:t>(in millions)</w:t>
            </w:r>
          </w:p>
        </w:tc>
      </w:tr>
      <w:tr w:rsidR="00000000">
        <w:trPr>
          <w:divId w:val="1180118587"/>
          <w:jc w:val="center"/>
        </w:trPr>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Type</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Units</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Settlements Extending Through</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June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September 30,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June 30, 2021</w:t>
            </w:r>
          </w:p>
        </w:tc>
      </w:tr>
      <w:tr w:rsidR="00000000">
        <w:trPr>
          <w:divId w:val="1180118587"/>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20"/>
                <w:szCs w:val="20"/>
              </w:rPr>
              <w:t>Commodity Price Risk:</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180118587"/>
          <w:jc w:val="center"/>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i/>
                <w:iCs/>
                <w:color w:val="000000"/>
                <w:sz w:val="20"/>
                <w:szCs w:val="20"/>
              </w:rPr>
              <w:t>Regulated Utility Operations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180118587"/>
          <w:jc w:val="center"/>
        </w:trPr>
        <w:tc>
          <w:tcPr>
            <w:tcW w:w="0" w:type="auto"/>
            <w:gridSpan w:val="3"/>
            <w:shd w:val="clear" w:color="auto" w:fill="CCEEFF"/>
            <w:tcMar>
              <w:top w:w="30" w:type="dxa"/>
              <w:left w:w="24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PA Gas Utility NYMEX natural gas futures and option contracts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Dekatherms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October 2023</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180118587"/>
          <w:jc w:val="center"/>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180118587"/>
          <w:jc w:val="center"/>
        </w:trPr>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180118587"/>
          <w:jc w:val="center"/>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i/>
                <w:iCs/>
                <w:color w:val="000000"/>
                <w:sz w:val="20"/>
                <w:szCs w:val="20"/>
              </w:rPr>
              <w:t>Non-utility Operations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180118587"/>
          <w:jc w:val="center"/>
        </w:trPr>
        <w:tc>
          <w:tcPr>
            <w:tcW w:w="0" w:type="auto"/>
            <w:gridSpan w:val="3"/>
            <w:shd w:val="clear" w:color="auto" w:fill="CCEEFF"/>
            <w:tcMar>
              <w:top w:w="30" w:type="dxa"/>
              <w:left w:w="24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LPG swaps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Gallons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September 2024</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669 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708 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688 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180118587"/>
          <w:jc w:val="center"/>
        </w:trPr>
        <w:tc>
          <w:tcPr>
            <w:tcW w:w="0" w:type="auto"/>
            <w:gridSpan w:val="3"/>
            <w:shd w:val="clear" w:color="auto" w:fill="FFFFFF"/>
            <w:tcMar>
              <w:top w:w="30" w:type="dxa"/>
              <w:left w:w="24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Natural gas futures, forward, basis swap, options and pipeline contracts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Dekatherms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June 2026</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353 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355 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344 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180118587"/>
          <w:jc w:val="center"/>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180118587"/>
          <w:jc w:val="center"/>
        </w:trPr>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180118587"/>
          <w:jc w:val="center"/>
        </w:trPr>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180118587"/>
          <w:jc w:val="center"/>
        </w:trPr>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180118587"/>
          <w:jc w:val="center"/>
        </w:trPr>
        <w:tc>
          <w:tcPr>
            <w:tcW w:w="0" w:type="auto"/>
            <w:gridSpan w:val="3"/>
            <w:shd w:val="clear" w:color="auto" w:fill="CCEEFF"/>
            <w:tcMar>
              <w:top w:w="30" w:type="dxa"/>
              <w:left w:w="24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Electricity forward and futures contracts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Kilowatt hours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November 2026</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2,621 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4,302 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4,730 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180118587"/>
          <w:jc w:val="center"/>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180118587"/>
          <w:jc w:val="center"/>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20"/>
                <w:szCs w:val="20"/>
              </w:rPr>
              <w:t>Interest Rate Risk:</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180118587"/>
          <w:jc w:val="center"/>
        </w:trPr>
        <w:tc>
          <w:tcPr>
            <w:tcW w:w="0" w:type="auto"/>
            <w:gridSpan w:val="3"/>
            <w:shd w:val="clear" w:color="auto" w:fill="CCEEFF"/>
            <w:tcMar>
              <w:top w:w="30" w:type="dxa"/>
              <w:left w:w="24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Interest rate swaps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Euro</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October 2022</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180118587"/>
          <w:jc w:val="center"/>
        </w:trPr>
        <w:tc>
          <w:tcPr>
            <w:tcW w:w="0" w:type="auto"/>
            <w:gridSpan w:val="3"/>
            <w:shd w:val="clear" w:color="auto" w:fill="FFFFFF"/>
            <w:tcMar>
              <w:top w:w="30" w:type="dxa"/>
              <w:left w:w="24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Interest rate swaps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USD</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September 2024</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1,411 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1,421 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1,424 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180118587"/>
          <w:jc w:val="center"/>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180118587"/>
          <w:jc w:val="center"/>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20"/>
                <w:szCs w:val="20"/>
              </w:rPr>
              <w:t>Foreign Currency Exchange Rate Risk:</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180118587"/>
          <w:jc w:val="center"/>
        </w:trPr>
        <w:tc>
          <w:tcPr>
            <w:tcW w:w="0" w:type="auto"/>
            <w:gridSpan w:val="3"/>
            <w:shd w:val="clear" w:color="auto" w:fill="FFFFFF"/>
            <w:tcMar>
              <w:top w:w="30" w:type="dxa"/>
              <w:left w:w="24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Forward foreign currency exchange contracts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USD</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August 2025</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435 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509 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504 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180118587"/>
          <w:jc w:val="center"/>
        </w:trPr>
        <w:tc>
          <w:tcPr>
            <w:tcW w:w="0" w:type="auto"/>
            <w:gridSpan w:val="3"/>
            <w:shd w:val="clear" w:color="auto" w:fill="CCEEFF"/>
            <w:tcMar>
              <w:top w:w="30" w:type="dxa"/>
              <w:left w:w="24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Net investment hedge forward foreign exchange contracts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Euro</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December 2026</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411 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173 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173 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180118587"/>
          <w:jc w:val="center"/>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bl>
    <w:p w:rsidR="00000000" w:rsidRDefault="00BE60E9">
      <w:pPr>
        <w:jc w:val="both"/>
        <w:rPr>
          <w:rFonts w:eastAsia="Times New Roman"/>
        </w:rPr>
      </w:pPr>
    </w:p>
    <w:p w:rsidR="00000000" w:rsidRDefault="00BE60E9">
      <w:pPr>
        <w:jc w:val="both"/>
        <w:rPr>
          <w:rFonts w:eastAsia="Times New Roman"/>
        </w:rPr>
      </w:pPr>
      <w:r>
        <w:rPr>
          <w:rFonts w:eastAsia="Times New Roman"/>
          <w:b/>
          <w:bCs/>
          <w:color w:val="000000"/>
          <w:sz w:val="20"/>
          <w:szCs w:val="20"/>
        </w:rPr>
        <w:t>Derivative Instrument Credit Risk</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We are exposed to risk of loss in the event of nonperformance by our derivative</w:t>
      </w:r>
      <w:r>
        <w:rPr>
          <w:rFonts w:eastAsia="Times New Roman"/>
          <w:color w:val="000000"/>
          <w:sz w:val="20"/>
          <w:szCs w:val="20"/>
        </w:rPr>
        <w:t xml:space="preserve"> instrument counterparties. Our derivative instrument counterparties principally comprise large energy companies and major U.S. and international financial institutions. We maintain credit policies with regard to our counterparties that we believe reduce o</w:t>
      </w:r>
      <w:r>
        <w:rPr>
          <w:rFonts w:eastAsia="Times New Roman"/>
          <w:color w:val="000000"/>
          <w:sz w:val="20"/>
          <w:szCs w:val="20"/>
        </w:rPr>
        <w:t>verall credit risk. These policies include evaluating and monitoring our counterparties’ financial condition, including their credit ratings, and entering into agreements with counterparties that govern credit limits or entering into netting agreements tha</w:t>
      </w:r>
      <w:r>
        <w:rPr>
          <w:rFonts w:eastAsia="Times New Roman"/>
          <w:color w:val="000000"/>
          <w:sz w:val="20"/>
          <w:szCs w:val="20"/>
        </w:rPr>
        <w:t xml:space="preserve">t allow for offsetting counterparty receivable and payable balances for certain financial transactions, as deemed appropriate. </w:t>
      </w:r>
    </w:p>
    <w:p w:rsidR="00000000" w:rsidRDefault="00BE60E9">
      <w:pPr>
        <w:jc w:val="both"/>
        <w:divId w:val="889923657"/>
        <w:rPr>
          <w:rFonts w:eastAsia="Times New Roman"/>
        </w:rPr>
      </w:pPr>
      <w:r>
        <w:rPr>
          <w:rFonts w:eastAsia="Times New Roman"/>
          <w:color w:val="000000"/>
          <w:sz w:val="20"/>
          <w:szCs w:val="20"/>
        </w:rPr>
        <w:t>We have concentrations of credit risk associated with derivative instruments and we evaluate the creditworthiness of our derivat</w:t>
      </w:r>
      <w:r>
        <w:rPr>
          <w:rFonts w:eastAsia="Times New Roman"/>
          <w:color w:val="000000"/>
          <w:sz w:val="20"/>
          <w:szCs w:val="20"/>
        </w:rPr>
        <w:t xml:space="preserve">ive counterparties on an ongoing basis. As of June 30, 2022, the maximum amount of loss, based upon the gross fair values of the derivative instruments, we would incur if these counterparties failed to perform according to the terms of their </w:t>
      </w:r>
    </w:p>
    <w:p w:rsidR="00000000" w:rsidRDefault="00BE60E9">
      <w:pPr>
        <w:jc w:val="center"/>
        <w:divId w:val="452215944"/>
        <w:rPr>
          <w:rFonts w:eastAsia="Times New Roman"/>
        </w:rPr>
      </w:pPr>
      <w:r>
        <w:rPr>
          <w:rFonts w:eastAsia="Times New Roman"/>
          <w:color w:val="000000"/>
          <w:sz w:val="20"/>
          <w:szCs w:val="20"/>
        </w:rPr>
        <w:t>26</w:t>
      </w:r>
    </w:p>
    <w:p w:rsidR="00000000" w:rsidRDefault="00BE60E9">
      <w:pPr>
        <w:rPr>
          <w:rFonts w:eastAsia="Times New Roman"/>
        </w:rPr>
      </w:pPr>
      <w:r>
        <w:rPr>
          <w:rFonts w:eastAsia="Times New Roman"/>
        </w:rPr>
        <w:pict>
          <v:rect id="_x0000_i1052" style="width:0;height:1.5pt" o:hralign="center" o:hrstd="t" o:hr="t" fillcolor="#a0a0a0" stroked="f"/>
        </w:pict>
      </w:r>
    </w:p>
    <w:p w:rsidR="00000000" w:rsidRDefault="00BE60E9">
      <w:pPr>
        <w:divId w:val="109323342"/>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1992172513"/>
        <w:rPr>
          <w:rFonts w:eastAsia="Times New Roman"/>
        </w:rPr>
      </w:pPr>
      <w:r>
        <w:rPr>
          <w:rFonts w:eastAsia="Times New Roman"/>
          <w:b/>
          <w:bCs/>
          <w:color w:val="000000"/>
          <w:sz w:val="20"/>
          <w:szCs w:val="20"/>
        </w:rPr>
        <w:t>UGI CORPORATION AND SUBSIDIARIES</w:t>
      </w:r>
    </w:p>
    <w:p w:rsidR="00000000" w:rsidRDefault="00BE60E9">
      <w:pPr>
        <w:jc w:val="center"/>
        <w:divId w:val="1428185555"/>
        <w:rPr>
          <w:rFonts w:eastAsia="Times New Roman"/>
        </w:rPr>
      </w:pPr>
      <w:r>
        <w:rPr>
          <w:rFonts w:eastAsia="Times New Roman"/>
          <w:b/>
          <w:bCs/>
          <w:color w:val="000000"/>
          <w:sz w:val="20"/>
          <w:szCs w:val="20"/>
          <w:u w:val="single"/>
        </w:rPr>
        <w:t>Notes to Condensed Consolidated Financial Statements</w:t>
      </w:r>
    </w:p>
    <w:p w:rsidR="00000000" w:rsidRDefault="00BE60E9">
      <w:pPr>
        <w:jc w:val="center"/>
        <w:divId w:val="1992172513"/>
        <w:rPr>
          <w:rFonts w:eastAsia="Times New Roman"/>
        </w:rPr>
      </w:pPr>
      <w:r>
        <w:rPr>
          <w:rFonts w:eastAsia="Times New Roman"/>
          <w:color w:val="000000"/>
          <w:sz w:val="20"/>
          <w:szCs w:val="20"/>
        </w:rPr>
        <w:t>(unaudited)</w:t>
      </w:r>
    </w:p>
    <w:p w:rsidR="00000000" w:rsidRDefault="00BE60E9">
      <w:pPr>
        <w:jc w:val="center"/>
        <w:divId w:val="1992172513"/>
        <w:rPr>
          <w:rFonts w:eastAsia="Times New Roman"/>
        </w:rPr>
      </w:pPr>
      <w:r>
        <w:rPr>
          <w:rFonts w:eastAsia="Times New Roman"/>
          <w:color w:val="000000"/>
          <w:sz w:val="20"/>
          <w:szCs w:val="20"/>
        </w:rPr>
        <w:t>(Currency in millions, except per share amounts and wher</w:t>
      </w:r>
      <w:r>
        <w:rPr>
          <w:rFonts w:eastAsia="Times New Roman"/>
          <w:color w:val="000000"/>
          <w:sz w:val="20"/>
          <w:szCs w:val="20"/>
        </w:rPr>
        <w:t>e indicated otherwise)</w:t>
      </w:r>
    </w:p>
    <w:p w:rsidR="00000000" w:rsidRDefault="00BE60E9">
      <w:pPr>
        <w:jc w:val="both"/>
        <w:divId w:val="316811786"/>
        <w:rPr>
          <w:rFonts w:eastAsia="Times New Roman"/>
        </w:rPr>
      </w:pPr>
      <w:r>
        <w:rPr>
          <w:rFonts w:eastAsia="Times New Roman"/>
          <w:color w:val="000000"/>
          <w:sz w:val="20"/>
          <w:szCs w:val="20"/>
        </w:rPr>
        <w:t>contracts was $2,068. In general, many of our over-the-counter derivative instruments and all exchange contracts call for the posting of collateral by the counterparty or by the Company in the forms of letters of credit, parental gua</w:t>
      </w:r>
      <w:r>
        <w:rPr>
          <w:rFonts w:eastAsia="Times New Roman"/>
          <w:color w:val="000000"/>
          <w:sz w:val="20"/>
          <w:szCs w:val="20"/>
        </w:rPr>
        <w:t>rantees or cash. At June 30, 2022, we had received cash collateral from derivative instrument counterparties totaling $659. In addition, we may have offsetting derivative liabilities and certain accounts payable balances with certain of these counterpartie</w:t>
      </w:r>
      <w:r>
        <w:rPr>
          <w:rFonts w:eastAsia="Times New Roman"/>
          <w:color w:val="000000"/>
          <w:sz w:val="20"/>
          <w:szCs w:val="20"/>
        </w:rPr>
        <w:t>s, which further mitigates the previously mentioned maximum amount of losses. Certain of the Partnership’s derivative contracts have credit-risk-related contingent features that may require the posting of additional collateral in the event of a downgrade o</w:t>
      </w:r>
      <w:r>
        <w:rPr>
          <w:rFonts w:eastAsia="Times New Roman"/>
          <w:color w:val="000000"/>
          <w:sz w:val="20"/>
          <w:szCs w:val="20"/>
        </w:rPr>
        <w:t>f the Partnership’s debt rating. At June 30, 2022, if the credit-risk-related contingent features were triggered, the amount of collateral required to be posted would not be material.</w:t>
      </w:r>
    </w:p>
    <w:p w:rsidR="00000000" w:rsidRDefault="00BE60E9">
      <w:pPr>
        <w:jc w:val="both"/>
        <w:rPr>
          <w:rFonts w:eastAsia="Times New Roman"/>
        </w:rPr>
      </w:pPr>
    </w:p>
    <w:p w:rsidR="00000000" w:rsidRDefault="00BE60E9">
      <w:pPr>
        <w:jc w:val="both"/>
        <w:rPr>
          <w:rFonts w:eastAsia="Times New Roman"/>
        </w:rPr>
      </w:pPr>
      <w:r>
        <w:rPr>
          <w:rFonts w:eastAsia="Times New Roman"/>
          <w:b/>
          <w:bCs/>
          <w:color w:val="000000"/>
          <w:sz w:val="20"/>
          <w:szCs w:val="20"/>
        </w:rPr>
        <w:t>Offsetting Derivative Assets and Liabilities</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Derivative assets and liabilities are presented net by counterparty on the Condensed Consolidated Balance Sheets if the right of offset exists. We offset amounts recognized for the right to reclaim cash collateral or the obligation to return cash collatera</w:t>
      </w:r>
      <w:r>
        <w:rPr>
          <w:rFonts w:eastAsia="Times New Roman"/>
          <w:color w:val="000000"/>
          <w:sz w:val="20"/>
          <w:szCs w:val="20"/>
        </w:rPr>
        <w:t>l against amounts recognized for derivative instruments executed with the same counterparty. Our derivative instruments include both those that are executed on an exchange through brokers and centrally cleared and over-the-counter transactions. Exchange co</w:t>
      </w:r>
      <w:r>
        <w:rPr>
          <w:rFonts w:eastAsia="Times New Roman"/>
          <w:color w:val="000000"/>
          <w:sz w:val="20"/>
          <w:szCs w:val="20"/>
        </w:rPr>
        <w:t>ntracts utilize a financial intermediary, exchange or clearinghouse to enter, execute or clear the transactions. Over-the-counter contracts are bilateral contracts that are transacted directly with a third party. Certain over-the-counter and exchange contr</w:t>
      </w:r>
      <w:r>
        <w:rPr>
          <w:rFonts w:eastAsia="Times New Roman"/>
          <w:color w:val="000000"/>
          <w:sz w:val="20"/>
          <w:szCs w:val="20"/>
        </w:rPr>
        <w:t>acts contain contractual rights of offset through master netting arrangements, derivative clearing agreements and contract default provisions. In addition, the contracts are subject to conditional rights of offset through counterparty nonperformance, insol</w:t>
      </w:r>
      <w:r>
        <w:rPr>
          <w:rFonts w:eastAsia="Times New Roman"/>
          <w:color w:val="000000"/>
          <w:sz w:val="20"/>
          <w:szCs w:val="20"/>
        </w:rPr>
        <w:t>vency or other conditions.</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In general, many of our over-the-counter transactions and all exchange contracts are subject to collateral requirements. Types of collateral generally include cash or letters of credit. Cash collateral paid by us to our over-the-counter derivative counterp</w:t>
      </w:r>
      <w:r>
        <w:rPr>
          <w:rFonts w:eastAsia="Times New Roman"/>
          <w:color w:val="000000"/>
          <w:sz w:val="20"/>
          <w:szCs w:val="20"/>
        </w:rPr>
        <w:t>arties, if any, is reflected in the table below to offset derivative liabilities. Cash collateral received by us from our over-the-counter derivative counterparties, if any, is reflected in the table below to offset derivative assets. Certain other account</w:t>
      </w:r>
      <w:r>
        <w:rPr>
          <w:rFonts w:eastAsia="Times New Roman"/>
          <w:color w:val="000000"/>
          <w:sz w:val="20"/>
          <w:szCs w:val="20"/>
        </w:rPr>
        <w:t>s receivable and accounts payable balances recognized on the Condensed Consolidated Balance Sheets with our derivative counterparties are not included in the table below but could reduce our net exposure to such counterparties because such balances are sub</w:t>
      </w:r>
      <w:r>
        <w:rPr>
          <w:rFonts w:eastAsia="Times New Roman"/>
          <w:color w:val="000000"/>
          <w:sz w:val="20"/>
          <w:szCs w:val="20"/>
        </w:rPr>
        <w:t>ject to master netting or similar arrangements.</w:t>
      </w:r>
    </w:p>
    <w:p w:rsidR="00000000" w:rsidRDefault="00BE60E9">
      <w:pPr>
        <w:jc w:val="both"/>
        <w:rPr>
          <w:rFonts w:eastAsia="Times New Roman"/>
        </w:rPr>
      </w:pPr>
    </w:p>
    <w:p w:rsidR="00000000" w:rsidRDefault="00BE60E9">
      <w:pPr>
        <w:jc w:val="center"/>
        <w:divId w:val="1230798716"/>
        <w:rPr>
          <w:rFonts w:eastAsia="Times New Roman"/>
        </w:rPr>
      </w:pPr>
      <w:r>
        <w:rPr>
          <w:rFonts w:eastAsia="Times New Roman"/>
          <w:color w:val="000000"/>
          <w:sz w:val="20"/>
          <w:szCs w:val="20"/>
        </w:rPr>
        <w:t>27</w:t>
      </w:r>
    </w:p>
    <w:p w:rsidR="00000000" w:rsidRDefault="00BE60E9">
      <w:pPr>
        <w:rPr>
          <w:rFonts w:eastAsia="Times New Roman"/>
        </w:rPr>
      </w:pPr>
      <w:r>
        <w:rPr>
          <w:rFonts w:eastAsia="Times New Roman"/>
        </w:rPr>
        <w:pict>
          <v:rect id="_x0000_i1053" style="width:0;height:1.5pt" o:hralign="center" o:hrstd="t" o:hr="t" fillcolor="#a0a0a0" stroked="f"/>
        </w:pict>
      </w:r>
    </w:p>
    <w:p w:rsidR="00000000" w:rsidRDefault="00BE60E9">
      <w:pPr>
        <w:divId w:val="762455138"/>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573127844"/>
        <w:rPr>
          <w:rFonts w:eastAsia="Times New Roman"/>
        </w:rPr>
      </w:pPr>
      <w:r>
        <w:rPr>
          <w:rFonts w:eastAsia="Times New Roman"/>
          <w:b/>
          <w:bCs/>
          <w:color w:val="000000"/>
          <w:sz w:val="20"/>
          <w:szCs w:val="20"/>
        </w:rPr>
        <w:t>UGI CORPORATION AND SUBSIDIARIES</w:t>
      </w:r>
    </w:p>
    <w:p w:rsidR="00000000" w:rsidRDefault="00BE60E9">
      <w:pPr>
        <w:jc w:val="center"/>
        <w:divId w:val="1284002002"/>
        <w:rPr>
          <w:rFonts w:eastAsia="Times New Roman"/>
        </w:rPr>
      </w:pPr>
      <w:r>
        <w:rPr>
          <w:rFonts w:eastAsia="Times New Roman"/>
          <w:b/>
          <w:bCs/>
          <w:color w:val="000000"/>
          <w:sz w:val="20"/>
          <w:szCs w:val="20"/>
          <w:u w:val="single"/>
        </w:rPr>
        <w:t>Notes to Condensed Consolidated Financial Statements</w:t>
      </w:r>
    </w:p>
    <w:p w:rsidR="00000000" w:rsidRDefault="00BE60E9">
      <w:pPr>
        <w:jc w:val="center"/>
        <w:divId w:val="573127844"/>
        <w:rPr>
          <w:rFonts w:eastAsia="Times New Roman"/>
        </w:rPr>
      </w:pPr>
      <w:r>
        <w:rPr>
          <w:rFonts w:eastAsia="Times New Roman"/>
          <w:color w:val="000000"/>
          <w:sz w:val="20"/>
          <w:szCs w:val="20"/>
        </w:rPr>
        <w:t>(una</w:t>
      </w:r>
      <w:r>
        <w:rPr>
          <w:rFonts w:eastAsia="Times New Roman"/>
          <w:color w:val="000000"/>
          <w:sz w:val="20"/>
          <w:szCs w:val="20"/>
        </w:rPr>
        <w:t>udited)</w:t>
      </w:r>
    </w:p>
    <w:p w:rsidR="00000000" w:rsidRDefault="00BE60E9">
      <w:pPr>
        <w:jc w:val="center"/>
        <w:divId w:val="573127844"/>
        <w:rPr>
          <w:rFonts w:eastAsia="Times New Roman"/>
        </w:rPr>
      </w:pPr>
      <w:r>
        <w:rPr>
          <w:rFonts w:eastAsia="Times New Roman"/>
          <w:color w:val="000000"/>
          <w:sz w:val="20"/>
          <w:szCs w:val="20"/>
        </w:rPr>
        <w:t>(Currency in millions, except per share amounts and where indicated otherwise)</w:t>
      </w:r>
    </w:p>
    <w:p w:rsidR="00000000" w:rsidRDefault="00BE60E9">
      <w:pPr>
        <w:jc w:val="both"/>
        <w:rPr>
          <w:rFonts w:eastAsia="Times New Roman"/>
        </w:rPr>
      </w:pPr>
      <w:r>
        <w:rPr>
          <w:rFonts w:eastAsia="Times New Roman"/>
          <w:b/>
          <w:bCs/>
          <w:color w:val="000000"/>
          <w:sz w:val="20"/>
          <w:szCs w:val="20"/>
        </w:rPr>
        <w:t>Fair Value of Derivative Instruments</w:t>
      </w:r>
    </w:p>
    <w:p w:rsidR="00000000" w:rsidRDefault="00BE60E9">
      <w:pPr>
        <w:jc w:val="both"/>
        <w:rPr>
          <w:rFonts w:eastAsia="Times New Roman"/>
        </w:rPr>
      </w:pPr>
      <w:r>
        <w:rPr>
          <w:rFonts w:eastAsia="Times New Roman"/>
          <w:color w:val="000000"/>
          <w:sz w:val="20"/>
          <w:szCs w:val="20"/>
        </w:rPr>
        <w:t> </w:t>
      </w:r>
    </w:p>
    <w:p w:rsidR="00000000" w:rsidRDefault="00BE60E9">
      <w:pPr>
        <w:jc w:val="both"/>
        <w:rPr>
          <w:rFonts w:eastAsia="Times New Roman"/>
        </w:rPr>
      </w:pPr>
      <w:r>
        <w:rPr>
          <w:rFonts w:eastAsia="Times New Roman"/>
          <w:color w:val="000000"/>
          <w:sz w:val="20"/>
          <w:szCs w:val="20"/>
        </w:rPr>
        <w:t>The following table presents the Company’s derivative assets and liabilities by type, as well as the effects of offsetting:</w:t>
      </w:r>
    </w:p>
    <w:tbl>
      <w:tblPr>
        <w:tblW w:w="5000" w:type="pct"/>
        <w:tblCellMar>
          <w:top w:w="15" w:type="dxa"/>
          <w:left w:w="15" w:type="dxa"/>
          <w:bottom w:w="15" w:type="dxa"/>
          <w:right w:w="15" w:type="dxa"/>
        </w:tblCellMar>
        <w:tblLook w:val="04A0" w:firstRow="1" w:lastRow="0" w:firstColumn="1" w:lastColumn="0" w:noHBand="0" w:noVBand="1"/>
      </w:tblPr>
      <w:tblGrid>
        <w:gridCol w:w="38"/>
        <w:gridCol w:w="4814"/>
        <w:gridCol w:w="37"/>
        <w:gridCol w:w="36"/>
        <w:gridCol w:w="36"/>
        <w:gridCol w:w="36"/>
        <w:gridCol w:w="120"/>
        <w:gridCol w:w="874"/>
        <w:gridCol w:w="36"/>
        <w:gridCol w:w="36"/>
        <w:gridCol w:w="36"/>
        <w:gridCol w:w="36"/>
        <w:gridCol w:w="121"/>
        <w:gridCol w:w="874"/>
        <w:gridCol w:w="36"/>
        <w:gridCol w:w="36"/>
        <w:gridCol w:w="36"/>
        <w:gridCol w:w="36"/>
        <w:gridCol w:w="120"/>
        <w:gridCol w:w="876"/>
        <w:gridCol w:w="36"/>
      </w:tblGrid>
      <w:tr w:rsidR="00000000">
        <w:trPr>
          <w:divId w:val="1032615113"/>
        </w:trPr>
        <w:tc>
          <w:tcPr>
            <w:tcW w:w="50" w:type="pct"/>
            <w:vAlign w:val="center"/>
            <w:hideMark/>
          </w:tcPr>
          <w:p w:rsidR="00000000" w:rsidRDefault="00BE60E9">
            <w:pPr>
              <w:jc w:val="both"/>
              <w:rPr>
                <w:rFonts w:eastAsia="Times New Roman"/>
              </w:rPr>
            </w:pPr>
          </w:p>
        </w:tc>
        <w:tc>
          <w:tcPr>
            <w:tcW w:w="2927"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80"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80"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8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rPr>
          <w:divId w:val="1032615113"/>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June 30,</w:t>
            </w:r>
            <w:r>
              <w:rPr>
                <w:rFonts w:eastAsia="Times New Roman"/>
                <w:color w:val="000000"/>
                <w:sz w:val="20"/>
                <w:szCs w:val="20"/>
              </w:rPr>
              <w:br/>
              <w:t>2022</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September 30,</w:t>
            </w:r>
            <w:r>
              <w:rPr>
                <w:rFonts w:eastAsia="Times New Roman"/>
                <w:color w:val="000000"/>
                <w:sz w:val="20"/>
                <w:szCs w:val="20"/>
              </w:rPr>
              <w:br/>
              <w:t>2021</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June 30,</w:t>
            </w:r>
            <w:r>
              <w:rPr>
                <w:rFonts w:eastAsia="Times New Roman"/>
                <w:color w:val="000000"/>
                <w:sz w:val="20"/>
                <w:szCs w:val="20"/>
              </w:rPr>
              <w:br/>
              <w:t>2021</w:t>
            </w:r>
          </w:p>
        </w:tc>
      </w:tr>
      <w:tr w:rsidR="00000000">
        <w:trPr>
          <w:divId w:val="1032615113"/>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20"/>
                <w:szCs w:val="20"/>
              </w:rPr>
              <w:t>Derivative assets: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032615113"/>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20"/>
                <w:szCs w:val="20"/>
              </w:rPr>
              <w:t>Derivatives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r>
      <w:tr w:rsidR="00000000">
        <w:trPr>
          <w:divId w:val="1032615113"/>
        </w:trPr>
        <w:tc>
          <w:tcPr>
            <w:tcW w:w="0" w:type="auto"/>
            <w:gridSpan w:val="3"/>
            <w:vAlign w:val="center"/>
            <w:hideMark/>
          </w:tcPr>
          <w:p w:rsidR="00000000" w:rsidRDefault="00BE60E9">
            <w:pPr>
              <w:spacing w:after="100"/>
              <w:rPr>
                <w:rFonts w:eastAsia="Times New Roman"/>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032615113"/>
        </w:trPr>
        <w:tc>
          <w:tcPr>
            <w:tcW w:w="0" w:type="auto"/>
            <w:gridSpan w:val="3"/>
            <w:shd w:val="clear" w:color="auto" w:fill="CCEEFF"/>
            <w:tcMar>
              <w:top w:w="30" w:type="dxa"/>
              <w:left w:w="245" w:type="dxa"/>
              <w:bottom w:w="30" w:type="dxa"/>
              <w:right w:w="20" w:type="dxa"/>
            </w:tcMar>
            <w:hideMark/>
          </w:tcPr>
          <w:p w:rsidR="00000000" w:rsidRDefault="00BE60E9">
            <w:pPr>
              <w:spacing w:after="100"/>
              <w:rPr>
                <w:rFonts w:eastAsia="Times New Roman"/>
              </w:rPr>
            </w:pPr>
            <w:r>
              <w:rPr>
                <w:rFonts w:eastAsia="Times New Roman"/>
                <w:color w:val="000000"/>
                <w:sz w:val="20"/>
                <w:szCs w:val="20"/>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032615113"/>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032615113"/>
        </w:trPr>
        <w:tc>
          <w:tcPr>
            <w:tcW w:w="0" w:type="auto"/>
            <w:gridSpan w:val="3"/>
            <w:shd w:val="clear" w:color="auto" w:fill="FFFFFF"/>
            <w:tcMar>
              <w:top w:w="30" w:type="dxa"/>
              <w:left w:w="245" w:type="dxa"/>
              <w:bottom w:w="30" w:type="dxa"/>
              <w:right w:w="20" w:type="dxa"/>
            </w:tcMar>
            <w:hideMark/>
          </w:tcPr>
          <w:p w:rsidR="00000000" w:rsidRDefault="00BE60E9">
            <w:pPr>
              <w:spacing w:after="100"/>
              <w:rPr>
                <w:rFonts w:eastAsia="Times New Roman"/>
              </w:rPr>
            </w:pPr>
            <w:r>
              <w:rPr>
                <w:rFonts w:eastAsia="Times New Roman"/>
                <w:color w:val="000000"/>
                <w:sz w:val="20"/>
                <w:szCs w:val="20"/>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032615113"/>
        </w:trPr>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032615113"/>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20"/>
                <w:szCs w:val="20"/>
              </w:rPr>
              <w:t>Derivatives subject to PGC and DS mechanisms: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032615113"/>
        </w:trPr>
        <w:tc>
          <w:tcPr>
            <w:tcW w:w="0" w:type="auto"/>
            <w:gridSpan w:val="3"/>
            <w:shd w:val="clear" w:color="auto" w:fill="CCEEFF"/>
            <w:tcMar>
              <w:top w:w="30" w:type="dxa"/>
              <w:left w:w="245" w:type="dxa"/>
              <w:bottom w:w="30" w:type="dxa"/>
              <w:right w:w="20" w:type="dxa"/>
            </w:tcMar>
            <w:hideMark/>
          </w:tcPr>
          <w:p w:rsidR="00000000" w:rsidRDefault="00BE60E9">
            <w:pPr>
              <w:spacing w:after="100"/>
              <w:rPr>
                <w:rFonts w:eastAsia="Times New Roman"/>
              </w:rPr>
            </w:pPr>
            <w:r>
              <w:rPr>
                <w:rFonts w:eastAsia="Times New Roman"/>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58 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032615113"/>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20"/>
                <w:szCs w:val="20"/>
              </w:rPr>
              <w:t>Derivatives not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r>
      <w:tr w:rsidR="00000000">
        <w:trPr>
          <w:divId w:val="1032615113"/>
        </w:trPr>
        <w:tc>
          <w:tcPr>
            <w:tcW w:w="0" w:type="auto"/>
            <w:gridSpan w:val="3"/>
            <w:shd w:val="clear" w:color="auto" w:fill="CCEEFF"/>
            <w:tcMar>
              <w:top w:w="30" w:type="dxa"/>
              <w:left w:w="245" w:type="dxa"/>
              <w:bottom w:w="30" w:type="dxa"/>
              <w:right w:w="20" w:type="dxa"/>
            </w:tcMar>
            <w:hideMark/>
          </w:tcPr>
          <w:p w:rsidR="00000000" w:rsidRDefault="00BE60E9">
            <w:pPr>
              <w:spacing w:after="100"/>
              <w:rPr>
                <w:rFonts w:eastAsia="Times New Roman"/>
              </w:rPr>
            </w:pPr>
            <w:r>
              <w:rPr>
                <w:rFonts w:eastAsia="Times New Roman"/>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1,935 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1,591 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623 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032615113"/>
        </w:trPr>
        <w:tc>
          <w:tcPr>
            <w:tcW w:w="0" w:type="auto"/>
            <w:gridSpan w:val="3"/>
            <w:shd w:val="clear" w:color="auto" w:fill="FFFFFF"/>
            <w:tcMar>
              <w:top w:w="30" w:type="dxa"/>
              <w:left w:w="245" w:type="dxa"/>
              <w:bottom w:w="30" w:type="dxa"/>
              <w:right w:w="20" w:type="dxa"/>
            </w:tcMar>
            <w:hideMark/>
          </w:tcPr>
          <w:p w:rsidR="00000000" w:rsidRDefault="00BE60E9">
            <w:pPr>
              <w:spacing w:after="100"/>
              <w:rPr>
                <w:rFonts w:eastAsia="Times New Roman"/>
              </w:rPr>
            </w:pPr>
            <w:r>
              <w:rPr>
                <w:rFonts w:eastAsia="Times New Roman"/>
                <w:color w:val="000000"/>
                <w:sz w:val="20"/>
                <w:szCs w:val="20"/>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032615113"/>
        </w:trPr>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1,966 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1,609 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032615113"/>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Total derivative assets — gross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2,068 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1,687 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032615113"/>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Gross amounts offset in the balance sheet</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(226)</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(216)</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(77)</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032615113"/>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Cash collateral received</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(659)</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(468)</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(105)</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032615113"/>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Total derivative assets — net</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1,183 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1,003 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032615113"/>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20"/>
                <w:szCs w:val="20"/>
              </w:rPr>
              <w:t>Derivative liabilities: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032615113"/>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20"/>
                <w:szCs w:val="20"/>
              </w:rPr>
              <w:t>Derivatives designated as hedging instruments: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032615113"/>
        </w:trPr>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032615113"/>
        </w:trPr>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032615113"/>
        </w:trPr>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032615113"/>
        </w:trPr>
        <w:tc>
          <w:tcPr>
            <w:tcW w:w="0" w:type="auto"/>
            <w:gridSpan w:val="3"/>
            <w:shd w:val="clear" w:color="auto" w:fill="FFFFFF"/>
            <w:tcMar>
              <w:top w:w="30" w:type="dxa"/>
              <w:left w:w="245" w:type="dxa"/>
              <w:bottom w:w="30" w:type="dxa"/>
              <w:right w:w="20" w:type="dxa"/>
            </w:tcMar>
            <w:hideMark/>
          </w:tcPr>
          <w:p w:rsidR="00000000" w:rsidRDefault="00BE60E9">
            <w:pPr>
              <w:spacing w:after="100"/>
              <w:rPr>
                <w:rFonts w:eastAsia="Times New Roman"/>
              </w:rPr>
            </w:pPr>
            <w:r>
              <w:rPr>
                <w:rFonts w:eastAsia="Times New Roman"/>
                <w:color w:val="000000"/>
                <w:sz w:val="20"/>
                <w:szCs w:val="20"/>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(29)</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(35)</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032615113"/>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032615113"/>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20"/>
                <w:szCs w:val="20"/>
              </w:rPr>
              <w:t>Derivatives subject to PGC and DS mechanisms: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032615113"/>
        </w:trPr>
        <w:tc>
          <w:tcPr>
            <w:tcW w:w="0" w:type="auto"/>
            <w:gridSpan w:val="3"/>
            <w:shd w:val="clear" w:color="auto" w:fill="FFFFFF"/>
            <w:tcMar>
              <w:top w:w="30" w:type="dxa"/>
              <w:left w:w="245" w:type="dxa"/>
              <w:bottom w:w="30" w:type="dxa"/>
              <w:right w:w="20" w:type="dxa"/>
            </w:tcMar>
            <w:hideMark/>
          </w:tcPr>
          <w:p w:rsidR="00000000" w:rsidRDefault="00BE60E9">
            <w:pPr>
              <w:spacing w:after="100"/>
              <w:rPr>
                <w:rFonts w:eastAsia="Times New Roman"/>
              </w:rPr>
            </w:pPr>
            <w:r>
              <w:rPr>
                <w:rFonts w:eastAsia="Times New Roman"/>
                <w:color w:val="000000"/>
                <w:sz w:val="20"/>
                <w:szCs w:val="20"/>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032615113"/>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20"/>
                <w:szCs w:val="20"/>
              </w:rPr>
              <w:t>Derivatives not designated as hedging instruments: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032615113"/>
        </w:trPr>
        <w:tc>
          <w:tcPr>
            <w:tcW w:w="0" w:type="auto"/>
            <w:gridSpan w:val="3"/>
            <w:shd w:val="clear" w:color="auto" w:fill="FFFFFF"/>
            <w:tcMar>
              <w:top w:w="30" w:type="dxa"/>
              <w:left w:w="245" w:type="dxa"/>
              <w:bottom w:w="30" w:type="dxa"/>
              <w:right w:w="20" w:type="dxa"/>
            </w:tcMar>
            <w:hideMark/>
          </w:tcPr>
          <w:p w:rsidR="00000000" w:rsidRDefault="00BE60E9">
            <w:pPr>
              <w:spacing w:after="100"/>
              <w:rPr>
                <w:rFonts w:eastAsia="Times New Roman"/>
              </w:rPr>
            </w:pPr>
            <w:r>
              <w:rPr>
                <w:rFonts w:eastAsia="Times New Roman"/>
                <w:color w:val="000000"/>
                <w:sz w:val="20"/>
                <w:szCs w:val="20"/>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(338)</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(257)</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(139)</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032615113"/>
        </w:trPr>
        <w:tc>
          <w:tcPr>
            <w:tcW w:w="0" w:type="auto"/>
            <w:gridSpan w:val="3"/>
            <w:shd w:val="clear" w:color="auto" w:fill="CCEEFF"/>
            <w:tcMar>
              <w:top w:w="30" w:type="dxa"/>
              <w:left w:w="245" w:type="dxa"/>
              <w:bottom w:w="30" w:type="dxa"/>
              <w:right w:w="20" w:type="dxa"/>
            </w:tcMar>
            <w:hideMark/>
          </w:tcPr>
          <w:p w:rsidR="00000000" w:rsidRDefault="00BE60E9">
            <w:pPr>
              <w:spacing w:after="100"/>
              <w:rPr>
                <w:rFonts w:eastAsia="Times New Roman"/>
              </w:rPr>
            </w:pPr>
            <w:r>
              <w:rPr>
                <w:rFonts w:eastAsia="Times New Roman"/>
                <w:color w:val="000000"/>
                <w:sz w:val="20"/>
                <w:szCs w:val="20"/>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032615113"/>
        </w:trPr>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(340)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(265)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(152)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032615113"/>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Total derivative liabilities — gross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(363)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(193)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032615113"/>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Gross amounts offset in the balance sheet</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226 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216 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77 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032615113"/>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Cash collateral pledged</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032615113"/>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Total derivative liabilities — net</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(124)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w:t>
            </w:r>
            <w:r>
              <w:rPr>
                <w:rFonts w:eastAsia="Times New Roman"/>
                <w:color w:val="000000"/>
                <w:sz w:val="20"/>
                <w:szCs w:val="20"/>
              </w:rPr>
              <w:t>98)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(116)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bl>
    <w:p w:rsidR="00000000" w:rsidRDefault="00BE60E9">
      <w:pPr>
        <w:jc w:val="both"/>
        <w:rPr>
          <w:rFonts w:eastAsia="Times New Roman"/>
        </w:rPr>
      </w:pPr>
    </w:p>
    <w:p w:rsidR="00000000" w:rsidRDefault="00BE60E9">
      <w:pPr>
        <w:jc w:val="center"/>
        <w:divId w:val="2043431663"/>
        <w:rPr>
          <w:rFonts w:eastAsia="Times New Roman"/>
        </w:rPr>
      </w:pPr>
      <w:r>
        <w:rPr>
          <w:rFonts w:eastAsia="Times New Roman"/>
          <w:color w:val="000000"/>
          <w:sz w:val="20"/>
          <w:szCs w:val="20"/>
        </w:rPr>
        <w:t>28</w:t>
      </w:r>
    </w:p>
    <w:p w:rsidR="00000000" w:rsidRDefault="00BE60E9">
      <w:pPr>
        <w:rPr>
          <w:rFonts w:eastAsia="Times New Roman"/>
        </w:rPr>
      </w:pPr>
      <w:r>
        <w:rPr>
          <w:rFonts w:eastAsia="Times New Roman"/>
        </w:rPr>
        <w:pict>
          <v:rect id="_x0000_i1054" style="width:0;height:1.5pt" o:hralign="center" o:hrstd="t" o:hr="t" fillcolor="#a0a0a0" stroked="f"/>
        </w:pict>
      </w:r>
    </w:p>
    <w:p w:rsidR="00000000" w:rsidRDefault="00BE60E9">
      <w:pPr>
        <w:divId w:val="2110272664"/>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359744492"/>
        <w:rPr>
          <w:rFonts w:eastAsia="Times New Roman"/>
        </w:rPr>
      </w:pPr>
      <w:r>
        <w:rPr>
          <w:rFonts w:eastAsia="Times New Roman"/>
          <w:b/>
          <w:bCs/>
          <w:color w:val="000000"/>
          <w:sz w:val="20"/>
          <w:szCs w:val="20"/>
        </w:rPr>
        <w:t>UGI CORPORATION AND SUBSIDIARIES</w:t>
      </w:r>
    </w:p>
    <w:p w:rsidR="00000000" w:rsidRDefault="00BE60E9">
      <w:pPr>
        <w:jc w:val="center"/>
        <w:divId w:val="1185749151"/>
        <w:rPr>
          <w:rFonts w:eastAsia="Times New Roman"/>
        </w:rPr>
      </w:pPr>
      <w:r>
        <w:rPr>
          <w:rFonts w:eastAsia="Times New Roman"/>
          <w:b/>
          <w:bCs/>
          <w:color w:val="000000"/>
          <w:sz w:val="20"/>
          <w:szCs w:val="20"/>
          <w:u w:val="single"/>
        </w:rPr>
        <w:t>Notes to Condensed Consolidated Financial Statements</w:t>
      </w:r>
    </w:p>
    <w:p w:rsidR="00000000" w:rsidRDefault="00BE60E9">
      <w:pPr>
        <w:jc w:val="center"/>
        <w:divId w:val="359744492"/>
        <w:rPr>
          <w:rFonts w:eastAsia="Times New Roman"/>
        </w:rPr>
      </w:pPr>
      <w:r>
        <w:rPr>
          <w:rFonts w:eastAsia="Times New Roman"/>
          <w:color w:val="000000"/>
          <w:sz w:val="20"/>
          <w:szCs w:val="20"/>
        </w:rPr>
        <w:t>(unaudited)</w:t>
      </w:r>
    </w:p>
    <w:p w:rsidR="00000000" w:rsidRDefault="00BE60E9">
      <w:pPr>
        <w:jc w:val="center"/>
        <w:divId w:val="359744492"/>
        <w:rPr>
          <w:rFonts w:eastAsia="Times New Roman"/>
        </w:rPr>
      </w:pPr>
      <w:r>
        <w:rPr>
          <w:rFonts w:eastAsia="Times New Roman"/>
          <w:color w:val="000000"/>
          <w:sz w:val="20"/>
          <w:szCs w:val="20"/>
        </w:rPr>
        <w:t>(Currency in millions, except per share amount</w:t>
      </w:r>
      <w:r>
        <w:rPr>
          <w:rFonts w:eastAsia="Times New Roman"/>
          <w:color w:val="000000"/>
          <w:sz w:val="20"/>
          <w:szCs w:val="20"/>
        </w:rPr>
        <w:t>s and where indicated otherwise)</w:t>
      </w:r>
    </w:p>
    <w:p w:rsidR="00000000" w:rsidRDefault="00BE60E9">
      <w:pPr>
        <w:divId w:val="1175925509"/>
        <w:rPr>
          <w:rFonts w:eastAsia="Times New Roman"/>
        </w:rPr>
      </w:pPr>
      <w:r>
        <w:rPr>
          <w:rFonts w:eastAsia="Times New Roman"/>
          <w:b/>
          <w:bCs/>
          <w:color w:val="000000"/>
          <w:sz w:val="20"/>
          <w:szCs w:val="20"/>
        </w:rPr>
        <w:t>Effects of Derivative Instruments</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The following tables provide information on the effects of derivative instruments on the Condensed Consolidated Statements of Income and changes in AOCI:</w:t>
      </w:r>
    </w:p>
    <w:tbl>
      <w:tblPr>
        <w:tblW w:w="4978" w:type="pct"/>
        <w:jc w:val="center"/>
        <w:tblCellMar>
          <w:top w:w="15" w:type="dxa"/>
          <w:left w:w="15" w:type="dxa"/>
          <w:bottom w:w="15" w:type="dxa"/>
          <w:right w:w="15" w:type="dxa"/>
        </w:tblCellMar>
        <w:tblLook w:val="04A0" w:firstRow="1" w:lastRow="0" w:firstColumn="1" w:lastColumn="0" w:noHBand="0" w:noVBand="1"/>
      </w:tblPr>
      <w:tblGrid>
        <w:gridCol w:w="40"/>
        <w:gridCol w:w="2554"/>
        <w:gridCol w:w="39"/>
        <w:gridCol w:w="36"/>
        <w:gridCol w:w="36"/>
        <w:gridCol w:w="36"/>
        <w:gridCol w:w="121"/>
        <w:gridCol w:w="799"/>
        <w:gridCol w:w="37"/>
        <w:gridCol w:w="36"/>
        <w:gridCol w:w="43"/>
        <w:gridCol w:w="36"/>
        <w:gridCol w:w="120"/>
        <w:gridCol w:w="798"/>
        <w:gridCol w:w="36"/>
        <w:gridCol w:w="36"/>
        <w:gridCol w:w="36"/>
        <w:gridCol w:w="36"/>
        <w:gridCol w:w="121"/>
        <w:gridCol w:w="669"/>
        <w:gridCol w:w="37"/>
        <w:gridCol w:w="37"/>
        <w:gridCol w:w="37"/>
        <w:gridCol w:w="37"/>
        <w:gridCol w:w="120"/>
        <w:gridCol w:w="668"/>
        <w:gridCol w:w="36"/>
        <w:gridCol w:w="36"/>
        <w:gridCol w:w="36"/>
        <w:gridCol w:w="36"/>
        <w:gridCol w:w="50"/>
        <w:gridCol w:w="1438"/>
        <w:gridCol w:w="36"/>
      </w:tblGrid>
      <w:tr w:rsidR="00000000">
        <w:trPr>
          <w:divId w:val="1543253726"/>
          <w:jc w:val="center"/>
        </w:trPr>
        <w:tc>
          <w:tcPr>
            <w:tcW w:w="50" w:type="pct"/>
            <w:vAlign w:val="center"/>
            <w:hideMark/>
          </w:tcPr>
          <w:p w:rsidR="00000000" w:rsidRDefault="00BE60E9">
            <w:pPr>
              <w:jc w:val="both"/>
              <w:rPr>
                <w:rFonts w:eastAsia="Times New Roman"/>
              </w:rPr>
            </w:pPr>
          </w:p>
        </w:tc>
        <w:tc>
          <w:tcPr>
            <w:tcW w:w="1589"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80"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80"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80"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80"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973"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rPr>
          <w:divId w:val="1543253726"/>
          <w:jc w:val="center"/>
        </w:trPr>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20"/>
                <w:szCs w:val="20"/>
                <w:u w:val="single"/>
              </w:rPr>
              <w:t>Three Months Ended June 30,:</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543253726"/>
          <w:trHeight w:val="700"/>
          <w:jc w:val="center"/>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 xml:space="preserve">Gain (Loss) </w:t>
            </w:r>
            <w:r>
              <w:rPr>
                <w:rFonts w:eastAsia="Times New Roman"/>
                <w:color w:val="000000"/>
                <w:sz w:val="20"/>
                <w:szCs w:val="20"/>
              </w:rPr>
              <w:br/>
              <w:t>Recognized in</w:t>
            </w:r>
            <w:r>
              <w:rPr>
                <w:rFonts w:eastAsia="Times New Roman"/>
                <w:color w:val="000000"/>
                <w:sz w:val="20"/>
                <w:szCs w:val="20"/>
              </w:rPr>
              <w:br/>
              <w:t>AOCI</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Loss</w:t>
            </w:r>
            <w:r>
              <w:rPr>
                <w:rFonts w:eastAsia="Times New Roman"/>
                <w:color w:val="000000"/>
                <w:sz w:val="20"/>
                <w:szCs w:val="20"/>
              </w:rPr>
              <w:br/>
              <w:t>Reclassified from</w:t>
            </w:r>
            <w:r>
              <w:rPr>
                <w:rFonts w:eastAsia="Times New Roman"/>
                <w:color w:val="000000"/>
                <w:sz w:val="20"/>
                <w:szCs w:val="20"/>
              </w:rPr>
              <w:br/>
              <w:t>AOCI into Income</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Location of Loss Reclassified from</w:t>
            </w:r>
            <w:r>
              <w:rPr>
                <w:rFonts w:eastAsia="Times New Roman"/>
                <w:color w:val="000000"/>
                <w:sz w:val="20"/>
                <w:szCs w:val="20"/>
              </w:rPr>
              <w:br/>
              <w:t>AOCI into Income</w:t>
            </w:r>
          </w:p>
        </w:tc>
      </w:tr>
      <w:tr w:rsidR="00000000">
        <w:trPr>
          <w:divId w:val="1543253726"/>
          <w:trHeight w:val="280"/>
          <w:jc w:val="center"/>
        </w:trPr>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20"/>
                <w:szCs w:val="20"/>
              </w:rPr>
              <w:t>Cash Flow Hedges:</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vMerge/>
            <w:vAlign w:val="center"/>
            <w:hideMark/>
          </w:tcPr>
          <w:p w:rsidR="00000000" w:rsidRDefault="00BE60E9">
            <w:pPr>
              <w:spacing w:after="100"/>
              <w:rPr>
                <w:rFonts w:eastAsia="Times New Roman"/>
              </w:rPr>
            </w:pPr>
          </w:p>
        </w:tc>
      </w:tr>
      <w:tr w:rsidR="00000000">
        <w:trPr>
          <w:divId w:val="1543253726"/>
          <w:jc w:val="center"/>
        </w:trPr>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543253726"/>
          <w:jc w:val="center"/>
        </w:trPr>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543253726"/>
          <w:jc w:val="center"/>
        </w:trPr>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543253726"/>
          <w:jc w:val="center"/>
        </w:trPr>
        <w:tc>
          <w:tcPr>
            <w:tcW w:w="0" w:type="auto"/>
            <w:gridSpan w:val="3"/>
            <w:tcBorders>
              <w:top w:val="single" w:sz="8" w:space="0" w:color="000000"/>
            </w:tcBorders>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Interest expense</w:t>
            </w:r>
          </w:p>
        </w:tc>
      </w:tr>
      <w:tr w:rsidR="00000000">
        <w:trPr>
          <w:divId w:val="1543253726"/>
          <w:jc w:val="center"/>
        </w:trPr>
        <w:tc>
          <w:tcPr>
            <w:tcW w:w="0" w:type="auto"/>
            <w:gridSpan w:val="3"/>
            <w:vAlign w:val="center"/>
            <w:hideMark/>
          </w:tcPr>
          <w:p w:rsidR="00000000" w:rsidRDefault="00BE60E9">
            <w:pPr>
              <w:spacing w:after="100"/>
              <w:rPr>
                <w:rFonts w:eastAsia="Times New Roman"/>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543253726"/>
          <w:trHeight w:val="180"/>
          <w:jc w:val="center"/>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543253726"/>
          <w:jc w:val="center"/>
        </w:trPr>
        <w:tc>
          <w:tcPr>
            <w:tcW w:w="0" w:type="auto"/>
            <w:gridSpan w:val="3"/>
            <w:tcMar>
              <w:top w:w="30" w:type="dxa"/>
              <w:left w:w="20" w:type="dxa"/>
              <w:bottom w:w="30" w:type="dxa"/>
              <w:right w:w="20" w:type="dxa"/>
            </w:tcMar>
            <w:hideMark/>
          </w:tcPr>
          <w:p w:rsidR="00000000" w:rsidRDefault="00BE60E9">
            <w:pPr>
              <w:spacing w:after="100"/>
              <w:rPr>
                <w:rFonts w:eastAsia="Times New Roman"/>
              </w:rPr>
            </w:pPr>
            <w:r>
              <w:rPr>
                <w:rFonts w:eastAsia="Times New Roman"/>
                <w:b/>
                <w:bCs/>
                <w:color w:val="000000"/>
                <w:sz w:val="20"/>
                <w:szCs w:val="20"/>
              </w:rPr>
              <w:t>Net Investment Hedges:</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543253726"/>
          <w:jc w:val="center"/>
        </w:trPr>
        <w:tc>
          <w:tcPr>
            <w:tcW w:w="0" w:type="auto"/>
            <w:gridSpan w:val="3"/>
            <w:tcBorders>
              <w:top w:val="single" w:sz="8" w:space="0" w:color="000000"/>
            </w:tcBorders>
            <w:shd w:val="clear" w:color="auto" w:fill="CCEEFF"/>
            <w:tcMar>
              <w:top w:w="30" w:type="dxa"/>
              <w:left w:w="380" w:type="dxa"/>
              <w:bottom w:w="30" w:type="dxa"/>
              <w:right w:w="20" w:type="dxa"/>
            </w:tcMar>
            <w:hideMark/>
          </w:tcPr>
          <w:p w:rsidR="00000000" w:rsidRDefault="00BE60E9">
            <w:pPr>
              <w:spacing w:after="100"/>
              <w:rPr>
                <w:rFonts w:eastAsia="Times New Roman"/>
              </w:rPr>
            </w:pPr>
            <w:r>
              <w:rPr>
                <w:rFonts w:eastAsia="Times New Roman"/>
                <w:color w:val="000000"/>
                <w:sz w:val="20"/>
                <w:szCs w:val="20"/>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543253726"/>
          <w:trHeight w:val="180"/>
          <w:jc w:val="center"/>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543253726"/>
          <w:jc w:val="center"/>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Gain (Loss)</w:t>
            </w:r>
            <w:r>
              <w:rPr>
                <w:rFonts w:eastAsia="Times New Roman"/>
                <w:color w:val="000000"/>
                <w:sz w:val="20"/>
                <w:szCs w:val="20"/>
              </w:rPr>
              <w:br/>
              <w:t>Recognized in Income</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543253726"/>
          <w:jc w:val="center"/>
        </w:trPr>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20"/>
                <w:szCs w:val="20"/>
              </w:rPr>
              <w:t>Derivatives Not Designated as Hedging Instruments:</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Location of Gain (Loss) Recognized in Income</w:t>
            </w:r>
          </w:p>
        </w:tc>
      </w:tr>
      <w:tr w:rsidR="00000000">
        <w:trPr>
          <w:divId w:val="1543253726"/>
          <w:jc w:val="center"/>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15"/>
            <w:tcBorders>
              <w:top w:val="single" w:sz="8" w:space="0" w:color="000000"/>
            </w:tcBorders>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Revenues</w:t>
            </w:r>
          </w:p>
        </w:tc>
      </w:tr>
      <w:tr w:rsidR="00000000">
        <w:trPr>
          <w:divId w:val="1543253726"/>
          <w:jc w:val="center"/>
        </w:trPr>
        <w:tc>
          <w:tcPr>
            <w:tcW w:w="0" w:type="auto"/>
            <w:gridSpan w:val="3"/>
            <w:shd w:val="clear" w:color="auto" w:fill="FFFFFF"/>
            <w:tcMar>
              <w:top w:w="30" w:type="dxa"/>
              <w:left w:w="155" w:type="dxa"/>
              <w:bottom w:w="30" w:type="dxa"/>
              <w:right w:w="20" w:type="dxa"/>
            </w:tcMar>
            <w:hideMark/>
          </w:tcPr>
          <w:p w:rsidR="00000000" w:rsidRDefault="00BE60E9">
            <w:pPr>
              <w:spacing w:after="100"/>
              <w:rPr>
                <w:rFonts w:eastAsia="Times New Roman"/>
              </w:rPr>
            </w:pPr>
            <w:r>
              <w:rPr>
                <w:rFonts w:eastAsia="Times New Roman"/>
                <w:color w:val="000000"/>
                <w:sz w:val="20"/>
                <w:szCs w:val="20"/>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466 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347 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Cost of sales</w:t>
            </w:r>
          </w:p>
        </w:tc>
      </w:tr>
      <w:tr w:rsidR="00000000">
        <w:trPr>
          <w:divId w:val="1543253726"/>
          <w:jc w:val="center"/>
        </w:trPr>
        <w:tc>
          <w:tcPr>
            <w:tcW w:w="0" w:type="auto"/>
            <w:gridSpan w:val="3"/>
            <w:vAlign w:val="center"/>
            <w:hideMark/>
          </w:tcPr>
          <w:p w:rsidR="00000000" w:rsidRDefault="00BE60E9">
            <w:pPr>
              <w:spacing w:after="100"/>
              <w:rPr>
                <w:rFonts w:eastAsia="Times New Roman"/>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r>
      <w:tr w:rsidR="00000000">
        <w:trPr>
          <w:divId w:val="1543253726"/>
          <w:jc w:val="center"/>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15"/>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Other operating income, net</w:t>
            </w:r>
          </w:p>
        </w:tc>
      </w:tr>
      <w:tr w:rsidR="00000000">
        <w:trPr>
          <w:divId w:val="1543253726"/>
          <w:jc w:val="center"/>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Other non-operating income, net</w:t>
            </w:r>
          </w:p>
        </w:tc>
      </w:tr>
      <w:tr w:rsidR="00000000">
        <w:trPr>
          <w:divId w:val="1543253726"/>
          <w:jc w:val="center"/>
        </w:trPr>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543253726"/>
          <w:trHeight w:val="280"/>
          <w:jc w:val="center"/>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543253726"/>
          <w:jc w:val="center"/>
        </w:trPr>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20"/>
                <w:szCs w:val="20"/>
                <w:u w:val="single"/>
              </w:rPr>
              <w:t>Nine Months Ended June 30,:</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543253726"/>
          <w:trHeight w:val="700"/>
          <w:jc w:val="center"/>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Gain (Loss)</w:t>
            </w:r>
            <w:r>
              <w:rPr>
                <w:rFonts w:eastAsia="Times New Roman"/>
                <w:color w:val="000000"/>
                <w:sz w:val="20"/>
                <w:szCs w:val="20"/>
              </w:rPr>
              <w:br/>
              <w:t>Recognized in</w:t>
            </w:r>
            <w:r>
              <w:rPr>
                <w:rFonts w:eastAsia="Times New Roman"/>
                <w:color w:val="000000"/>
                <w:sz w:val="20"/>
                <w:szCs w:val="20"/>
              </w:rPr>
              <w:br/>
              <w:t>AOCI</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9"/>
            <w:shd w:val="clear" w:color="auto" w:fill="FFFFFF"/>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Loss</w:t>
            </w:r>
            <w:r>
              <w:rPr>
                <w:rFonts w:eastAsia="Times New Roman"/>
                <w:color w:val="000000"/>
                <w:sz w:val="20"/>
                <w:szCs w:val="20"/>
              </w:rPr>
              <w:br/>
            </w:r>
            <w:r>
              <w:rPr>
                <w:rFonts w:eastAsia="Times New Roman"/>
                <w:color w:val="000000"/>
                <w:sz w:val="20"/>
                <w:szCs w:val="20"/>
              </w:rPr>
              <w:t>Reclassified from</w:t>
            </w:r>
            <w:r>
              <w:rPr>
                <w:rFonts w:eastAsia="Times New Roman"/>
                <w:color w:val="000000"/>
                <w:sz w:val="20"/>
                <w:szCs w:val="20"/>
              </w:rPr>
              <w:br/>
              <w:t>AOCI into Income</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Location of Loss Reclassified from</w:t>
            </w:r>
            <w:r>
              <w:rPr>
                <w:rFonts w:eastAsia="Times New Roman"/>
                <w:color w:val="000000"/>
                <w:sz w:val="20"/>
                <w:szCs w:val="20"/>
              </w:rPr>
              <w:br/>
              <w:t>AOCI into Income</w:t>
            </w:r>
          </w:p>
        </w:tc>
      </w:tr>
      <w:tr w:rsidR="00000000">
        <w:trPr>
          <w:divId w:val="1543253726"/>
          <w:trHeight w:val="240"/>
          <w:jc w:val="center"/>
        </w:trPr>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20"/>
                <w:szCs w:val="20"/>
              </w:rPr>
              <w:t>Cash Flow Hedges:</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vMerge/>
            <w:vAlign w:val="center"/>
            <w:hideMark/>
          </w:tcPr>
          <w:p w:rsidR="00000000" w:rsidRDefault="00BE60E9">
            <w:pPr>
              <w:spacing w:after="100"/>
              <w:rPr>
                <w:rFonts w:eastAsia="Times New Roman"/>
              </w:rPr>
            </w:pPr>
          </w:p>
        </w:tc>
      </w:tr>
      <w:tr w:rsidR="00000000">
        <w:trPr>
          <w:divId w:val="1543253726"/>
          <w:jc w:val="center"/>
        </w:trPr>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543253726"/>
          <w:jc w:val="center"/>
        </w:trPr>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543253726"/>
          <w:jc w:val="center"/>
        </w:trPr>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543253726"/>
          <w:jc w:val="center"/>
        </w:trPr>
        <w:tc>
          <w:tcPr>
            <w:tcW w:w="0" w:type="auto"/>
            <w:gridSpan w:val="3"/>
            <w:tcBorders>
              <w:top w:val="single" w:sz="8" w:space="0" w:color="000000"/>
            </w:tcBorders>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xml:space="preserve">Interest expense </w:t>
            </w:r>
          </w:p>
        </w:tc>
      </w:tr>
      <w:tr w:rsidR="00000000">
        <w:trPr>
          <w:divId w:val="1543253726"/>
          <w:jc w:val="center"/>
        </w:trPr>
        <w:tc>
          <w:tcPr>
            <w:tcW w:w="0" w:type="auto"/>
            <w:gridSpan w:val="3"/>
            <w:vAlign w:val="center"/>
            <w:hideMark/>
          </w:tcPr>
          <w:p w:rsidR="00000000" w:rsidRDefault="00BE60E9">
            <w:pPr>
              <w:spacing w:after="100"/>
              <w:rPr>
                <w:rFonts w:eastAsia="Times New Roman"/>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543253726"/>
          <w:trHeight w:val="180"/>
          <w:jc w:val="center"/>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543253726"/>
          <w:jc w:val="center"/>
        </w:trPr>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20"/>
                <w:szCs w:val="20"/>
              </w:rPr>
              <w:t>Net Investment Hedges:</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543253726"/>
          <w:jc w:val="center"/>
        </w:trPr>
        <w:tc>
          <w:tcPr>
            <w:tcW w:w="0" w:type="auto"/>
            <w:gridSpan w:val="3"/>
            <w:tcBorders>
              <w:top w:val="single" w:sz="8" w:space="0" w:color="000000"/>
            </w:tcBorders>
            <w:shd w:val="clear" w:color="auto" w:fill="CCEEFF"/>
            <w:tcMar>
              <w:top w:w="30" w:type="dxa"/>
              <w:left w:w="380" w:type="dxa"/>
              <w:bottom w:w="30" w:type="dxa"/>
              <w:right w:w="20" w:type="dxa"/>
            </w:tcMar>
            <w:hideMark/>
          </w:tcPr>
          <w:p w:rsidR="00000000" w:rsidRDefault="00BE60E9">
            <w:pPr>
              <w:spacing w:after="100"/>
              <w:rPr>
                <w:rFonts w:eastAsia="Times New Roman"/>
              </w:rPr>
            </w:pPr>
            <w:r>
              <w:rPr>
                <w:rFonts w:eastAsia="Times New Roman"/>
                <w:color w:val="000000"/>
                <w:sz w:val="20"/>
                <w:szCs w:val="20"/>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34 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543253726"/>
          <w:trHeight w:val="180"/>
          <w:jc w:val="center"/>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543253726"/>
          <w:jc w:val="center"/>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Gain (Loss)</w:t>
            </w:r>
            <w:r>
              <w:rPr>
                <w:rFonts w:eastAsia="Times New Roman"/>
                <w:color w:val="000000"/>
                <w:sz w:val="20"/>
                <w:szCs w:val="20"/>
              </w:rPr>
              <w:br/>
              <w:t>Recognized in Income</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543253726"/>
          <w:jc w:val="center"/>
        </w:trPr>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20"/>
                <w:szCs w:val="20"/>
              </w:rPr>
              <w:t>Derivatives Not Designated as Hedging Instruments:</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Location of Gain (Loss) Recognized in Income</w:t>
            </w:r>
          </w:p>
        </w:tc>
      </w:tr>
      <w:tr w:rsidR="00000000">
        <w:trPr>
          <w:divId w:val="1543253726"/>
          <w:jc w:val="center"/>
        </w:trPr>
        <w:tc>
          <w:tcPr>
            <w:tcW w:w="0" w:type="auto"/>
            <w:gridSpan w:val="3"/>
            <w:tcBorders>
              <w:top w:val="single" w:sz="8" w:space="0" w:color="000000"/>
            </w:tcBorders>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15"/>
            <w:tcBorders>
              <w:top w:val="single" w:sz="8" w:space="0" w:color="000000"/>
            </w:tcBorders>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Revenues</w:t>
            </w:r>
          </w:p>
        </w:tc>
      </w:tr>
      <w:tr w:rsidR="00000000">
        <w:trPr>
          <w:divId w:val="1543253726"/>
          <w:jc w:val="center"/>
        </w:trPr>
        <w:tc>
          <w:tcPr>
            <w:tcW w:w="0" w:type="auto"/>
            <w:gridSpan w:val="3"/>
            <w:shd w:val="clear" w:color="auto" w:fill="FFFFFF"/>
            <w:tcMar>
              <w:top w:w="30" w:type="dxa"/>
              <w:left w:w="155" w:type="dxa"/>
              <w:bottom w:w="30" w:type="dxa"/>
              <w:right w:w="20" w:type="dxa"/>
            </w:tcMar>
            <w:hideMark/>
          </w:tcPr>
          <w:p w:rsidR="00000000" w:rsidRDefault="00BE60E9">
            <w:pPr>
              <w:spacing w:after="100"/>
              <w:rPr>
                <w:rFonts w:eastAsia="Times New Roman"/>
              </w:rPr>
            </w:pPr>
            <w:r>
              <w:rPr>
                <w:rFonts w:eastAsia="Times New Roman"/>
                <w:color w:val="000000"/>
                <w:sz w:val="20"/>
                <w:szCs w:val="20"/>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792 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585 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Cost of sales</w:t>
            </w:r>
          </w:p>
        </w:tc>
      </w:tr>
      <w:tr w:rsidR="00000000">
        <w:trPr>
          <w:divId w:val="1543253726"/>
          <w:jc w:val="center"/>
        </w:trPr>
        <w:tc>
          <w:tcPr>
            <w:tcW w:w="0" w:type="auto"/>
            <w:gridSpan w:val="3"/>
            <w:vAlign w:val="center"/>
            <w:hideMark/>
          </w:tcPr>
          <w:p w:rsidR="00000000" w:rsidRDefault="00BE60E9">
            <w:pPr>
              <w:spacing w:after="100"/>
              <w:rPr>
                <w:rFonts w:eastAsia="Times New Roman"/>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r>
      <w:tr w:rsidR="00000000">
        <w:trPr>
          <w:divId w:val="1543253726"/>
          <w:jc w:val="center"/>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15"/>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Other operating income, net</w:t>
            </w:r>
          </w:p>
        </w:tc>
      </w:tr>
      <w:tr w:rsidR="00000000">
        <w:trPr>
          <w:divId w:val="1543253726"/>
          <w:jc w:val="center"/>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Other non-operating income, net</w:t>
            </w:r>
          </w:p>
        </w:tc>
      </w:tr>
      <w:tr w:rsidR="00000000">
        <w:trPr>
          <w:divId w:val="1543253726"/>
          <w:jc w:val="center"/>
        </w:trPr>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825 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582 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bl>
    <w:p w:rsidR="00000000" w:rsidRDefault="00BE60E9">
      <w:pPr>
        <w:jc w:val="center"/>
        <w:rPr>
          <w:rFonts w:eastAsia="Times New Roman"/>
        </w:rPr>
      </w:pPr>
    </w:p>
    <w:p w:rsidR="00000000" w:rsidRDefault="00BE60E9">
      <w:pPr>
        <w:jc w:val="both"/>
        <w:rPr>
          <w:rFonts w:eastAsia="Times New Roman"/>
        </w:rPr>
      </w:pPr>
      <w:r>
        <w:rPr>
          <w:rFonts w:eastAsia="Times New Roman"/>
          <w:color w:val="000000"/>
          <w:sz w:val="20"/>
          <w:szCs w:val="20"/>
        </w:rPr>
        <w:t>We are also a party to a number of other contracts that have elements of a derivative instrument. However, these contracts qualify for NPNS exception accounting because they provide for the delivery of products or services in quantities that are expected t</w:t>
      </w:r>
      <w:r>
        <w:rPr>
          <w:rFonts w:eastAsia="Times New Roman"/>
          <w:color w:val="000000"/>
          <w:sz w:val="20"/>
          <w:szCs w:val="20"/>
        </w:rPr>
        <w:t>o be used in the normal course of operating our business and the price in the contract is based on an underlying that is directly associated with the price of the product or service being purchased or sold. These contracts include, among others, binding pu</w:t>
      </w:r>
      <w:r>
        <w:rPr>
          <w:rFonts w:eastAsia="Times New Roman"/>
          <w:color w:val="000000"/>
          <w:sz w:val="20"/>
          <w:szCs w:val="20"/>
        </w:rPr>
        <w:t>rchase orders, contracts that provide for the purchase and delivery, or sale, of energy products, and service contracts that require the counterparty to provide commodity storage, transportation or capacity service to meet our normal sales commitments.</w:t>
      </w:r>
    </w:p>
    <w:p w:rsidR="00000000" w:rsidRDefault="00BE60E9">
      <w:pPr>
        <w:jc w:val="both"/>
        <w:rPr>
          <w:rFonts w:eastAsia="Times New Roman"/>
        </w:rPr>
      </w:pPr>
    </w:p>
    <w:p w:rsidR="00000000" w:rsidRDefault="00BE60E9">
      <w:pPr>
        <w:jc w:val="center"/>
        <w:divId w:val="178325241"/>
        <w:rPr>
          <w:rFonts w:eastAsia="Times New Roman"/>
        </w:rPr>
      </w:pPr>
      <w:r>
        <w:rPr>
          <w:rFonts w:eastAsia="Times New Roman"/>
          <w:color w:val="000000"/>
          <w:sz w:val="20"/>
          <w:szCs w:val="20"/>
        </w:rPr>
        <w:t>2</w:t>
      </w:r>
      <w:r>
        <w:rPr>
          <w:rFonts w:eastAsia="Times New Roman"/>
          <w:color w:val="000000"/>
          <w:sz w:val="20"/>
          <w:szCs w:val="20"/>
        </w:rPr>
        <w:t>9</w:t>
      </w:r>
    </w:p>
    <w:p w:rsidR="00000000" w:rsidRDefault="00BE60E9">
      <w:pPr>
        <w:rPr>
          <w:rFonts w:eastAsia="Times New Roman"/>
        </w:rPr>
      </w:pPr>
      <w:r>
        <w:rPr>
          <w:rFonts w:eastAsia="Times New Roman"/>
        </w:rPr>
        <w:pict>
          <v:rect id="_x0000_i1055" style="width:0;height:1.5pt" o:hralign="center" o:hrstd="t" o:hr="t" fillcolor="#a0a0a0" stroked="f"/>
        </w:pict>
      </w:r>
    </w:p>
    <w:p w:rsidR="00000000" w:rsidRDefault="00BE60E9">
      <w:pPr>
        <w:divId w:val="1151363682"/>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799956216"/>
        <w:rPr>
          <w:rFonts w:eastAsia="Times New Roman"/>
        </w:rPr>
      </w:pPr>
      <w:r>
        <w:rPr>
          <w:rFonts w:eastAsia="Times New Roman"/>
          <w:b/>
          <w:bCs/>
          <w:color w:val="000000"/>
          <w:sz w:val="20"/>
          <w:szCs w:val="20"/>
        </w:rPr>
        <w:t>UGI CORPORATION AND SUBSIDIARIES</w:t>
      </w:r>
    </w:p>
    <w:p w:rsidR="00000000" w:rsidRDefault="00BE60E9">
      <w:pPr>
        <w:jc w:val="center"/>
        <w:divId w:val="1203861854"/>
        <w:rPr>
          <w:rFonts w:eastAsia="Times New Roman"/>
        </w:rPr>
      </w:pPr>
      <w:r>
        <w:rPr>
          <w:rFonts w:eastAsia="Times New Roman"/>
          <w:b/>
          <w:bCs/>
          <w:color w:val="000000"/>
          <w:sz w:val="20"/>
          <w:szCs w:val="20"/>
          <w:u w:val="single"/>
        </w:rPr>
        <w:t>Notes to Condensed Consolidated Financial Statements</w:t>
      </w:r>
    </w:p>
    <w:p w:rsidR="00000000" w:rsidRDefault="00BE60E9">
      <w:pPr>
        <w:jc w:val="center"/>
        <w:divId w:val="799956216"/>
        <w:rPr>
          <w:rFonts w:eastAsia="Times New Roman"/>
        </w:rPr>
      </w:pPr>
      <w:r>
        <w:rPr>
          <w:rFonts w:eastAsia="Times New Roman"/>
          <w:color w:val="000000"/>
          <w:sz w:val="20"/>
          <w:szCs w:val="20"/>
        </w:rPr>
        <w:t>(unaudited)</w:t>
      </w:r>
    </w:p>
    <w:p w:rsidR="00000000" w:rsidRDefault="00BE60E9">
      <w:pPr>
        <w:jc w:val="center"/>
        <w:divId w:val="799956216"/>
        <w:rPr>
          <w:rFonts w:eastAsia="Times New Roman"/>
        </w:rPr>
      </w:pPr>
      <w:r>
        <w:rPr>
          <w:rFonts w:eastAsia="Times New Roman"/>
          <w:color w:val="000000"/>
          <w:sz w:val="20"/>
          <w:szCs w:val="20"/>
        </w:rPr>
        <w:t>(Currency in millions, except per share amou</w:t>
      </w:r>
      <w:r>
        <w:rPr>
          <w:rFonts w:eastAsia="Times New Roman"/>
          <w:color w:val="000000"/>
          <w:sz w:val="20"/>
          <w:szCs w:val="20"/>
        </w:rPr>
        <w:t>nts and where indicated otherwise)</w:t>
      </w:r>
    </w:p>
    <w:p w:rsidR="00000000" w:rsidRDefault="00BE60E9">
      <w:pPr>
        <w:jc w:val="both"/>
        <w:rPr>
          <w:rFonts w:eastAsia="Times New Roman"/>
        </w:rPr>
      </w:pPr>
      <w:r>
        <w:rPr>
          <w:rFonts w:eastAsia="Times New Roman"/>
          <w:b/>
          <w:bCs/>
          <w:color w:val="000000"/>
          <w:sz w:val="20"/>
          <w:szCs w:val="20"/>
          <w:u w:val="single"/>
        </w:rPr>
        <w:t>Note 13 — Accumulated Other Comprehensive Income (Loss)</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The tables below present changes in AOCI, net of tax:</w:t>
      </w:r>
    </w:p>
    <w:tbl>
      <w:tblPr>
        <w:tblW w:w="4963" w:type="pct"/>
        <w:tblCellMar>
          <w:top w:w="15" w:type="dxa"/>
          <w:left w:w="15" w:type="dxa"/>
          <w:bottom w:w="15" w:type="dxa"/>
          <w:right w:w="15" w:type="dxa"/>
        </w:tblCellMar>
        <w:tblLook w:val="04A0" w:firstRow="1" w:lastRow="0" w:firstColumn="1" w:lastColumn="0" w:noHBand="0" w:noVBand="1"/>
      </w:tblPr>
      <w:tblGrid>
        <w:gridCol w:w="38"/>
        <w:gridCol w:w="4023"/>
        <w:gridCol w:w="37"/>
        <w:gridCol w:w="36"/>
        <w:gridCol w:w="36"/>
        <w:gridCol w:w="36"/>
        <w:gridCol w:w="121"/>
        <w:gridCol w:w="996"/>
        <w:gridCol w:w="36"/>
        <w:gridCol w:w="36"/>
        <w:gridCol w:w="36"/>
        <w:gridCol w:w="36"/>
        <w:gridCol w:w="121"/>
        <w:gridCol w:w="807"/>
        <w:gridCol w:w="36"/>
        <w:gridCol w:w="36"/>
        <w:gridCol w:w="36"/>
        <w:gridCol w:w="36"/>
        <w:gridCol w:w="121"/>
        <w:gridCol w:w="676"/>
        <w:gridCol w:w="36"/>
        <w:gridCol w:w="36"/>
        <w:gridCol w:w="36"/>
        <w:gridCol w:w="36"/>
        <w:gridCol w:w="120"/>
        <w:gridCol w:w="609"/>
        <w:gridCol w:w="36"/>
      </w:tblGrid>
      <w:tr w:rsidR="00000000">
        <w:trPr>
          <w:divId w:val="273710026"/>
        </w:trPr>
        <w:tc>
          <w:tcPr>
            <w:tcW w:w="50" w:type="pct"/>
            <w:vAlign w:val="center"/>
            <w:hideMark/>
          </w:tcPr>
          <w:p w:rsidR="00000000" w:rsidRDefault="00BE60E9">
            <w:pPr>
              <w:jc w:val="both"/>
              <w:rPr>
                <w:rFonts w:eastAsia="Times New Roman"/>
              </w:rPr>
            </w:pPr>
          </w:p>
        </w:tc>
        <w:tc>
          <w:tcPr>
            <w:tcW w:w="248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8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34"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34"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38"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rPr>
          <w:divId w:val="273710026"/>
        </w:trPr>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18"/>
                <w:szCs w:val="18"/>
              </w:rPr>
              <w:t>Three Months Ended June 30, 2022</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Postretirement Benefit Plans</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Derivative Instruments</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Foreign Currency</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Total</w:t>
            </w:r>
          </w:p>
        </w:tc>
      </w:tr>
      <w:tr w:rsidR="00000000">
        <w:trPr>
          <w:divId w:val="27371002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AOCI — March 31, 2022</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(175)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(178)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273710026"/>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Other comprehensive income (loss) before reclassification adjustments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(106)</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(98)</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273710026"/>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Amounts reclassified from AOCI</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273710026"/>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xml:space="preserve">Other comprehensive income (loss) attributable to UGI </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(106)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(95)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273710026"/>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AOCI — June 30, 2022</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(281)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(273)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273710026"/>
          <w:trHeight w:val="240"/>
        </w:trPr>
        <w:tc>
          <w:tcPr>
            <w:tcW w:w="0" w:type="auto"/>
            <w:gridSpan w:val="3"/>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273710026"/>
        </w:trPr>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18"/>
                <w:szCs w:val="18"/>
              </w:rPr>
              <w:t>Three Months Ended June 30, 2021</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Postretirement Benefit Plans</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Derivative Instruments</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Foreign Currency</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Total</w:t>
            </w:r>
          </w:p>
        </w:tc>
      </w:tr>
      <w:tr w:rsidR="00000000">
        <w:trPr>
          <w:divId w:val="27371002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AOCI — March 31, 2021</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273710026"/>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Other comprehensive income before reclassification adjustments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273710026"/>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Amounts reclassified from AOCI</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273710026"/>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xml:space="preserve">Other comprehensive income attributable to UGI </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273710026"/>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AOCI — June 30, 2021</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(105)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bl>
    <w:tbl>
      <w:tblPr>
        <w:tblW w:w="4985" w:type="pct"/>
        <w:jc w:val="center"/>
        <w:tblCellMar>
          <w:top w:w="15" w:type="dxa"/>
          <w:left w:w="15" w:type="dxa"/>
          <w:bottom w:w="15" w:type="dxa"/>
          <w:right w:w="15" w:type="dxa"/>
        </w:tblCellMar>
        <w:tblLook w:val="04A0" w:firstRow="1" w:lastRow="0" w:firstColumn="1" w:lastColumn="0" w:noHBand="0" w:noVBand="1"/>
      </w:tblPr>
      <w:tblGrid>
        <w:gridCol w:w="144"/>
        <w:gridCol w:w="4133"/>
        <w:gridCol w:w="144"/>
        <w:gridCol w:w="144"/>
        <w:gridCol w:w="144"/>
        <w:gridCol w:w="144"/>
        <w:gridCol w:w="144"/>
        <w:gridCol w:w="963"/>
        <w:gridCol w:w="144"/>
        <w:gridCol w:w="144"/>
        <w:gridCol w:w="144"/>
        <w:gridCol w:w="144"/>
        <w:gridCol w:w="144"/>
        <w:gridCol w:w="879"/>
        <w:gridCol w:w="144"/>
        <w:gridCol w:w="144"/>
        <w:gridCol w:w="144"/>
        <w:gridCol w:w="144"/>
        <w:gridCol w:w="144"/>
        <w:gridCol w:w="879"/>
        <w:gridCol w:w="144"/>
        <w:gridCol w:w="144"/>
        <w:gridCol w:w="144"/>
        <w:gridCol w:w="144"/>
        <w:gridCol w:w="144"/>
        <w:gridCol w:w="722"/>
        <w:gridCol w:w="144"/>
      </w:tblGrid>
      <w:tr w:rsidR="00000000">
        <w:trPr>
          <w:jc w:val="center"/>
        </w:trPr>
        <w:tc>
          <w:tcPr>
            <w:tcW w:w="50" w:type="pct"/>
            <w:vAlign w:val="center"/>
            <w:hideMark/>
          </w:tcPr>
          <w:p w:rsidR="00000000" w:rsidRDefault="00BE60E9">
            <w:pPr>
              <w:jc w:val="both"/>
              <w:rPr>
                <w:rFonts w:eastAsia="Times New Roman"/>
              </w:rPr>
            </w:pPr>
          </w:p>
        </w:tc>
        <w:tc>
          <w:tcPr>
            <w:tcW w:w="249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8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3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3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3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18"/>
                <w:szCs w:val="18"/>
              </w:rPr>
              <w:t>Nine Months Ended June 30, 2022</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Postretirement Benefit Plans</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Derivative Instruments</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Foreign Currency</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Total</w:t>
            </w:r>
          </w:p>
        </w:tc>
      </w:tr>
      <w:tr w:rsidR="00000000">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xml:space="preserve">AOCI — </w:t>
            </w:r>
            <w:r>
              <w:rPr>
                <w:rFonts w:eastAsia="Times New Roman"/>
                <w:color w:val="000000"/>
                <w:sz w:val="20"/>
                <w:szCs w:val="20"/>
              </w:rPr>
              <w:t>September 30, 2021</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(90)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Other comprehensive income (loss) before reclassification adjustments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(191)</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(149)</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Amounts reclassified from AOCI</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xml:space="preserve">Other comprehensive income (loss) attributable to UGI </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(191)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(133)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AOCI — June 30, 2022</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(281)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(273)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trHeight w:val="280"/>
          <w:jc w:val="center"/>
        </w:trPr>
        <w:tc>
          <w:tcPr>
            <w:tcW w:w="0" w:type="auto"/>
            <w:gridSpan w:val="3"/>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18"/>
                <w:szCs w:val="18"/>
              </w:rPr>
              <w:t>Nine Months Ended June 30, 2021</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Postretirement Benefit Plans</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Derivative Instruments</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Foreign Currency</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Total</w:t>
            </w:r>
          </w:p>
        </w:tc>
      </w:tr>
      <w:tr w:rsidR="00000000">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AOCI — September 30, 2020</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(147)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Other comprehensive income before reclassification adjustments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Amounts reclassified from AOCI</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xml:space="preserve">Other comprehensive income attributable to UGI </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AOCI — June 30, 2021</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(105)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bl>
    <w:p w:rsidR="00000000" w:rsidRDefault="00BE60E9">
      <w:pPr>
        <w:jc w:val="both"/>
        <w:rPr>
          <w:rFonts w:eastAsia="Times New Roman"/>
        </w:rPr>
      </w:pPr>
    </w:p>
    <w:p w:rsidR="00000000" w:rsidRDefault="00BE60E9">
      <w:pPr>
        <w:jc w:val="both"/>
        <w:rPr>
          <w:rFonts w:eastAsia="Times New Roman"/>
        </w:rPr>
      </w:pPr>
      <w:r>
        <w:rPr>
          <w:rFonts w:eastAsia="Times New Roman"/>
          <w:b/>
          <w:bCs/>
          <w:color w:val="000000"/>
          <w:sz w:val="20"/>
          <w:szCs w:val="20"/>
          <w:u w:val="single"/>
        </w:rPr>
        <w:t>Note 14 — Segment Information</w:t>
      </w:r>
      <w:r>
        <w:rPr>
          <w:rFonts w:eastAsia="Times New Roman"/>
          <w:b/>
          <w:bCs/>
          <w:color w:val="000000"/>
          <w:sz w:val="20"/>
          <w:szCs w:val="20"/>
        </w:rPr>
        <w:t xml:space="preserve"> </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 xml:space="preserve">Our operations comprise four </w:t>
      </w:r>
      <w:r>
        <w:rPr>
          <w:rFonts w:eastAsia="Times New Roman"/>
          <w:color w:val="000000"/>
          <w:sz w:val="20"/>
          <w:szCs w:val="20"/>
        </w:rPr>
        <w:t>reportable segments generally based upon products or services sold, geographic location and regulatory environment: (1) AmeriGas Propane; (2) UGI International; (3) Midstream &amp; Marketing; and (4) Utilities.</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Corporate &amp; Other includes certain items that a</w:t>
      </w:r>
      <w:r>
        <w:rPr>
          <w:rFonts w:eastAsia="Times New Roman"/>
          <w:color w:val="000000"/>
          <w:sz w:val="20"/>
          <w:szCs w:val="20"/>
        </w:rPr>
        <w:t>re excluded from our CODM’s assessment of segment performance (see below for further details on these items). Corporate &amp; Other also includes the net expenses of UGI’s captive general liability insurance company, UGI’s corporate headquarters facility and U</w:t>
      </w:r>
      <w:r>
        <w:rPr>
          <w:rFonts w:eastAsia="Times New Roman"/>
          <w:color w:val="000000"/>
          <w:sz w:val="20"/>
          <w:szCs w:val="20"/>
        </w:rPr>
        <w:t xml:space="preserve">GI’s unallocated corporate and general expenses as well as interest expense on UGI debt that is not allocated. Corporate &amp; Other assets principally comprise cash and cash equivalents of UGI and </w:t>
      </w:r>
    </w:p>
    <w:p w:rsidR="00000000" w:rsidRDefault="00BE60E9">
      <w:pPr>
        <w:jc w:val="center"/>
        <w:divId w:val="2014139458"/>
        <w:rPr>
          <w:rFonts w:eastAsia="Times New Roman"/>
        </w:rPr>
      </w:pPr>
      <w:r>
        <w:rPr>
          <w:rFonts w:eastAsia="Times New Roman"/>
          <w:color w:val="000000"/>
          <w:sz w:val="20"/>
          <w:szCs w:val="20"/>
        </w:rPr>
        <w:t>30</w:t>
      </w:r>
    </w:p>
    <w:p w:rsidR="00000000" w:rsidRDefault="00BE60E9">
      <w:pPr>
        <w:rPr>
          <w:rFonts w:eastAsia="Times New Roman"/>
        </w:rPr>
      </w:pPr>
      <w:r>
        <w:rPr>
          <w:rFonts w:eastAsia="Times New Roman"/>
        </w:rPr>
        <w:pict>
          <v:rect id="_x0000_i1056" style="width:0;height:1.5pt" o:hralign="center" o:hrstd="t" o:hr="t" fillcolor="#a0a0a0" stroked="f"/>
        </w:pict>
      </w:r>
    </w:p>
    <w:p w:rsidR="00000000" w:rsidRDefault="00BE60E9">
      <w:pPr>
        <w:divId w:val="972834998"/>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300306381"/>
        <w:rPr>
          <w:rFonts w:eastAsia="Times New Roman"/>
        </w:rPr>
      </w:pPr>
      <w:r>
        <w:rPr>
          <w:rFonts w:eastAsia="Times New Roman"/>
          <w:b/>
          <w:bCs/>
          <w:color w:val="000000"/>
          <w:sz w:val="20"/>
          <w:szCs w:val="20"/>
        </w:rPr>
        <w:t>UGI CORPORATION AND SUBSIDIARIES</w:t>
      </w:r>
    </w:p>
    <w:p w:rsidR="00000000" w:rsidRDefault="00BE60E9">
      <w:pPr>
        <w:jc w:val="center"/>
        <w:divId w:val="404299495"/>
        <w:rPr>
          <w:rFonts w:eastAsia="Times New Roman"/>
        </w:rPr>
      </w:pPr>
      <w:r>
        <w:rPr>
          <w:rFonts w:eastAsia="Times New Roman"/>
          <w:b/>
          <w:bCs/>
          <w:color w:val="000000"/>
          <w:sz w:val="20"/>
          <w:szCs w:val="20"/>
          <w:u w:val="single"/>
        </w:rPr>
        <w:t>Notes to Condensed Consolidated Financial Statements</w:t>
      </w:r>
    </w:p>
    <w:p w:rsidR="00000000" w:rsidRDefault="00BE60E9">
      <w:pPr>
        <w:jc w:val="center"/>
        <w:divId w:val="300306381"/>
        <w:rPr>
          <w:rFonts w:eastAsia="Times New Roman"/>
        </w:rPr>
      </w:pPr>
      <w:r>
        <w:rPr>
          <w:rFonts w:eastAsia="Times New Roman"/>
          <w:color w:val="000000"/>
          <w:sz w:val="20"/>
          <w:szCs w:val="20"/>
        </w:rPr>
        <w:t>(unaudited)</w:t>
      </w:r>
    </w:p>
    <w:p w:rsidR="00000000" w:rsidRDefault="00BE60E9">
      <w:pPr>
        <w:jc w:val="center"/>
        <w:divId w:val="300306381"/>
        <w:rPr>
          <w:rFonts w:eastAsia="Times New Roman"/>
        </w:rPr>
      </w:pPr>
      <w:r>
        <w:rPr>
          <w:rFonts w:eastAsia="Times New Roman"/>
          <w:color w:val="000000"/>
          <w:sz w:val="20"/>
          <w:szCs w:val="20"/>
        </w:rPr>
        <w:t>(Currency in millions, except per share amount</w:t>
      </w:r>
      <w:r>
        <w:rPr>
          <w:rFonts w:eastAsia="Times New Roman"/>
          <w:color w:val="000000"/>
          <w:sz w:val="20"/>
          <w:szCs w:val="20"/>
        </w:rPr>
        <w:t>s and where indicated otherwise)</w:t>
      </w:r>
    </w:p>
    <w:p w:rsidR="00000000" w:rsidRDefault="00BE60E9">
      <w:pPr>
        <w:jc w:val="both"/>
        <w:rPr>
          <w:rFonts w:eastAsia="Times New Roman"/>
        </w:rPr>
      </w:pPr>
      <w:r>
        <w:rPr>
          <w:rFonts w:eastAsia="Times New Roman"/>
          <w:color w:val="000000"/>
          <w:sz w:val="20"/>
          <w:szCs w:val="20"/>
        </w:rPr>
        <w:t>its captive insurance company, and UGI corporate headquarters’ assets. The accounting policies of our reportable segments are the same as those described in Note 2, “Summary of Significant Accounting Policies,” in the Compa</w:t>
      </w:r>
      <w:r>
        <w:rPr>
          <w:rFonts w:eastAsia="Times New Roman"/>
          <w:color w:val="000000"/>
          <w:sz w:val="20"/>
          <w:szCs w:val="20"/>
        </w:rPr>
        <w:t xml:space="preserve">ny’s 2021 Annual Report. </w:t>
      </w:r>
    </w:p>
    <w:tbl>
      <w:tblPr>
        <w:tblW w:w="5000" w:type="pct"/>
        <w:tblCellMar>
          <w:top w:w="15" w:type="dxa"/>
          <w:left w:w="15" w:type="dxa"/>
          <w:bottom w:w="15" w:type="dxa"/>
          <w:right w:w="15" w:type="dxa"/>
        </w:tblCellMar>
        <w:tblLook w:val="04A0" w:firstRow="1" w:lastRow="0" w:firstColumn="1" w:lastColumn="0" w:noHBand="0" w:noVBand="1"/>
      </w:tblPr>
      <w:tblGrid>
        <w:gridCol w:w="39"/>
        <w:gridCol w:w="105"/>
        <w:gridCol w:w="1919"/>
        <w:gridCol w:w="38"/>
        <w:gridCol w:w="36"/>
        <w:gridCol w:w="36"/>
        <w:gridCol w:w="36"/>
        <w:gridCol w:w="100"/>
        <w:gridCol w:w="316"/>
        <w:gridCol w:w="84"/>
        <w:gridCol w:w="36"/>
        <w:gridCol w:w="24"/>
        <w:gridCol w:w="12"/>
        <w:gridCol w:w="36"/>
        <w:gridCol w:w="36"/>
        <w:gridCol w:w="60"/>
        <w:gridCol w:w="41"/>
        <w:gridCol w:w="103"/>
        <w:gridCol w:w="144"/>
        <w:gridCol w:w="144"/>
        <w:gridCol w:w="367"/>
        <w:gridCol w:w="36"/>
        <w:gridCol w:w="75"/>
        <w:gridCol w:w="98"/>
        <w:gridCol w:w="47"/>
        <w:gridCol w:w="36"/>
        <w:gridCol w:w="61"/>
        <w:gridCol w:w="40"/>
        <w:gridCol w:w="104"/>
        <w:gridCol w:w="144"/>
        <w:gridCol w:w="144"/>
        <w:gridCol w:w="144"/>
        <w:gridCol w:w="73"/>
        <w:gridCol w:w="36"/>
        <w:gridCol w:w="36"/>
        <w:gridCol w:w="36"/>
        <w:gridCol w:w="36"/>
        <w:gridCol w:w="101"/>
        <w:gridCol w:w="379"/>
        <w:gridCol w:w="144"/>
        <w:gridCol w:w="144"/>
        <w:gridCol w:w="88"/>
        <w:gridCol w:w="36"/>
        <w:gridCol w:w="36"/>
        <w:gridCol w:w="2"/>
        <w:gridCol w:w="34"/>
        <w:gridCol w:w="36"/>
        <w:gridCol w:w="74"/>
        <w:gridCol w:w="27"/>
        <w:gridCol w:w="117"/>
        <w:gridCol w:w="531"/>
        <w:gridCol w:w="36"/>
        <w:gridCol w:w="36"/>
        <w:gridCol w:w="21"/>
        <w:gridCol w:w="15"/>
        <w:gridCol w:w="36"/>
        <w:gridCol w:w="93"/>
        <w:gridCol w:w="8"/>
        <w:gridCol w:w="136"/>
        <w:gridCol w:w="144"/>
        <w:gridCol w:w="144"/>
        <w:gridCol w:w="59"/>
        <w:gridCol w:w="36"/>
        <w:gridCol w:w="36"/>
        <w:gridCol w:w="13"/>
        <w:gridCol w:w="23"/>
        <w:gridCol w:w="36"/>
        <w:gridCol w:w="101"/>
        <w:gridCol w:w="512"/>
        <w:gridCol w:w="144"/>
        <w:gridCol w:w="34"/>
        <w:gridCol w:w="36"/>
        <w:gridCol w:w="74"/>
        <w:gridCol w:w="144"/>
        <w:gridCol w:w="144"/>
        <w:gridCol w:w="144"/>
        <w:gridCol w:w="684"/>
        <w:gridCol w:w="144"/>
        <w:gridCol w:w="144"/>
        <w:gridCol w:w="144"/>
        <w:gridCol w:w="144"/>
        <w:gridCol w:w="144"/>
        <w:gridCol w:w="599"/>
        <w:gridCol w:w="144"/>
        <w:gridCol w:w="144"/>
        <w:gridCol w:w="144"/>
        <w:gridCol w:w="144"/>
        <w:gridCol w:w="144"/>
        <w:gridCol w:w="649"/>
        <w:gridCol w:w="144"/>
      </w:tblGrid>
      <w:tr w:rsidR="00000000">
        <w:trPr>
          <w:gridAfter w:val="18"/>
          <w:divId w:val="2028865237"/>
        </w:trPr>
        <w:tc>
          <w:tcPr>
            <w:tcW w:w="50" w:type="pct"/>
            <w:vAlign w:val="center"/>
            <w:hideMark/>
          </w:tcPr>
          <w:p w:rsidR="00000000" w:rsidRDefault="00BE60E9">
            <w:pPr>
              <w:jc w:val="both"/>
              <w:rPr>
                <w:rFonts w:eastAsia="Times New Roman"/>
              </w:rPr>
            </w:pPr>
          </w:p>
        </w:tc>
        <w:tc>
          <w:tcPr>
            <w:tcW w:w="1494" w:type="pct"/>
            <w:gridSpan w:val="2"/>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347" w:type="pct"/>
            <w:gridSpan w:val="2"/>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gridSpan w:val="2"/>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gridSpan w:val="2"/>
            <w:vAlign w:val="center"/>
            <w:hideMark/>
          </w:tcPr>
          <w:p w:rsidR="00000000" w:rsidRDefault="00BE60E9">
            <w:pPr>
              <w:spacing w:after="100"/>
              <w:rPr>
                <w:rFonts w:eastAsia="Times New Roman"/>
                <w:sz w:val="20"/>
                <w:szCs w:val="20"/>
              </w:rPr>
            </w:pPr>
          </w:p>
        </w:tc>
        <w:tc>
          <w:tcPr>
            <w:tcW w:w="420" w:type="pct"/>
            <w:gridSpan w:val="4"/>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98" w:type="pct"/>
            <w:gridSpan w:val="2"/>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gridSpan w:val="2"/>
            <w:vAlign w:val="center"/>
            <w:hideMark/>
          </w:tcPr>
          <w:p w:rsidR="00000000" w:rsidRDefault="00BE60E9">
            <w:pPr>
              <w:spacing w:after="100"/>
              <w:rPr>
                <w:rFonts w:eastAsia="Times New Roman"/>
                <w:sz w:val="20"/>
                <w:szCs w:val="20"/>
              </w:rPr>
            </w:pPr>
          </w:p>
        </w:tc>
        <w:tc>
          <w:tcPr>
            <w:tcW w:w="376" w:type="pct"/>
            <w:gridSpan w:val="5"/>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19"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05" w:type="pct"/>
            <w:gridSpan w:val="4"/>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19" w:type="pct"/>
            <w:gridSpan w:val="2"/>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gridSpan w:val="2"/>
            <w:vAlign w:val="center"/>
            <w:hideMark/>
          </w:tcPr>
          <w:p w:rsidR="00000000" w:rsidRDefault="00BE60E9">
            <w:pPr>
              <w:spacing w:after="100"/>
              <w:rPr>
                <w:rFonts w:eastAsia="Times New Roman"/>
                <w:sz w:val="20"/>
                <w:szCs w:val="20"/>
              </w:rPr>
            </w:pPr>
          </w:p>
        </w:tc>
        <w:tc>
          <w:tcPr>
            <w:tcW w:w="412" w:type="pct"/>
            <w:gridSpan w:val="2"/>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19" w:type="pct"/>
            <w:gridSpan w:val="2"/>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gridSpan w:val="2"/>
            <w:vAlign w:val="center"/>
            <w:hideMark/>
          </w:tcPr>
          <w:p w:rsidR="00000000" w:rsidRDefault="00BE60E9">
            <w:pPr>
              <w:spacing w:after="100"/>
              <w:rPr>
                <w:rFonts w:eastAsia="Times New Roman"/>
                <w:sz w:val="20"/>
                <w:szCs w:val="20"/>
              </w:rPr>
            </w:pPr>
          </w:p>
        </w:tc>
        <w:tc>
          <w:tcPr>
            <w:tcW w:w="361" w:type="pct"/>
            <w:gridSpan w:val="4"/>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gridSpan w:val="2"/>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391" w:type="pct"/>
            <w:gridSpan w:val="3"/>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rPr>
          <w:gridAfter w:val="18"/>
          <w:divId w:val="2028865237"/>
        </w:trPr>
        <w:tc>
          <w:tcPr>
            <w:tcW w:w="0" w:type="auto"/>
            <w:gridSpan w:val="4"/>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16"/>
                <w:szCs w:val="16"/>
              </w:rPr>
              <w:t>Three Months Ended June 30, 2022</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4"/>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Total</w:t>
            </w:r>
          </w:p>
        </w:tc>
        <w:tc>
          <w:tcPr>
            <w:tcW w:w="0" w:type="auto"/>
            <w:gridSpan w:val="4"/>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7"/>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Eliminations</w:t>
            </w:r>
          </w:p>
        </w:tc>
        <w:tc>
          <w:tcPr>
            <w:tcW w:w="0" w:type="auto"/>
            <w:gridSpan w:val="4"/>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8"/>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AmeriGas</w:t>
            </w:r>
            <w:r>
              <w:rPr>
                <w:rFonts w:eastAsia="Times New Roman"/>
                <w:color w:val="000000"/>
                <w:sz w:val="16"/>
                <w:szCs w:val="16"/>
              </w:rPr>
              <w:br/>
              <w:t>Propane</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UGI International</w:t>
            </w:r>
          </w:p>
        </w:tc>
        <w:tc>
          <w:tcPr>
            <w:tcW w:w="0" w:type="auto"/>
            <w:gridSpan w:val="4"/>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5"/>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Midstream &amp; Marketing</w:t>
            </w:r>
          </w:p>
        </w:tc>
        <w:tc>
          <w:tcPr>
            <w:tcW w:w="0" w:type="auto"/>
            <w:gridSpan w:val="4"/>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7"/>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Utilities</w:t>
            </w:r>
          </w:p>
        </w:tc>
        <w:tc>
          <w:tcPr>
            <w:tcW w:w="0" w:type="auto"/>
            <w:gridSpan w:val="4"/>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5"/>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Corporate</w:t>
            </w:r>
            <w:r>
              <w:rPr>
                <w:rFonts w:eastAsia="Times New Roman"/>
                <w:color w:val="000000"/>
                <w:sz w:val="16"/>
                <w:szCs w:val="16"/>
              </w:rPr>
              <w:br/>
              <w:t>&amp; Other (a)</w:t>
            </w:r>
          </w:p>
        </w:tc>
      </w:tr>
      <w:tr w:rsidR="00BE60E9">
        <w:trPr>
          <w:gridAfter w:val="18"/>
          <w:divId w:val="2028865237"/>
        </w:trPr>
        <w:tc>
          <w:tcPr>
            <w:tcW w:w="0" w:type="auto"/>
            <w:gridSpan w:val="4"/>
            <w:tcBorders>
              <w:top w:val="single" w:sz="8" w:space="0" w:color="000000"/>
            </w:tcBorders>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Revenues from external customers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2,033 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5"/>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738 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450 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3"/>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BE60E9">
        <w:trPr>
          <w:gridAfter w:val="18"/>
          <w:divId w:val="2028865237"/>
        </w:trPr>
        <w:tc>
          <w:tcPr>
            <w:tcW w:w="0" w:type="auto"/>
            <w:gridSpan w:val="4"/>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Intersegment revenues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4"/>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(99)</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(b)</w:t>
            </w: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5"/>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4"/>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75 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4"/>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3"/>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BE60E9">
        <w:trPr>
          <w:gridAfter w:val="18"/>
          <w:divId w:val="2028865237"/>
        </w:trPr>
        <w:tc>
          <w:tcPr>
            <w:tcW w:w="0" w:type="auto"/>
            <w:gridSpan w:val="4"/>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Cost of sales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1,361 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(99)</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(b)</w:t>
            </w: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5"/>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370 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544 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436 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121 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3"/>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(11)</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BE60E9">
        <w:trPr>
          <w:gridAfter w:val="18"/>
          <w:divId w:val="2028865237"/>
        </w:trPr>
        <w:tc>
          <w:tcPr>
            <w:tcW w:w="0" w:type="auto"/>
            <w:gridSpan w:val="4"/>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Operating income (loss)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99 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4"/>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5"/>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(10)</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4"/>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22 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38 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4"/>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38 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3"/>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gridAfter w:val="18"/>
          <w:divId w:val="2028865237"/>
        </w:trPr>
        <w:tc>
          <w:tcPr>
            <w:tcW w:w="0" w:type="auto"/>
            <w:gridSpan w:val="4"/>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(Loss) income from equity investees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(45)</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6 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(51)</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gridAfter w:val="18"/>
          <w:divId w:val="2028865237"/>
        </w:trPr>
        <w:tc>
          <w:tcPr>
            <w:tcW w:w="0" w:type="auto"/>
            <w:gridSpan w:val="4"/>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4"/>
            <w:vAlign w:val="center"/>
            <w:hideMark/>
          </w:tcPr>
          <w:p w:rsidR="00000000" w:rsidRDefault="00BE60E9">
            <w:pPr>
              <w:spacing w:after="100"/>
              <w:rPr>
                <w:rFonts w:eastAsia="Times New Roman"/>
                <w:sz w:val="20"/>
                <w:szCs w:val="20"/>
              </w:rPr>
            </w:pPr>
          </w:p>
        </w:tc>
        <w:tc>
          <w:tcPr>
            <w:tcW w:w="0" w:type="auto"/>
            <w:gridSpan w:val="4"/>
            <w:vAlign w:val="center"/>
            <w:hideMark/>
          </w:tcPr>
          <w:p w:rsidR="00000000" w:rsidRDefault="00BE60E9">
            <w:pPr>
              <w:spacing w:after="100"/>
              <w:rPr>
                <w:rFonts w:eastAsia="Times New Roman"/>
                <w:sz w:val="20"/>
                <w:szCs w:val="20"/>
              </w:rPr>
            </w:pPr>
          </w:p>
        </w:tc>
        <w:tc>
          <w:tcPr>
            <w:tcW w:w="0" w:type="auto"/>
            <w:gridSpan w:val="7"/>
            <w:vAlign w:val="center"/>
            <w:hideMark/>
          </w:tcPr>
          <w:p w:rsidR="00000000" w:rsidRDefault="00BE60E9">
            <w:pPr>
              <w:spacing w:after="100"/>
              <w:rPr>
                <w:rFonts w:eastAsia="Times New Roman"/>
                <w:sz w:val="20"/>
                <w:szCs w:val="20"/>
              </w:rPr>
            </w:pPr>
          </w:p>
        </w:tc>
        <w:tc>
          <w:tcPr>
            <w:tcW w:w="0" w:type="auto"/>
            <w:gridSpan w:val="4"/>
            <w:vAlign w:val="center"/>
            <w:hideMark/>
          </w:tcPr>
          <w:p w:rsidR="00000000" w:rsidRDefault="00BE60E9">
            <w:pPr>
              <w:spacing w:after="100"/>
              <w:rPr>
                <w:rFonts w:eastAsia="Times New Roman"/>
                <w:sz w:val="20"/>
                <w:szCs w:val="20"/>
              </w:rPr>
            </w:pPr>
          </w:p>
        </w:tc>
        <w:tc>
          <w:tcPr>
            <w:tcW w:w="0" w:type="auto"/>
            <w:gridSpan w:val="8"/>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6"/>
            <w:vAlign w:val="center"/>
            <w:hideMark/>
          </w:tcPr>
          <w:p w:rsidR="00000000" w:rsidRDefault="00BE60E9">
            <w:pPr>
              <w:spacing w:after="100"/>
              <w:rPr>
                <w:rFonts w:eastAsia="Times New Roman"/>
                <w:sz w:val="20"/>
                <w:szCs w:val="20"/>
              </w:rPr>
            </w:pPr>
          </w:p>
        </w:tc>
        <w:tc>
          <w:tcPr>
            <w:tcW w:w="0" w:type="auto"/>
            <w:gridSpan w:val="4"/>
            <w:vAlign w:val="center"/>
            <w:hideMark/>
          </w:tcPr>
          <w:p w:rsidR="00000000" w:rsidRDefault="00BE60E9">
            <w:pPr>
              <w:spacing w:after="100"/>
              <w:rPr>
                <w:rFonts w:eastAsia="Times New Roman"/>
                <w:sz w:val="20"/>
                <w:szCs w:val="20"/>
              </w:rPr>
            </w:pPr>
          </w:p>
        </w:tc>
        <w:tc>
          <w:tcPr>
            <w:tcW w:w="0" w:type="auto"/>
            <w:gridSpan w:val="5"/>
            <w:vAlign w:val="center"/>
            <w:hideMark/>
          </w:tcPr>
          <w:p w:rsidR="00000000" w:rsidRDefault="00BE60E9">
            <w:pPr>
              <w:spacing w:after="100"/>
              <w:rPr>
                <w:rFonts w:eastAsia="Times New Roman"/>
                <w:sz w:val="20"/>
                <w:szCs w:val="20"/>
              </w:rPr>
            </w:pPr>
          </w:p>
        </w:tc>
        <w:tc>
          <w:tcPr>
            <w:tcW w:w="0" w:type="auto"/>
            <w:gridSpan w:val="4"/>
            <w:vAlign w:val="center"/>
            <w:hideMark/>
          </w:tcPr>
          <w:p w:rsidR="00000000" w:rsidRDefault="00BE60E9">
            <w:pPr>
              <w:spacing w:after="100"/>
              <w:rPr>
                <w:rFonts w:eastAsia="Times New Roman"/>
                <w:sz w:val="20"/>
                <w:szCs w:val="20"/>
              </w:rPr>
            </w:pPr>
          </w:p>
        </w:tc>
        <w:tc>
          <w:tcPr>
            <w:tcW w:w="0" w:type="auto"/>
            <w:gridSpan w:val="7"/>
            <w:vAlign w:val="center"/>
            <w:hideMark/>
          </w:tcPr>
          <w:p w:rsidR="00000000" w:rsidRDefault="00BE60E9">
            <w:pPr>
              <w:spacing w:after="100"/>
              <w:rPr>
                <w:rFonts w:eastAsia="Times New Roman"/>
                <w:sz w:val="20"/>
                <w:szCs w:val="20"/>
              </w:rPr>
            </w:pPr>
          </w:p>
        </w:tc>
        <w:tc>
          <w:tcPr>
            <w:tcW w:w="0" w:type="auto"/>
            <w:gridSpan w:val="4"/>
            <w:vAlign w:val="center"/>
            <w:hideMark/>
          </w:tcPr>
          <w:p w:rsidR="00000000" w:rsidRDefault="00BE60E9">
            <w:pPr>
              <w:spacing w:after="100"/>
              <w:rPr>
                <w:rFonts w:eastAsia="Times New Roman"/>
                <w:sz w:val="20"/>
                <w:szCs w:val="20"/>
              </w:rPr>
            </w:pPr>
          </w:p>
        </w:tc>
        <w:tc>
          <w:tcPr>
            <w:tcW w:w="0" w:type="auto"/>
            <w:gridSpan w:val="5"/>
            <w:vAlign w:val="center"/>
            <w:hideMark/>
          </w:tcPr>
          <w:p w:rsidR="00000000" w:rsidRDefault="00BE60E9">
            <w:pPr>
              <w:spacing w:after="100"/>
              <w:rPr>
                <w:rFonts w:eastAsia="Times New Roman"/>
                <w:sz w:val="20"/>
                <w:szCs w:val="20"/>
              </w:rPr>
            </w:pPr>
          </w:p>
        </w:tc>
      </w:tr>
      <w:tr w:rsidR="00000000">
        <w:trPr>
          <w:gridAfter w:val="18"/>
          <w:divId w:val="2028865237"/>
        </w:trPr>
        <w:tc>
          <w:tcPr>
            <w:tcW w:w="0" w:type="auto"/>
            <w:gridSpan w:val="4"/>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Other non-operating income, net</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gridAfter w:val="18"/>
          <w:divId w:val="2028865237"/>
        </w:trPr>
        <w:tc>
          <w:tcPr>
            <w:tcW w:w="0" w:type="auto"/>
            <w:gridSpan w:val="4"/>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Earnings (loss) before interest expense and income taxes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6"/>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7"/>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6"/>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gridAfter w:val="18"/>
          <w:divId w:val="2028865237"/>
        </w:trPr>
        <w:tc>
          <w:tcPr>
            <w:tcW w:w="0" w:type="auto"/>
            <w:gridSpan w:val="4"/>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Interest expense</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(82)</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(41)</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(7)</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(11)</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(15)</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(8)</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BE60E9">
        <w:trPr>
          <w:gridAfter w:val="18"/>
          <w:divId w:val="2028865237"/>
        </w:trPr>
        <w:tc>
          <w:tcPr>
            <w:tcW w:w="0" w:type="auto"/>
            <w:gridSpan w:val="4"/>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(Loss) income before income taxes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5"/>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3"/>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gridAfter w:val="18"/>
          <w:divId w:val="2028865237"/>
        </w:trPr>
        <w:tc>
          <w:tcPr>
            <w:tcW w:w="0" w:type="auto"/>
            <w:gridSpan w:val="4"/>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4"/>
            <w:vAlign w:val="center"/>
            <w:hideMark/>
          </w:tcPr>
          <w:p w:rsidR="00000000" w:rsidRDefault="00BE60E9">
            <w:pPr>
              <w:spacing w:after="100"/>
              <w:rPr>
                <w:rFonts w:eastAsia="Times New Roman"/>
                <w:sz w:val="20"/>
                <w:szCs w:val="20"/>
              </w:rPr>
            </w:pPr>
          </w:p>
        </w:tc>
        <w:tc>
          <w:tcPr>
            <w:tcW w:w="0" w:type="auto"/>
            <w:gridSpan w:val="4"/>
            <w:vAlign w:val="center"/>
            <w:hideMark/>
          </w:tcPr>
          <w:p w:rsidR="00000000" w:rsidRDefault="00BE60E9">
            <w:pPr>
              <w:spacing w:after="100"/>
              <w:rPr>
                <w:rFonts w:eastAsia="Times New Roman"/>
                <w:sz w:val="20"/>
                <w:szCs w:val="20"/>
              </w:rPr>
            </w:pPr>
          </w:p>
        </w:tc>
        <w:tc>
          <w:tcPr>
            <w:tcW w:w="0" w:type="auto"/>
            <w:gridSpan w:val="7"/>
            <w:vAlign w:val="center"/>
            <w:hideMark/>
          </w:tcPr>
          <w:p w:rsidR="00000000" w:rsidRDefault="00BE60E9">
            <w:pPr>
              <w:spacing w:after="100"/>
              <w:rPr>
                <w:rFonts w:eastAsia="Times New Roman"/>
                <w:sz w:val="20"/>
                <w:szCs w:val="20"/>
              </w:rPr>
            </w:pPr>
          </w:p>
        </w:tc>
        <w:tc>
          <w:tcPr>
            <w:tcW w:w="0" w:type="auto"/>
            <w:gridSpan w:val="4"/>
            <w:vAlign w:val="center"/>
            <w:hideMark/>
          </w:tcPr>
          <w:p w:rsidR="00000000" w:rsidRDefault="00BE60E9">
            <w:pPr>
              <w:spacing w:after="100"/>
              <w:rPr>
                <w:rFonts w:eastAsia="Times New Roman"/>
                <w:sz w:val="20"/>
                <w:szCs w:val="20"/>
              </w:rPr>
            </w:pPr>
          </w:p>
        </w:tc>
        <w:tc>
          <w:tcPr>
            <w:tcW w:w="0" w:type="auto"/>
            <w:gridSpan w:val="8"/>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6"/>
            <w:vAlign w:val="center"/>
            <w:hideMark/>
          </w:tcPr>
          <w:p w:rsidR="00000000" w:rsidRDefault="00BE60E9">
            <w:pPr>
              <w:spacing w:after="100"/>
              <w:rPr>
                <w:rFonts w:eastAsia="Times New Roman"/>
                <w:sz w:val="20"/>
                <w:szCs w:val="20"/>
              </w:rPr>
            </w:pPr>
          </w:p>
        </w:tc>
        <w:tc>
          <w:tcPr>
            <w:tcW w:w="0" w:type="auto"/>
            <w:gridSpan w:val="4"/>
            <w:vAlign w:val="center"/>
            <w:hideMark/>
          </w:tcPr>
          <w:p w:rsidR="00000000" w:rsidRDefault="00BE60E9">
            <w:pPr>
              <w:spacing w:after="100"/>
              <w:rPr>
                <w:rFonts w:eastAsia="Times New Roman"/>
                <w:sz w:val="20"/>
                <w:szCs w:val="20"/>
              </w:rPr>
            </w:pPr>
          </w:p>
        </w:tc>
        <w:tc>
          <w:tcPr>
            <w:tcW w:w="0" w:type="auto"/>
            <w:gridSpan w:val="5"/>
            <w:vAlign w:val="center"/>
            <w:hideMark/>
          </w:tcPr>
          <w:p w:rsidR="00000000" w:rsidRDefault="00BE60E9">
            <w:pPr>
              <w:spacing w:after="100"/>
              <w:rPr>
                <w:rFonts w:eastAsia="Times New Roman"/>
                <w:sz w:val="20"/>
                <w:szCs w:val="20"/>
              </w:rPr>
            </w:pPr>
          </w:p>
        </w:tc>
        <w:tc>
          <w:tcPr>
            <w:tcW w:w="0" w:type="auto"/>
            <w:gridSpan w:val="4"/>
            <w:vAlign w:val="center"/>
            <w:hideMark/>
          </w:tcPr>
          <w:p w:rsidR="00000000" w:rsidRDefault="00BE60E9">
            <w:pPr>
              <w:spacing w:after="100"/>
              <w:rPr>
                <w:rFonts w:eastAsia="Times New Roman"/>
                <w:sz w:val="20"/>
                <w:szCs w:val="20"/>
              </w:rPr>
            </w:pPr>
          </w:p>
        </w:tc>
        <w:tc>
          <w:tcPr>
            <w:tcW w:w="0" w:type="auto"/>
            <w:gridSpan w:val="7"/>
            <w:vAlign w:val="center"/>
            <w:hideMark/>
          </w:tcPr>
          <w:p w:rsidR="00000000" w:rsidRDefault="00BE60E9">
            <w:pPr>
              <w:spacing w:after="100"/>
              <w:rPr>
                <w:rFonts w:eastAsia="Times New Roman"/>
                <w:sz w:val="20"/>
                <w:szCs w:val="20"/>
              </w:rPr>
            </w:pPr>
          </w:p>
        </w:tc>
        <w:tc>
          <w:tcPr>
            <w:tcW w:w="0" w:type="auto"/>
            <w:gridSpan w:val="4"/>
            <w:vAlign w:val="center"/>
            <w:hideMark/>
          </w:tcPr>
          <w:p w:rsidR="00000000" w:rsidRDefault="00BE60E9">
            <w:pPr>
              <w:spacing w:after="100"/>
              <w:rPr>
                <w:rFonts w:eastAsia="Times New Roman"/>
                <w:sz w:val="20"/>
                <w:szCs w:val="20"/>
              </w:rPr>
            </w:pPr>
          </w:p>
        </w:tc>
        <w:tc>
          <w:tcPr>
            <w:tcW w:w="0" w:type="auto"/>
            <w:gridSpan w:val="5"/>
            <w:vAlign w:val="center"/>
            <w:hideMark/>
          </w:tcPr>
          <w:p w:rsidR="00000000" w:rsidRDefault="00BE60E9">
            <w:pPr>
              <w:spacing w:after="100"/>
              <w:rPr>
                <w:rFonts w:eastAsia="Times New Roman"/>
                <w:sz w:val="20"/>
                <w:szCs w:val="20"/>
              </w:rPr>
            </w:pPr>
          </w:p>
        </w:tc>
      </w:tr>
      <w:tr w:rsidR="00BE60E9">
        <w:trPr>
          <w:gridAfter w:val="18"/>
          <w:divId w:val="2028865237"/>
        </w:trPr>
        <w:tc>
          <w:tcPr>
            <w:tcW w:w="0" w:type="auto"/>
            <w:gridSpan w:val="4"/>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2"/>
            <w:tcBorders>
              <w:top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130 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4"/>
            <w:tcBorders>
              <w:top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5"/>
            <w:tcBorders>
              <w:top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44 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4"/>
            <w:tcBorders>
              <w:top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2"/>
            <w:tcBorders>
              <w:top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4"/>
            <w:tcBorders>
              <w:top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3"/>
            <w:tcBorders>
              <w:top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BE60E9">
        <w:trPr>
          <w:gridAfter w:val="18"/>
          <w:divId w:val="2028865237"/>
        </w:trPr>
        <w:tc>
          <w:tcPr>
            <w:tcW w:w="0" w:type="auto"/>
            <w:gridSpan w:val="4"/>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Capital expenditures (including the effects of accruals)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201 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5"/>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28 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25 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9 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139 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3"/>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c>
          <w:tcPr>
            <w:tcW w:w="50" w:type="pct"/>
            <w:gridSpan w:val="2"/>
            <w:vAlign w:val="center"/>
            <w:hideMark/>
          </w:tcPr>
          <w:p w:rsidR="00000000" w:rsidRDefault="00BE60E9">
            <w:pPr>
              <w:jc w:val="both"/>
              <w:rPr>
                <w:rFonts w:eastAsia="Times New Roman"/>
              </w:rPr>
            </w:pPr>
          </w:p>
        </w:tc>
        <w:tc>
          <w:tcPr>
            <w:tcW w:w="1494" w:type="pct"/>
            <w:gridSpan w:val="7"/>
            <w:vAlign w:val="center"/>
            <w:hideMark/>
          </w:tcPr>
          <w:p w:rsidR="00000000" w:rsidRDefault="00BE60E9">
            <w:pPr>
              <w:spacing w:after="100"/>
              <w:rPr>
                <w:rFonts w:eastAsia="Times New Roman"/>
                <w:sz w:val="20"/>
                <w:szCs w:val="20"/>
              </w:rPr>
            </w:pPr>
          </w:p>
        </w:tc>
        <w:tc>
          <w:tcPr>
            <w:tcW w:w="5" w:type="pct"/>
            <w:gridSpan w:val="3"/>
            <w:vAlign w:val="center"/>
            <w:hideMark/>
          </w:tcPr>
          <w:p w:rsidR="00000000" w:rsidRDefault="00BE60E9">
            <w:pPr>
              <w:spacing w:after="100"/>
              <w:rPr>
                <w:rFonts w:eastAsia="Times New Roman"/>
                <w:sz w:val="20"/>
                <w:szCs w:val="20"/>
              </w:rPr>
            </w:pPr>
          </w:p>
        </w:tc>
        <w:tc>
          <w:tcPr>
            <w:tcW w:w="5" w:type="pct"/>
            <w:gridSpan w:val="4"/>
            <w:vAlign w:val="center"/>
            <w:hideMark/>
          </w:tcPr>
          <w:p w:rsidR="00000000" w:rsidRDefault="00BE60E9">
            <w:pPr>
              <w:spacing w:after="100"/>
              <w:rPr>
                <w:rFonts w:eastAsia="Times New Roman"/>
                <w:sz w:val="20"/>
                <w:szCs w:val="20"/>
              </w:rPr>
            </w:pPr>
          </w:p>
        </w:tc>
        <w:tc>
          <w:tcPr>
            <w:tcW w:w="26" w:type="pct"/>
            <w:gridSpan w:val="2"/>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347" w:type="pct"/>
            <w:gridSpan w:val="4"/>
            <w:vAlign w:val="center"/>
            <w:hideMark/>
          </w:tcPr>
          <w:p w:rsidR="00000000" w:rsidRDefault="00BE60E9">
            <w:pPr>
              <w:spacing w:after="100"/>
              <w:rPr>
                <w:rFonts w:eastAsia="Times New Roman"/>
                <w:sz w:val="20"/>
                <w:szCs w:val="20"/>
              </w:rPr>
            </w:pPr>
          </w:p>
        </w:tc>
        <w:tc>
          <w:tcPr>
            <w:tcW w:w="5" w:type="pct"/>
            <w:gridSpan w:val="3"/>
            <w:vAlign w:val="center"/>
            <w:hideMark/>
          </w:tcPr>
          <w:p w:rsidR="00000000" w:rsidRDefault="00BE60E9">
            <w:pPr>
              <w:spacing w:after="100"/>
              <w:rPr>
                <w:rFonts w:eastAsia="Times New Roman"/>
                <w:sz w:val="20"/>
                <w:szCs w:val="20"/>
              </w:rPr>
            </w:pPr>
          </w:p>
        </w:tc>
        <w:tc>
          <w:tcPr>
            <w:tcW w:w="5" w:type="pct"/>
            <w:gridSpan w:val="2"/>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20" w:type="pct"/>
            <w:gridSpan w:val="7"/>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98" w:type="pct"/>
            <w:gridSpan w:val="4"/>
            <w:vAlign w:val="center"/>
            <w:hideMark/>
          </w:tcPr>
          <w:p w:rsidR="00000000" w:rsidRDefault="00BE60E9">
            <w:pPr>
              <w:spacing w:after="100"/>
              <w:rPr>
                <w:rFonts w:eastAsia="Times New Roman"/>
                <w:sz w:val="20"/>
                <w:szCs w:val="20"/>
              </w:rPr>
            </w:pPr>
          </w:p>
        </w:tc>
        <w:tc>
          <w:tcPr>
            <w:tcW w:w="5" w:type="pct"/>
            <w:gridSpan w:val="3"/>
            <w:vAlign w:val="center"/>
            <w:hideMark/>
          </w:tcPr>
          <w:p w:rsidR="00000000" w:rsidRDefault="00BE60E9">
            <w:pPr>
              <w:spacing w:after="100"/>
              <w:rPr>
                <w:rFonts w:eastAsia="Times New Roman"/>
                <w:sz w:val="20"/>
                <w:szCs w:val="20"/>
              </w:rPr>
            </w:pPr>
          </w:p>
        </w:tc>
        <w:tc>
          <w:tcPr>
            <w:tcW w:w="50" w:type="pct"/>
            <w:gridSpan w:val="2"/>
            <w:vAlign w:val="center"/>
            <w:hideMark/>
          </w:tcPr>
          <w:p w:rsidR="00000000" w:rsidRDefault="00BE60E9">
            <w:pPr>
              <w:spacing w:after="100"/>
              <w:rPr>
                <w:rFonts w:eastAsia="Times New Roman"/>
                <w:sz w:val="20"/>
                <w:szCs w:val="20"/>
              </w:rPr>
            </w:pPr>
          </w:p>
        </w:tc>
        <w:tc>
          <w:tcPr>
            <w:tcW w:w="376" w:type="pct"/>
            <w:gridSpan w:val="4"/>
            <w:vAlign w:val="center"/>
            <w:hideMark/>
          </w:tcPr>
          <w:p w:rsidR="00000000" w:rsidRDefault="00BE60E9">
            <w:pPr>
              <w:spacing w:after="100"/>
              <w:rPr>
                <w:rFonts w:eastAsia="Times New Roman"/>
                <w:sz w:val="20"/>
                <w:szCs w:val="20"/>
              </w:rPr>
            </w:pPr>
          </w:p>
        </w:tc>
        <w:tc>
          <w:tcPr>
            <w:tcW w:w="5" w:type="pct"/>
            <w:gridSpan w:val="3"/>
            <w:vAlign w:val="center"/>
            <w:hideMark/>
          </w:tcPr>
          <w:p w:rsidR="00000000" w:rsidRDefault="00BE60E9">
            <w:pPr>
              <w:spacing w:after="100"/>
              <w:rPr>
                <w:rFonts w:eastAsia="Times New Roman"/>
                <w:sz w:val="20"/>
                <w:szCs w:val="20"/>
              </w:rPr>
            </w:pPr>
          </w:p>
        </w:tc>
        <w:tc>
          <w:tcPr>
            <w:tcW w:w="5" w:type="pct"/>
            <w:gridSpan w:val="2"/>
            <w:vAlign w:val="center"/>
            <w:hideMark/>
          </w:tcPr>
          <w:p w:rsidR="00000000" w:rsidRDefault="00BE60E9">
            <w:pPr>
              <w:spacing w:after="100"/>
              <w:rPr>
                <w:rFonts w:eastAsia="Times New Roman"/>
                <w:sz w:val="20"/>
                <w:szCs w:val="20"/>
              </w:rPr>
            </w:pPr>
          </w:p>
        </w:tc>
        <w:tc>
          <w:tcPr>
            <w:tcW w:w="19"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gridSpan w:val="4"/>
            <w:vAlign w:val="center"/>
            <w:hideMark/>
          </w:tcPr>
          <w:p w:rsidR="00000000" w:rsidRDefault="00BE60E9">
            <w:pPr>
              <w:spacing w:after="100"/>
              <w:rPr>
                <w:rFonts w:eastAsia="Times New Roman"/>
                <w:sz w:val="20"/>
                <w:szCs w:val="20"/>
              </w:rPr>
            </w:pPr>
          </w:p>
        </w:tc>
        <w:tc>
          <w:tcPr>
            <w:tcW w:w="405" w:type="pct"/>
            <w:gridSpan w:val="4"/>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gridSpan w:val="3"/>
            <w:vAlign w:val="center"/>
            <w:hideMark/>
          </w:tcPr>
          <w:p w:rsidR="00000000" w:rsidRDefault="00BE60E9">
            <w:pPr>
              <w:spacing w:after="100"/>
              <w:rPr>
                <w:rFonts w:eastAsia="Times New Roman"/>
                <w:sz w:val="20"/>
                <w:szCs w:val="20"/>
              </w:rPr>
            </w:pPr>
          </w:p>
        </w:tc>
        <w:tc>
          <w:tcPr>
            <w:tcW w:w="19"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1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19"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36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39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c>
          <w:tcPr>
            <w:tcW w:w="0" w:type="auto"/>
            <w:gridSpan w:val="12"/>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16"/>
                <w:szCs w:val="16"/>
              </w:rPr>
              <w:t>Three Months Ended June 30, 2021</w:t>
            </w:r>
          </w:p>
        </w:tc>
        <w:tc>
          <w:tcPr>
            <w:tcW w:w="0" w:type="auto"/>
            <w:gridSpan w:val="7"/>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8"/>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Total</w:t>
            </w:r>
          </w:p>
        </w:tc>
        <w:tc>
          <w:tcPr>
            <w:tcW w:w="0" w:type="auto"/>
            <w:gridSpan w:val="4"/>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Eliminations</w:t>
            </w:r>
          </w:p>
        </w:tc>
        <w:tc>
          <w:tcPr>
            <w:tcW w:w="0" w:type="auto"/>
            <w:gridSpan w:val="8"/>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AmeriGas</w:t>
            </w:r>
            <w:r>
              <w:rPr>
                <w:rFonts w:eastAsia="Times New Roman"/>
                <w:color w:val="000000"/>
                <w:sz w:val="16"/>
                <w:szCs w:val="16"/>
              </w:rPr>
              <w:br/>
              <w:t>Propane</w:t>
            </w:r>
          </w:p>
        </w:tc>
        <w:tc>
          <w:tcPr>
            <w:tcW w:w="0" w:type="auto"/>
            <w:gridSpan w:val="4"/>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UGI International</w:t>
            </w:r>
          </w:p>
        </w:tc>
        <w:tc>
          <w:tcPr>
            <w:tcW w:w="0" w:type="auto"/>
            <w:gridSpan w:val="5"/>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Midstream &amp; Marketing</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Utilities</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Corporate</w:t>
            </w:r>
            <w:r>
              <w:rPr>
                <w:rFonts w:eastAsia="Times New Roman"/>
                <w:color w:val="000000"/>
                <w:sz w:val="16"/>
                <w:szCs w:val="16"/>
              </w:rPr>
              <w:br/>
              <w:t>&amp; Other (a)</w:t>
            </w:r>
          </w:p>
        </w:tc>
      </w:tr>
      <w:tr w:rsidR="00000000">
        <w:tc>
          <w:tcPr>
            <w:tcW w:w="0" w:type="auto"/>
            <w:gridSpan w:val="12"/>
            <w:tcBorders>
              <w:top w:val="single" w:sz="8" w:space="0" w:color="000000"/>
            </w:tcBorders>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Revenues from external customers</w:t>
            </w:r>
          </w:p>
        </w:tc>
        <w:tc>
          <w:tcPr>
            <w:tcW w:w="0" w:type="auto"/>
            <w:gridSpan w:val="7"/>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1,496 </w:t>
            </w:r>
          </w:p>
        </w:tc>
        <w:tc>
          <w:tcPr>
            <w:tcW w:w="0" w:type="auto"/>
            <w:gridSpan w:val="3"/>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526 </w:t>
            </w:r>
          </w:p>
        </w:tc>
        <w:tc>
          <w:tcPr>
            <w:tcW w:w="0" w:type="auto"/>
            <w:gridSpan w:val="3"/>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c>
          <w:tcPr>
            <w:tcW w:w="0" w:type="auto"/>
            <w:gridSpan w:val="12"/>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Intersegment revenues</w:t>
            </w:r>
          </w:p>
        </w:tc>
        <w:tc>
          <w:tcPr>
            <w:tcW w:w="0" w:type="auto"/>
            <w:gridSpan w:val="7"/>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4"/>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7"/>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(40)</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8"/>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(b)</w:t>
            </w: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4"/>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4"/>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29 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c>
          <w:tcPr>
            <w:tcW w:w="0" w:type="auto"/>
            <w:gridSpan w:val="12"/>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Cost of sales</w:t>
            </w:r>
          </w:p>
        </w:tc>
        <w:tc>
          <w:tcPr>
            <w:tcW w:w="0" w:type="auto"/>
            <w:gridSpan w:val="7"/>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516 </w:t>
            </w:r>
          </w:p>
        </w:tc>
        <w:tc>
          <w:tcPr>
            <w:tcW w:w="0" w:type="auto"/>
            <w:gridSpan w:val="3"/>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7"/>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(39)</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8"/>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(b)</w:t>
            </w: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267 </w:t>
            </w:r>
          </w:p>
        </w:tc>
        <w:tc>
          <w:tcPr>
            <w:tcW w:w="0" w:type="auto"/>
            <w:gridSpan w:val="3"/>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355 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196 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67 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(330)</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c>
          <w:tcPr>
            <w:tcW w:w="0" w:type="auto"/>
            <w:gridSpan w:val="12"/>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 xml:space="preserve">Operating income </w:t>
            </w:r>
          </w:p>
        </w:tc>
        <w:tc>
          <w:tcPr>
            <w:tcW w:w="0" w:type="auto"/>
            <w:gridSpan w:val="7"/>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4"/>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391 </w:t>
            </w:r>
          </w:p>
        </w:tc>
        <w:tc>
          <w:tcPr>
            <w:tcW w:w="0" w:type="auto"/>
            <w:gridSpan w:val="3"/>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7"/>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4"/>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11 </w:t>
            </w:r>
          </w:p>
        </w:tc>
        <w:tc>
          <w:tcPr>
            <w:tcW w:w="0" w:type="auto"/>
            <w:gridSpan w:val="3"/>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4"/>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40 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302 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c>
          <w:tcPr>
            <w:tcW w:w="0" w:type="auto"/>
            <w:gridSpan w:val="12"/>
            <w:vAlign w:val="center"/>
            <w:hideMark/>
          </w:tcPr>
          <w:p w:rsidR="00000000" w:rsidRDefault="00BE60E9">
            <w:pPr>
              <w:spacing w:after="100"/>
              <w:jc w:val="right"/>
              <w:rPr>
                <w:rFonts w:eastAsia="Times New Roman"/>
                <w:sz w:val="20"/>
                <w:szCs w:val="20"/>
              </w:rPr>
            </w:pPr>
          </w:p>
        </w:tc>
        <w:tc>
          <w:tcPr>
            <w:tcW w:w="0" w:type="auto"/>
            <w:gridSpan w:val="7"/>
            <w:vAlign w:val="center"/>
            <w:hideMark/>
          </w:tcPr>
          <w:p w:rsidR="00000000" w:rsidRDefault="00BE60E9">
            <w:pPr>
              <w:spacing w:after="100"/>
              <w:rPr>
                <w:rFonts w:eastAsia="Times New Roman"/>
                <w:sz w:val="20"/>
                <w:szCs w:val="20"/>
              </w:rPr>
            </w:pPr>
          </w:p>
        </w:tc>
        <w:tc>
          <w:tcPr>
            <w:tcW w:w="0" w:type="auto"/>
            <w:gridSpan w:val="8"/>
            <w:vAlign w:val="center"/>
            <w:hideMark/>
          </w:tcPr>
          <w:p w:rsidR="00000000" w:rsidRDefault="00BE60E9">
            <w:pPr>
              <w:spacing w:after="100"/>
              <w:rPr>
                <w:rFonts w:eastAsia="Times New Roman"/>
                <w:sz w:val="20"/>
                <w:szCs w:val="20"/>
              </w:rPr>
            </w:pPr>
          </w:p>
        </w:tc>
        <w:tc>
          <w:tcPr>
            <w:tcW w:w="0" w:type="auto"/>
            <w:gridSpan w:val="4"/>
            <w:vAlign w:val="center"/>
            <w:hideMark/>
          </w:tcPr>
          <w:p w:rsidR="00000000" w:rsidRDefault="00BE60E9">
            <w:pPr>
              <w:spacing w:after="100"/>
              <w:rPr>
                <w:rFonts w:eastAsia="Times New Roman"/>
                <w:sz w:val="20"/>
                <w:szCs w:val="20"/>
              </w:rPr>
            </w:pPr>
          </w:p>
        </w:tc>
        <w:tc>
          <w:tcPr>
            <w:tcW w:w="0" w:type="auto"/>
            <w:gridSpan w:val="9"/>
            <w:vAlign w:val="center"/>
            <w:hideMark/>
          </w:tcPr>
          <w:p w:rsidR="00000000" w:rsidRDefault="00BE60E9">
            <w:pPr>
              <w:spacing w:after="100"/>
              <w:rPr>
                <w:rFonts w:eastAsia="Times New Roman"/>
                <w:sz w:val="20"/>
                <w:szCs w:val="20"/>
              </w:rPr>
            </w:pPr>
          </w:p>
        </w:tc>
        <w:tc>
          <w:tcPr>
            <w:tcW w:w="0" w:type="auto"/>
            <w:gridSpan w:val="8"/>
            <w:vAlign w:val="center"/>
            <w:hideMark/>
          </w:tcPr>
          <w:p w:rsidR="00000000" w:rsidRDefault="00BE60E9">
            <w:pPr>
              <w:spacing w:after="100"/>
              <w:rPr>
                <w:rFonts w:eastAsia="Times New Roman"/>
                <w:sz w:val="20"/>
                <w:szCs w:val="20"/>
              </w:rPr>
            </w:pPr>
          </w:p>
        </w:tc>
        <w:tc>
          <w:tcPr>
            <w:tcW w:w="0" w:type="auto"/>
            <w:gridSpan w:val="9"/>
            <w:vAlign w:val="center"/>
            <w:hideMark/>
          </w:tcPr>
          <w:p w:rsidR="00000000" w:rsidRDefault="00BE60E9">
            <w:pPr>
              <w:spacing w:after="100"/>
              <w:rPr>
                <w:rFonts w:eastAsia="Times New Roman"/>
                <w:sz w:val="20"/>
                <w:szCs w:val="20"/>
              </w:rPr>
            </w:pPr>
          </w:p>
        </w:tc>
        <w:tc>
          <w:tcPr>
            <w:tcW w:w="0" w:type="auto"/>
            <w:gridSpan w:val="4"/>
            <w:vAlign w:val="center"/>
            <w:hideMark/>
          </w:tcPr>
          <w:p w:rsidR="00000000" w:rsidRDefault="00BE60E9">
            <w:pPr>
              <w:spacing w:after="100"/>
              <w:rPr>
                <w:rFonts w:eastAsia="Times New Roman"/>
                <w:sz w:val="20"/>
                <w:szCs w:val="20"/>
              </w:rPr>
            </w:pPr>
          </w:p>
        </w:tc>
        <w:tc>
          <w:tcPr>
            <w:tcW w:w="0" w:type="auto"/>
            <w:gridSpan w:val="9"/>
            <w:vAlign w:val="center"/>
            <w:hideMark/>
          </w:tcPr>
          <w:p w:rsidR="00000000" w:rsidRDefault="00BE60E9">
            <w:pPr>
              <w:spacing w:after="100"/>
              <w:rPr>
                <w:rFonts w:eastAsia="Times New Roman"/>
                <w:sz w:val="20"/>
                <w:szCs w:val="20"/>
              </w:rPr>
            </w:pPr>
          </w:p>
        </w:tc>
        <w:tc>
          <w:tcPr>
            <w:tcW w:w="0" w:type="auto"/>
            <w:gridSpan w:val="5"/>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c>
          <w:tcPr>
            <w:tcW w:w="0" w:type="auto"/>
            <w:gridSpan w:val="12"/>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(Loss) income from equity investees</w:t>
            </w:r>
          </w:p>
        </w:tc>
        <w:tc>
          <w:tcPr>
            <w:tcW w:w="0" w:type="auto"/>
            <w:gridSpan w:val="7"/>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5"/>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(86)</w:t>
            </w:r>
          </w:p>
        </w:tc>
        <w:tc>
          <w:tcPr>
            <w:tcW w:w="0" w:type="auto"/>
            <w:gridSpan w:val="3"/>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gridSpan w:val="3"/>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7 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(93)</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c>
          <w:tcPr>
            <w:tcW w:w="0" w:type="auto"/>
            <w:gridSpan w:val="12"/>
            <w:vAlign w:val="center"/>
            <w:hideMark/>
          </w:tcPr>
          <w:p w:rsidR="00000000" w:rsidRDefault="00BE60E9">
            <w:pPr>
              <w:spacing w:after="100"/>
              <w:jc w:val="right"/>
              <w:rPr>
                <w:rFonts w:eastAsia="Times New Roman"/>
                <w:sz w:val="20"/>
                <w:szCs w:val="20"/>
              </w:rPr>
            </w:pPr>
          </w:p>
        </w:tc>
        <w:tc>
          <w:tcPr>
            <w:tcW w:w="0" w:type="auto"/>
            <w:gridSpan w:val="7"/>
            <w:vAlign w:val="center"/>
            <w:hideMark/>
          </w:tcPr>
          <w:p w:rsidR="00000000" w:rsidRDefault="00BE60E9">
            <w:pPr>
              <w:spacing w:after="100"/>
              <w:rPr>
                <w:rFonts w:eastAsia="Times New Roman"/>
                <w:sz w:val="20"/>
                <w:szCs w:val="20"/>
              </w:rPr>
            </w:pPr>
          </w:p>
        </w:tc>
        <w:tc>
          <w:tcPr>
            <w:tcW w:w="0" w:type="auto"/>
            <w:gridSpan w:val="8"/>
            <w:vAlign w:val="center"/>
            <w:hideMark/>
          </w:tcPr>
          <w:p w:rsidR="00000000" w:rsidRDefault="00BE60E9">
            <w:pPr>
              <w:spacing w:after="100"/>
              <w:rPr>
                <w:rFonts w:eastAsia="Times New Roman"/>
                <w:sz w:val="20"/>
                <w:szCs w:val="20"/>
              </w:rPr>
            </w:pPr>
          </w:p>
        </w:tc>
        <w:tc>
          <w:tcPr>
            <w:tcW w:w="0" w:type="auto"/>
            <w:gridSpan w:val="4"/>
            <w:vAlign w:val="center"/>
            <w:hideMark/>
          </w:tcPr>
          <w:p w:rsidR="00000000" w:rsidRDefault="00BE60E9">
            <w:pPr>
              <w:spacing w:after="100"/>
              <w:rPr>
                <w:rFonts w:eastAsia="Times New Roman"/>
                <w:sz w:val="20"/>
                <w:szCs w:val="20"/>
              </w:rPr>
            </w:pPr>
          </w:p>
        </w:tc>
        <w:tc>
          <w:tcPr>
            <w:tcW w:w="0" w:type="auto"/>
            <w:gridSpan w:val="9"/>
            <w:vAlign w:val="center"/>
            <w:hideMark/>
          </w:tcPr>
          <w:p w:rsidR="00000000" w:rsidRDefault="00BE60E9">
            <w:pPr>
              <w:spacing w:after="100"/>
              <w:rPr>
                <w:rFonts w:eastAsia="Times New Roman"/>
                <w:sz w:val="20"/>
                <w:szCs w:val="20"/>
              </w:rPr>
            </w:pPr>
          </w:p>
        </w:tc>
        <w:tc>
          <w:tcPr>
            <w:tcW w:w="0" w:type="auto"/>
            <w:gridSpan w:val="8"/>
            <w:vAlign w:val="center"/>
            <w:hideMark/>
          </w:tcPr>
          <w:p w:rsidR="00000000" w:rsidRDefault="00BE60E9">
            <w:pPr>
              <w:spacing w:after="100"/>
              <w:rPr>
                <w:rFonts w:eastAsia="Times New Roman"/>
                <w:sz w:val="20"/>
                <w:szCs w:val="20"/>
              </w:rPr>
            </w:pPr>
          </w:p>
        </w:tc>
        <w:tc>
          <w:tcPr>
            <w:tcW w:w="0" w:type="auto"/>
            <w:gridSpan w:val="9"/>
            <w:vAlign w:val="center"/>
            <w:hideMark/>
          </w:tcPr>
          <w:p w:rsidR="00000000" w:rsidRDefault="00BE60E9">
            <w:pPr>
              <w:spacing w:after="100"/>
              <w:rPr>
                <w:rFonts w:eastAsia="Times New Roman"/>
                <w:sz w:val="20"/>
                <w:szCs w:val="20"/>
              </w:rPr>
            </w:pPr>
          </w:p>
        </w:tc>
        <w:tc>
          <w:tcPr>
            <w:tcW w:w="0" w:type="auto"/>
            <w:gridSpan w:val="4"/>
            <w:vAlign w:val="center"/>
            <w:hideMark/>
          </w:tcPr>
          <w:p w:rsidR="00000000" w:rsidRDefault="00BE60E9">
            <w:pPr>
              <w:spacing w:after="100"/>
              <w:rPr>
                <w:rFonts w:eastAsia="Times New Roman"/>
                <w:sz w:val="20"/>
                <w:szCs w:val="20"/>
              </w:rPr>
            </w:pPr>
          </w:p>
        </w:tc>
        <w:tc>
          <w:tcPr>
            <w:tcW w:w="0" w:type="auto"/>
            <w:gridSpan w:val="9"/>
            <w:vAlign w:val="center"/>
            <w:hideMark/>
          </w:tcPr>
          <w:p w:rsidR="00000000" w:rsidRDefault="00BE60E9">
            <w:pPr>
              <w:spacing w:after="100"/>
              <w:rPr>
                <w:rFonts w:eastAsia="Times New Roman"/>
                <w:sz w:val="20"/>
                <w:szCs w:val="20"/>
              </w:rPr>
            </w:pPr>
          </w:p>
        </w:tc>
        <w:tc>
          <w:tcPr>
            <w:tcW w:w="0" w:type="auto"/>
            <w:gridSpan w:val="5"/>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c>
          <w:tcPr>
            <w:tcW w:w="0" w:type="auto"/>
            <w:gridSpan w:val="12"/>
            <w:vAlign w:val="center"/>
            <w:hideMark/>
          </w:tcPr>
          <w:p w:rsidR="00000000" w:rsidRDefault="00BE60E9">
            <w:pPr>
              <w:spacing w:after="100"/>
              <w:rPr>
                <w:rFonts w:eastAsia="Times New Roman"/>
                <w:sz w:val="20"/>
                <w:szCs w:val="20"/>
              </w:rPr>
            </w:pPr>
          </w:p>
        </w:tc>
        <w:tc>
          <w:tcPr>
            <w:tcW w:w="0" w:type="auto"/>
            <w:gridSpan w:val="7"/>
            <w:vAlign w:val="center"/>
            <w:hideMark/>
          </w:tcPr>
          <w:p w:rsidR="00000000" w:rsidRDefault="00BE60E9">
            <w:pPr>
              <w:spacing w:after="100"/>
              <w:rPr>
                <w:rFonts w:eastAsia="Times New Roman"/>
                <w:sz w:val="20"/>
                <w:szCs w:val="20"/>
              </w:rPr>
            </w:pPr>
          </w:p>
        </w:tc>
        <w:tc>
          <w:tcPr>
            <w:tcW w:w="0" w:type="auto"/>
            <w:gridSpan w:val="8"/>
            <w:vAlign w:val="center"/>
            <w:hideMark/>
          </w:tcPr>
          <w:p w:rsidR="00000000" w:rsidRDefault="00BE60E9">
            <w:pPr>
              <w:spacing w:after="100"/>
              <w:rPr>
                <w:rFonts w:eastAsia="Times New Roman"/>
                <w:sz w:val="20"/>
                <w:szCs w:val="20"/>
              </w:rPr>
            </w:pPr>
          </w:p>
        </w:tc>
        <w:tc>
          <w:tcPr>
            <w:tcW w:w="0" w:type="auto"/>
            <w:gridSpan w:val="4"/>
            <w:vAlign w:val="center"/>
            <w:hideMark/>
          </w:tcPr>
          <w:p w:rsidR="00000000" w:rsidRDefault="00BE60E9">
            <w:pPr>
              <w:spacing w:after="100"/>
              <w:rPr>
                <w:rFonts w:eastAsia="Times New Roman"/>
                <w:sz w:val="20"/>
                <w:szCs w:val="20"/>
              </w:rPr>
            </w:pPr>
          </w:p>
        </w:tc>
        <w:tc>
          <w:tcPr>
            <w:tcW w:w="0" w:type="auto"/>
            <w:gridSpan w:val="9"/>
            <w:vAlign w:val="center"/>
            <w:hideMark/>
          </w:tcPr>
          <w:p w:rsidR="00000000" w:rsidRDefault="00BE60E9">
            <w:pPr>
              <w:spacing w:after="100"/>
              <w:rPr>
                <w:rFonts w:eastAsia="Times New Roman"/>
                <w:sz w:val="20"/>
                <w:szCs w:val="20"/>
              </w:rPr>
            </w:pPr>
          </w:p>
        </w:tc>
        <w:tc>
          <w:tcPr>
            <w:tcW w:w="0" w:type="auto"/>
            <w:gridSpan w:val="8"/>
            <w:vAlign w:val="center"/>
            <w:hideMark/>
          </w:tcPr>
          <w:p w:rsidR="00000000" w:rsidRDefault="00BE60E9">
            <w:pPr>
              <w:spacing w:after="100"/>
              <w:rPr>
                <w:rFonts w:eastAsia="Times New Roman"/>
                <w:sz w:val="20"/>
                <w:szCs w:val="20"/>
              </w:rPr>
            </w:pPr>
          </w:p>
        </w:tc>
        <w:tc>
          <w:tcPr>
            <w:tcW w:w="0" w:type="auto"/>
            <w:gridSpan w:val="9"/>
            <w:vAlign w:val="center"/>
            <w:hideMark/>
          </w:tcPr>
          <w:p w:rsidR="00000000" w:rsidRDefault="00BE60E9">
            <w:pPr>
              <w:spacing w:after="100"/>
              <w:rPr>
                <w:rFonts w:eastAsia="Times New Roman"/>
                <w:sz w:val="20"/>
                <w:szCs w:val="20"/>
              </w:rPr>
            </w:pPr>
          </w:p>
        </w:tc>
        <w:tc>
          <w:tcPr>
            <w:tcW w:w="0" w:type="auto"/>
            <w:gridSpan w:val="4"/>
            <w:vAlign w:val="center"/>
            <w:hideMark/>
          </w:tcPr>
          <w:p w:rsidR="00000000" w:rsidRDefault="00BE60E9">
            <w:pPr>
              <w:spacing w:after="100"/>
              <w:rPr>
                <w:rFonts w:eastAsia="Times New Roman"/>
                <w:sz w:val="20"/>
                <w:szCs w:val="20"/>
              </w:rPr>
            </w:pPr>
          </w:p>
        </w:tc>
        <w:tc>
          <w:tcPr>
            <w:tcW w:w="0" w:type="auto"/>
            <w:gridSpan w:val="9"/>
            <w:vAlign w:val="center"/>
            <w:hideMark/>
          </w:tcPr>
          <w:p w:rsidR="00000000" w:rsidRDefault="00BE60E9">
            <w:pPr>
              <w:spacing w:after="100"/>
              <w:rPr>
                <w:rFonts w:eastAsia="Times New Roman"/>
                <w:sz w:val="20"/>
                <w:szCs w:val="20"/>
              </w:rPr>
            </w:pPr>
          </w:p>
        </w:tc>
        <w:tc>
          <w:tcPr>
            <w:tcW w:w="0" w:type="auto"/>
            <w:gridSpan w:val="5"/>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c>
          <w:tcPr>
            <w:tcW w:w="0" w:type="auto"/>
            <w:gridSpan w:val="12"/>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Other non-operating income (expense), net</w:t>
            </w:r>
          </w:p>
        </w:tc>
        <w:tc>
          <w:tcPr>
            <w:tcW w:w="0" w:type="auto"/>
            <w:gridSpan w:val="7"/>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5"/>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1 </w:t>
            </w:r>
          </w:p>
        </w:tc>
        <w:tc>
          <w:tcPr>
            <w:tcW w:w="0" w:type="auto"/>
            <w:gridSpan w:val="3"/>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c>
          <w:tcPr>
            <w:tcW w:w="0" w:type="auto"/>
            <w:gridSpan w:val="12"/>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Earnings before interest expense and income taxes</w:t>
            </w:r>
          </w:p>
        </w:tc>
        <w:tc>
          <w:tcPr>
            <w:tcW w:w="0" w:type="auto"/>
            <w:gridSpan w:val="7"/>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5"/>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306 </w:t>
            </w:r>
          </w:p>
        </w:tc>
        <w:tc>
          <w:tcPr>
            <w:tcW w:w="0" w:type="auto"/>
            <w:gridSpan w:val="3"/>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8"/>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6"/>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11 </w:t>
            </w:r>
          </w:p>
        </w:tc>
        <w:tc>
          <w:tcPr>
            <w:tcW w:w="0" w:type="auto"/>
            <w:gridSpan w:val="3"/>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8"/>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c>
          <w:tcPr>
            <w:tcW w:w="0" w:type="auto"/>
            <w:gridSpan w:val="12"/>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Interest expense</w:t>
            </w:r>
          </w:p>
        </w:tc>
        <w:tc>
          <w:tcPr>
            <w:tcW w:w="0" w:type="auto"/>
            <w:gridSpan w:val="7"/>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5"/>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(77)</w:t>
            </w:r>
          </w:p>
        </w:tc>
        <w:tc>
          <w:tcPr>
            <w:tcW w:w="0" w:type="auto"/>
            <w:gridSpan w:val="3"/>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(40)</w:t>
            </w:r>
          </w:p>
        </w:tc>
        <w:tc>
          <w:tcPr>
            <w:tcW w:w="0" w:type="auto"/>
            <w:gridSpan w:val="3"/>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(8)</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(10)</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(14)</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c>
          <w:tcPr>
            <w:tcW w:w="0" w:type="auto"/>
            <w:gridSpan w:val="12"/>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Income (loss) before income taxes</w:t>
            </w:r>
          </w:p>
        </w:tc>
        <w:tc>
          <w:tcPr>
            <w:tcW w:w="0" w:type="auto"/>
            <w:gridSpan w:val="7"/>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229 </w:t>
            </w:r>
          </w:p>
        </w:tc>
        <w:tc>
          <w:tcPr>
            <w:tcW w:w="0" w:type="auto"/>
            <w:gridSpan w:val="3"/>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8"/>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(29)</w:t>
            </w:r>
          </w:p>
        </w:tc>
        <w:tc>
          <w:tcPr>
            <w:tcW w:w="0" w:type="auto"/>
            <w:gridSpan w:val="3"/>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c>
          <w:tcPr>
            <w:tcW w:w="0" w:type="auto"/>
            <w:gridSpan w:val="12"/>
            <w:vAlign w:val="center"/>
            <w:hideMark/>
          </w:tcPr>
          <w:p w:rsidR="00000000" w:rsidRDefault="00BE60E9">
            <w:pPr>
              <w:spacing w:after="100"/>
              <w:jc w:val="right"/>
              <w:rPr>
                <w:rFonts w:eastAsia="Times New Roman"/>
                <w:sz w:val="20"/>
                <w:szCs w:val="20"/>
              </w:rPr>
            </w:pPr>
          </w:p>
        </w:tc>
        <w:tc>
          <w:tcPr>
            <w:tcW w:w="0" w:type="auto"/>
            <w:gridSpan w:val="7"/>
            <w:vAlign w:val="center"/>
            <w:hideMark/>
          </w:tcPr>
          <w:p w:rsidR="00000000" w:rsidRDefault="00BE60E9">
            <w:pPr>
              <w:spacing w:after="100"/>
              <w:rPr>
                <w:rFonts w:eastAsia="Times New Roman"/>
                <w:sz w:val="20"/>
                <w:szCs w:val="20"/>
              </w:rPr>
            </w:pPr>
          </w:p>
        </w:tc>
        <w:tc>
          <w:tcPr>
            <w:tcW w:w="0" w:type="auto"/>
            <w:gridSpan w:val="8"/>
            <w:vAlign w:val="center"/>
            <w:hideMark/>
          </w:tcPr>
          <w:p w:rsidR="00000000" w:rsidRDefault="00BE60E9">
            <w:pPr>
              <w:spacing w:after="100"/>
              <w:rPr>
                <w:rFonts w:eastAsia="Times New Roman"/>
                <w:sz w:val="20"/>
                <w:szCs w:val="20"/>
              </w:rPr>
            </w:pPr>
          </w:p>
        </w:tc>
        <w:tc>
          <w:tcPr>
            <w:tcW w:w="0" w:type="auto"/>
            <w:gridSpan w:val="4"/>
            <w:vAlign w:val="center"/>
            <w:hideMark/>
          </w:tcPr>
          <w:p w:rsidR="00000000" w:rsidRDefault="00BE60E9">
            <w:pPr>
              <w:spacing w:after="100"/>
              <w:rPr>
                <w:rFonts w:eastAsia="Times New Roman"/>
                <w:sz w:val="20"/>
                <w:szCs w:val="20"/>
              </w:rPr>
            </w:pPr>
          </w:p>
        </w:tc>
        <w:tc>
          <w:tcPr>
            <w:tcW w:w="0" w:type="auto"/>
            <w:gridSpan w:val="9"/>
            <w:vAlign w:val="center"/>
            <w:hideMark/>
          </w:tcPr>
          <w:p w:rsidR="00000000" w:rsidRDefault="00BE60E9">
            <w:pPr>
              <w:spacing w:after="100"/>
              <w:rPr>
                <w:rFonts w:eastAsia="Times New Roman"/>
                <w:sz w:val="20"/>
                <w:szCs w:val="20"/>
              </w:rPr>
            </w:pPr>
          </w:p>
        </w:tc>
        <w:tc>
          <w:tcPr>
            <w:tcW w:w="0" w:type="auto"/>
            <w:gridSpan w:val="8"/>
            <w:vAlign w:val="center"/>
            <w:hideMark/>
          </w:tcPr>
          <w:p w:rsidR="00000000" w:rsidRDefault="00BE60E9">
            <w:pPr>
              <w:spacing w:after="100"/>
              <w:rPr>
                <w:rFonts w:eastAsia="Times New Roman"/>
                <w:sz w:val="20"/>
                <w:szCs w:val="20"/>
              </w:rPr>
            </w:pPr>
          </w:p>
        </w:tc>
        <w:tc>
          <w:tcPr>
            <w:tcW w:w="0" w:type="auto"/>
            <w:gridSpan w:val="9"/>
            <w:vAlign w:val="center"/>
            <w:hideMark/>
          </w:tcPr>
          <w:p w:rsidR="00000000" w:rsidRDefault="00BE60E9">
            <w:pPr>
              <w:spacing w:after="100"/>
              <w:rPr>
                <w:rFonts w:eastAsia="Times New Roman"/>
                <w:sz w:val="20"/>
                <w:szCs w:val="20"/>
              </w:rPr>
            </w:pPr>
          </w:p>
        </w:tc>
        <w:tc>
          <w:tcPr>
            <w:tcW w:w="0" w:type="auto"/>
            <w:gridSpan w:val="4"/>
            <w:vAlign w:val="center"/>
            <w:hideMark/>
          </w:tcPr>
          <w:p w:rsidR="00000000" w:rsidRDefault="00BE60E9">
            <w:pPr>
              <w:spacing w:after="100"/>
              <w:rPr>
                <w:rFonts w:eastAsia="Times New Roman"/>
                <w:sz w:val="20"/>
                <w:szCs w:val="20"/>
              </w:rPr>
            </w:pPr>
          </w:p>
        </w:tc>
        <w:tc>
          <w:tcPr>
            <w:tcW w:w="0" w:type="auto"/>
            <w:gridSpan w:val="9"/>
            <w:vAlign w:val="center"/>
            <w:hideMark/>
          </w:tcPr>
          <w:p w:rsidR="00000000" w:rsidRDefault="00BE60E9">
            <w:pPr>
              <w:spacing w:after="100"/>
              <w:rPr>
                <w:rFonts w:eastAsia="Times New Roman"/>
                <w:sz w:val="20"/>
                <w:szCs w:val="20"/>
              </w:rPr>
            </w:pPr>
          </w:p>
        </w:tc>
        <w:tc>
          <w:tcPr>
            <w:tcW w:w="0" w:type="auto"/>
            <w:gridSpan w:val="5"/>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c>
          <w:tcPr>
            <w:tcW w:w="0" w:type="auto"/>
            <w:gridSpan w:val="12"/>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Depreciation and amortization</w:t>
            </w:r>
          </w:p>
        </w:tc>
        <w:tc>
          <w:tcPr>
            <w:tcW w:w="0" w:type="auto"/>
            <w:gridSpan w:val="7"/>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4"/>
            <w:tcBorders>
              <w:top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125 </w:t>
            </w:r>
          </w:p>
        </w:tc>
        <w:tc>
          <w:tcPr>
            <w:tcW w:w="0" w:type="auto"/>
            <w:gridSpan w:val="3"/>
            <w:tcBorders>
              <w:top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7"/>
            <w:tcBorders>
              <w:top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4"/>
            <w:tcBorders>
              <w:top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43 </w:t>
            </w:r>
          </w:p>
        </w:tc>
        <w:tc>
          <w:tcPr>
            <w:tcW w:w="0" w:type="auto"/>
            <w:gridSpan w:val="3"/>
            <w:tcBorders>
              <w:top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4"/>
            <w:tcBorders>
              <w:top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4"/>
            <w:tcBorders>
              <w:top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c>
          <w:tcPr>
            <w:tcW w:w="0" w:type="auto"/>
            <w:gridSpan w:val="12"/>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Capital expenditures (including the effects of accruals)</w:t>
            </w:r>
          </w:p>
        </w:tc>
        <w:tc>
          <w:tcPr>
            <w:tcW w:w="0" w:type="auto"/>
            <w:gridSpan w:val="7"/>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162 </w:t>
            </w:r>
          </w:p>
        </w:tc>
        <w:tc>
          <w:tcPr>
            <w:tcW w:w="0" w:type="auto"/>
            <w:gridSpan w:val="3"/>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7"/>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26 </w:t>
            </w:r>
          </w:p>
        </w:tc>
        <w:tc>
          <w:tcPr>
            <w:tcW w:w="0" w:type="auto"/>
            <w:gridSpan w:val="3"/>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112 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bl>
    <w:p w:rsidR="00000000" w:rsidRDefault="00BE60E9">
      <w:pPr>
        <w:jc w:val="both"/>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1942"/>
        <w:gridCol w:w="39"/>
        <w:gridCol w:w="36"/>
        <w:gridCol w:w="36"/>
        <w:gridCol w:w="36"/>
        <w:gridCol w:w="100"/>
        <w:gridCol w:w="480"/>
        <w:gridCol w:w="36"/>
        <w:gridCol w:w="36"/>
        <w:gridCol w:w="36"/>
        <w:gridCol w:w="36"/>
        <w:gridCol w:w="101"/>
        <w:gridCol w:w="758"/>
        <w:gridCol w:w="36"/>
        <w:gridCol w:w="75"/>
        <w:gridCol w:w="145"/>
        <w:gridCol w:w="36"/>
        <w:gridCol w:w="101"/>
        <w:gridCol w:w="609"/>
        <w:gridCol w:w="36"/>
        <w:gridCol w:w="36"/>
        <w:gridCol w:w="36"/>
        <w:gridCol w:w="36"/>
        <w:gridCol w:w="101"/>
        <w:gridCol w:w="755"/>
        <w:gridCol w:w="36"/>
        <w:gridCol w:w="36"/>
        <w:gridCol w:w="36"/>
        <w:gridCol w:w="36"/>
        <w:gridCol w:w="101"/>
        <w:gridCol w:w="648"/>
        <w:gridCol w:w="36"/>
        <w:gridCol w:w="36"/>
        <w:gridCol w:w="36"/>
        <w:gridCol w:w="36"/>
        <w:gridCol w:w="101"/>
        <w:gridCol w:w="483"/>
        <w:gridCol w:w="36"/>
        <w:gridCol w:w="36"/>
        <w:gridCol w:w="36"/>
        <w:gridCol w:w="36"/>
        <w:gridCol w:w="101"/>
        <w:gridCol w:w="690"/>
        <w:gridCol w:w="36"/>
      </w:tblGrid>
      <w:tr w:rsidR="00000000">
        <w:tc>
          <w:tcPr>
            <w:tcW w:w="50" w:type="pct"/>
            <w:vAlign w:val="center"/>
            <w:hideMark/>
          </w:tcPr>
          <w:p w:rsidR="00000000" w:rsidRDefault="00BE60E9">
            <w:pPr>
              <w:jc w:val="both"/>
              <w:rPr>
                <w:rFonts w:eastAsia="Times New Roman"/>
              </w:rPr>
            </w:pPr>
          </w:p>
        </w:tc>
        <w:tc>
          <w:tcPr>
            <w:tcW w:w="1494"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347"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20"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98"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37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19"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0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19"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1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19"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36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39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16"/>
                <w:szCs w:val="16"/>
              </w:rPr>
              <w:t>Nine Months Ended June 30, 2022</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Total</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Eliminations</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AmeriGas</w:t>
            </w:r>
            <w:r>
              <w:rPr>
                <w:rFonts w:eastAsia="Times New Roman"/>
                <w:color w:val="000000"/>
                <w:sz w:val="16"/>
                <w:szCs w:val="16"/>
              </w:rPr>
              <w:br/>
              <w:t>Propane</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UGI International</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Midstream &amp; Marketing</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Utilities</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Corporate</w:t>
            </w:r>
            <w:r>
              <w:rPr>
                <w:rFonts w:eastAsia="Times New Roman"/>
                <w:color w:val="000000"/>
                <w:sz w:val="16"/>
                <w:szCs w:val="16"/>
              </w:rPr>
              <w:br/>
              <w:t>&amp; Other (a)</w:t>
            </w:r>
          </w:p>
        </w:tc>
      </w:tr>
      <w:tr w:rsidR="00BE60E9">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Revenues from external customers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8,172 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2,423 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3,011 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1,424 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1,313 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BE60E9">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Intersegment revenues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(396)</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(b)</w:t>
            </w: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307 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87 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BE60E9">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Cost of sales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4,951 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w:t>
            </w:r>
            <w:r>
              <w:rPr>
                <w:rFonts w:eastAsia="Times New Roman"/>
                <w:color w:val="000000"/>
                <w:sz w:val="16"/>
                <w:szCs w:val="16"/>
              </w:rPr>
              <w:t>394)</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(b)</w:t>
            </w: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1,333 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2,267 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1,389 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701 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(345)</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BE60E9">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Operating income</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1,363 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 </w:t>
            </w: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303 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211 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197 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325 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327 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(Loss) income from equity investees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(32)</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 </w:t>
            </w: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19 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(51)</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Loss on extinguishments of debt</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(11)</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(11)</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Other non-operating income, net</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41 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17 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7 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17 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Earnings before interest expense and income taxes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1,361 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(245)</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 </w:t>
            </w: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(120)</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(22)</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(31)</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(47)</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(25)</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BE60E9">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Income before income taxes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1,116 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BE60E9">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387 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132 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89 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108 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w:t>
            </w:r>
            <w:r>
              <w:rPr>
                <w:rFonts w:eastAsia="Times New Roman"/>
                <w:color w:val="000000"/>
                <w:sz w:val="16"/>
                <w:szCs w:val="16"/>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BE60E9">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Capital expenditures (including the effects of accruals)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546 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99 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71 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351 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16"/>
                <w:szCs w:val="16"/>
              </w:rPr>
              <w:t>As of June 30, 2022</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BE60E9">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Total assets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17,111 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(182)</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4,365 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4,410 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3,198 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5,146 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174 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bl>
    <w:p w:rsidR="00000000" w:rsidRDefault="00BE60E9">
      <w:pPr>
        <w:jc w:val="center"/>
        <w:divId w:val="21395275"/>
        <w:rPr>
          <w:rFonts w:eastAsia="Times New Roman"/>
        </w:rPr>
      </w:pPr>
      <w:r>
        <w:rPr>
          <w:rFonts w:eastAsia="Times New Roman"/>
          <w:color w:val="000000"/>
          <w:sz w:val="20"/>
          <w:szCs w:val="20"/>
        </w:rPr>
        <w:t>31</w:t>
      </w:r>
    </w:p>
    <w:p w:rsidR="00000000" w:rsidRDefault="00BE60E9">
      <w:pPr>
        <w:rPr>
          <w:rFonts w:eastAsia="Times New Roman"/>
        </w:rPr>
      </w:pPr>
      <w:r>
        <w:rPr>
          <w:rFonts w:eastAsia="Times New Roman"/>
        </w:rPr>
        <w:pict>
          <v:rect id="_x0000_i1057" style="width:0;height:1.5pt" o:hralign="center" o:hrstd="t" o:hr="t" fillcolor="#a0a0a0" stroked="f"/>
        </w:pict>
      </w:r>
    </w:p>
    <w:p w:rsidR="00000000" w:rsidRDefault="00BE60E9">
      <w:pPr>
        <w:divId w:val="1737968105"/>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1048144308"/>
        <w:rPr>
          <w:rFonts w:eastAsia="Times New Roman"/>
        </w:rPr>
      </w:pPr>
      <w:r>
        <w:rPr>
          <w:rFonts w:eastAsia="Times New Roman"/>
          <w:b/>
          <w:bCs/>
          <w:color w:val="000000"/>
          <w:sz w:val="20"/>
          <w:szCs w:val="20"/>
        </w:rPr>
        <w:t>UGI CORPORATION AND SUBSIDIARIES</w:t>
      </w:r>
    </w:p>
    <w:p w:rsidR="00000000" w:rsidRDefault="00BE60E9">
      <w:pPr>
        <w:jc w:val="center"/>
        <w:divId w:val="132873673"/>
        <w:rPr>
          <w:rFonts w:eastAsia="Times New Roman"/>
        </w:rPr>
      </w:pPr>
      <w:r>
        <w:rPr>
          <w:rFonts w:eastAsia="Times New Roman"/>
          <w:b/>
          <w:bCs/>
          <w:color w:val="000000"/>
          <w:sz w:val="20"/>
          <w:szCs w:val="20"/>
          <w:u w:val="single"/>
        </w:rPr>
        <w:t>Notes to Condensed Consolidated Financial Statements</w:t>
      </w:r>
    </w:p>
    <w:p w:rsidR="00000000" w:rsidRDefault="00BE60E9">
      <w:pPr>
        <w:jc w:val="center"/>
        <w:divId w:val="1048144308"/>
        <w:rPr>
          <w:rFonts w:eastAsia="Times New Roman"/>
        </w:rPr>
      </w:pPr>
      <w:r>
        <w:rPr>
          <w:rFonts w:eastAsia="Times New Roman"/>
          <w:color w:val="000000"/>
          <w:sz w:val="20"/>
          <w:szCs w:val="20"/>
        </w:rPr>
        <w:t>(unaudited)</w:t>
      </w:r>
    </w:p>
    <w:p w:rsidR="00000000" w:rsidRDefault="00BE60E9">
      <w:pPr>
        <w:jc w:val="center"/>
        <w:divId w:val="1048144308"/>
        <w:rPr>
          <w:rFonts w:eastAsia="Times New Roman"/>
        </w:rPr>
      </w:pPr>
      <w:r>
        <w:rPr>
          <w:rFonts w:eastAsia="Times New Roman"/>
          <w:color w:val="000000"/>
          <w:sz w:val="20"/>
          <w:szCs w:val="20"/>
        </w:rPr>
        <w:t>(Currency in millions, except per share amounts and where indicated otherwise)</w:t>
      </w:r>
    </w:p>
    <w:tbl>
      <w:tblPr>
        <w:tblW w:w="5000" w:type="pct"/>
        <w:tblCellMar>
          <w:top w:w="15" w:type="dxa"/>
          <w:left w:w="15" w:type="dxa"/>
          <w:bottom w:w="15" w:type="dxa"/>
          <w:right w:w="15" w:type="dxa"/>
        </w:tblCellMar>
        <w:tblLook w:val="04A0" w:firstRow="1" w:lastRow="0" w:firstColumn="1" w:lastColumn="0" w:noHBand="0" w:noVBand="1"/>
      </w:tblPr>
      <w:tblGrid>
        <w:gridCol w:w="39"/>
        <w:gridCol w:w="1944"/>
        <w:gridCol w:w="38"/>
        <w:gridCol w:w="36"/>
        <w:gridCol w:w="36"/>
        <w:gridCol w:w="36"/>
        <w:gridCol w:w="100"/>
        <w:gridCol w:w="480"/>
        <w:gridCol w:w="36"/>
        <w:gridCol w:w="36"/>
        <w:gridCol w:w="36"/>
        <w:gridCol w:w="36"/>
        <w:gridCol w:w="101"/>
        <w:gridCol w:w="758"/>
        <w:gridCol w:w="36"/>
        <w:gridCol w:w="75"/>
        <w:gridCol w:w="145"/>
        <w:gridCol w:w="36"/>
        <w:gridCol w:w="101"/>
        <w:gridCol w:w="609"/>
        <w:gridCol w:w="36"/>
        <w:gridCol w:w="36"/>
        <w:gridCol w:w="36"/>
        <w:gridCol w:w="36"/>
        <w:gridCol w:w="101"/>
        <w:gridCol w:w="755"/>
        <w:gridCol w:w="36"/>
        <w:gridCol w:w="36"/>
        <w:gridCol w:w="36"/>
        <w:gridCol w:w="36"/>
        <w:gridCol w:w="101"/>
        <w:gridCol w:w="648"/>
        <w:gridCol w:w="36"/>
        <w:gridCol w:w="36"/>
        <w:gridCol w:w="36"/>
        <w:gridCol w:w="36"/>
        <w:gridCol w:w="101"/>
        <w:gridCol w:w="483"/>
        <w:gridCol w:w="36"/>
        <w:gridCol w:w="36"/>
        <w:gridCol w:w="36"/>
        <w:gridCol w:w="36"/>
        <w:gridCol w:w="101"/>
        <w:gridCol w:w="690"/>
        <w:gridCol w:w="36"/>
      </w:tblGrid>
      <w:tr w:rsidR="00000000">
        <w:tc>
          <w:tcPr>
            <w:tcW w:w="50" w:type="pct"/>
            <w:vAlign w:val="center"/>
            <w:hideMark/>
          </w:tcPr>
          <w:p w:rsidR="00000000" w:rsidRDefault="00BE60E9">
            <w:pPr>
              <w:jc w:val="center"/>
              <w:rPr>
                <w:rFonts w:eastAsia="Times New Roman"/>
              </w:rPr>
            </w:pPr>
          </w:p>
        </w:tc>
        <w:tc>
          <w:tcPr>
            <w:tcW w:w="1494"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347"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20"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98"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37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19"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0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19"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1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19"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36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39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16"/>
                <w:szCs w:val="16"/>
              </w:rPr>
              <w:t>Nine Months Ended June 30, 2021</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Total</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Eliminations</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AmeriGas</w:t>
            </w:r>
            <w:r>
              <w:rPr>
                <w:rFonts w:eastAsia="Times New Roman"/>
                <w:color w:val="000000"/>
                <w:sz w:val="16"/>
                <w:szCs w:val="16"/>
              </w:rPr>
              <w:br/>
              <w:t>Propane</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UGI International</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 xml:space="preserve">Midstream &amp; </w:t>
            </w:r>
            <w:r>
              <w:rPr>
                <w:rFonts w:eastAsia="Times New Roman"/>
                <w:color w:val="000000"/>
                <w:sz w:val="16"/>
                <w:szCs w:val="16"/>
              </w:rPr>
              <w:t>Marketing</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Utilities</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6"/>
                <w:szCs w:val="16"/>
              </w:rPr>
              <w:t>Corporate</w:t>
            </w:r>
            <w:r>
              <w:rPr>
                <w:rFonts w:eastAsia="Times New Roman"/>
                <w:color w:val="000000"/>
                <w:sz w:val="16"/>
                <w:szCs w:val="16"/>
              </w:rPr>
              <w:br/>
              <w:t>&amp; Other (a)</w:t>
            </w:r>
          </w:p>
        </w:tc>
      </w:tr>
      <w:tr w:rsidR="00BE60E9">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Revenues from external customers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6,009 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2,132 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2,106 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903 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873 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BE60E9">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Intersegment revenues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(236)</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(b)</w:t>
            </w: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183 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BE60E9">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Cost of sales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2,623 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(233)</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(b)</w:t>
            </w: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970 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1,229 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776 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401 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(520)</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BE60E9">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Operating income</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1,564 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 </w:t>
            </w: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391 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322 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156 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243 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452 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(Loss) income from equity investees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(69)</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 </w:t>
            </w: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24 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(93)</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Other non-operating income (expense), net</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(6)</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Earnings before interest expense and income taxes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1,495 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Interest expense</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(233)</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 </w:t>
            </w: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(120)</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(21)</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(31)</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(42)</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(19)</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BE60E9">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Income before income taxes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1,262 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BE60E9">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375 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130 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100 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56 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87 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w:t>
            </w: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BE60E9">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Capital expenditures (including the effects of accruals)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438 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83 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68 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32 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255 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16"/>
                <w:szCs w:val="16"/>
              </w:rPr>
              <w:t>As of June 30, 2021</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BE60E9">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6"/>
                <w:szCs w:val="16"/>
              </w:rPr>
              <w:t>Total assets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15,006 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(267)</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4,381 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3,749 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2,904 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3,997 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6"/>
                <w:szCs w:val="16"/>
              </w:rPr>
              <w:t>242 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bl>
    <w:p w:rsidR="00000000" w:rsidRDefault="00BE60E9">
      <w:pPr>
        <w:jc w:val="both"/>
        <w:rPr>
          <w:rFonts w:eastAsia="Times New Roman"/>
        </w:rPr>
      </w:pPr>
    </w:p>
    <w:p w:rsidR="00000000" w:rsidRDefault="00BE60E9">
      <w:pPr>
        <w:ind w:hanging="360"/>
        <w:jc w:val="both"/>
        <w:rPr>
          <w:rFonts w:eastAsia="Times New Roman"/>
        </w:rPr>
      </w:pPr>
      <w:r>
        <w:rPr>
          <w:rFonts w:eastAsia="Times New Roman"/>
          <w:color w:val="000000"/>
          <w:sz w:val="20"/>
          <w:szCs w:val="20"/>
        </w:rPr>
        <w:t xml:space="preserve">(a)Corporate &amp; </w:t>
      </w:r>
      <w:r>
        <w:rPr>
          <w:rFonts w:eastAsia="Times New Roman"/>
          <w:color w:val="000000"/>
          <w:sz w:val="20"/>
          <w:szCs w:val="20"/>
        </w:rPr>
        <w:t>Other includes specific items attributable to our reportable segments that are not included in the segment profit measures used by our CODM in assessing our reportable segments’ performance or allocating resources. The following table presents such pre-tax</w:t>
      </w:r>
      <w:r>
        <w:rPr>
          <w:rFonts w:eastAsia="Times New Roman"/>
          <w:color w:val="000000"/>
          <w:sz w:val="20"/>
          <w:szCs w:val="20"/>
        </w:rPr>
        <w:t xml:space="preserve"> gains (losses) which have been included in Corporate &amp; Other, and the reportable segments to which they relate:</w:t>
      </w:r>
    </w:p>
    <w:tbl>
      <w:tblPr>
        <w:tblW w:w="4824" w:type="pct"/>
        <w:tblCellMar>
          <w:top w:w="15" w:type="dxa"/>
          <w:left w:w="15" w:type="dxa"/>
          <w:bottom w:w="15" w:type="dxa"/>
          <w:right w:w="15" w:type="dxa"/>
        </w:tblCellMar>
        <w:tblLook w:val="04A0" w:firstRow="1" w:lastRow="0" w:firstColumn="1" w:lastColumn="0" w:noHBand="0" w:noVBand="1"/>
      </w:tblPr>
      <w:tblGrid>
        <w:gridCol w:w="39"/>
        <w:gridCol w:w="3327"/>
        <w:gridCol w:w="38"/>
        <w:gridCol w:w="36"/>
        <w:gridCol w:w="36"/>
        <w:gridCol w:w="36"/>
        <w:gridCol w:w="54"/>
        <w:gridCol w:w="1276"/>
        <w:gridCol w:w="37"/>
        <w:gridCol w:w="36"/>
        <w:gridCol w:w="36"/>
        <w:gridCol w:w="36"/>
        <w:gridCol w:w="111"/>
        <w:gridCol w:w="700"/>
        <w:gridCol w:w="36"/>
        <w:gridCol w:w="36"/>
        <w:gridCol w:w="36"/>
        <w:gridCol w:w="36"/>
        <w:gridCol w:w="111"/>
        <w:gridCol w:w="862"/>
        <w:gridCol w:w="36"/>
        <w:gridCol w:w="36"/>
        <w:gridCol w:w="36"/>
        <w:gridCol w:w="36"/>
        <w:gridCol w:w="111"/>
        <w:gridCol w:w="736"/>
        <w:gridCol w:w="36"/>
        <w:gridCol w:w="36"/>
        <w:gridCol w:w="36"/>
      </w:tblGrid>
      <w:tr w:rsidR="00000000">
        <w:tc>
          <w:tcPr>
            <w:tcW w:w="50" w:type="pct"/>
            <w:vAlign w:val="center"/>
            <w:hideMark/>
          </w:tcPr>
          <w:p w:rsidR="00000000" w:rsidRDefault="00BE60E9">
            <w:pPr>
              <w:ind w:hanging="360"/>
              <w:jc w:val="both"/>
              <w:rPr>
                <w:rFonts w:eastAsia="Times New Roman"/>
              </w:rPr>
            </w:pPr>
          </w:p>
        </w:tc>
        <w:tc>
          <w:tcPr>
            <w:tcW w:w="2187"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7"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937"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7"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8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7"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8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7"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83"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18"/>
                <w:szCs w:val="18"/>
              </w:rPr>
              <w:t>Three Months Ended June 30, 2022</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Location on Income Statement</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AmeriGas Propane</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UGI International</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Midstream &amp; Marketing</w:t>
            </w:r>
          </w:p>
        </w:tc>
        <w:tc>
          <w:tcPr>
            <w:tcW w:w="0" w:type="auto"/>
            <w:vAlign w:val="center"/>
            <w:hideMark/>
          </w:tcPr>
          <w:p w:rsidR="00000000" w:rsidRDefault="00BE60E9">
            <w:pPr>
              <w:spacing w:after="100"/>
              <w:jc w:val="center"/>
              <w:rPr>
                <w:rFonts w:eastAsia="Times New Roman"/>
              </w:rPr>
            </w:pPr>
          </w:p>
        </w:tc>
        <w:tc>
          <w:tcPr>
            <w:tcW w:w="0" w:type="auto"/>
            <w:vAlign w:val="center"/>
            <w:hideMark/>
          </w:tcPr>
          <w:p w:rsidR="00000000" w:rsidRDefault="00BE60E9">
            <w:pPr>
              <w:spacing w:after="100"/>
              <w:rPr>
                <w:rFonts w:eastAsia="Times New Roman"/>
                <w:sz w:val="20"/>
                <w:szCs w:val="20"/>
              </w:rPr>
            </w:pP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Net gains (losses) on commodity derivative instruments not associated with current-period transactions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Revenues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vAlign w:val="center"/>
            <w:hideMark/>
          </w:tcPr>
          <w:p w:rsidR="00000000" w:rsidRDefault="00BE60E9">
            <w:pPr>
              <w:spacing w:after="100"/>
              <w:jc w:val="right"/>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Net (losses) gains on commodity derivative instruments not associated with current-period transactions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 xml:space="preserve">Cost of sales </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(46)</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110 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(51)</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vAlign w:val="center"/>
            <w:hideMark/>
          </w:tcPr>
          <w:p w:rsidR="00000000" w:rsidRDefault="00BE60E9">
            <w:pPr>
              <w:spacing w:after="100"/>
              <w:jc w:val="right"/>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Net gains on commodity derivative instruments not associated with current-period transactions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Other operating income, net</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vAlign w:val="center"/>
            <w:hideMark/>
          </w:tcPr>
          <w:p w:rsidR="00000000" w:rsidRDefault="00BE60E9">
            <w:pPr>
              <w:spacing w:after="100"/>
              <w:jc w:val="right"/>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Restructuring costs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Operating and administrative expenses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vAlign w:val="center"/>
            <w:hideMark/>
          </w:tcPr>
          <w:p w:rsidR="00000000" w:rsidRDefault="00BE60E9">
            <w:pPr>
              <w:spacing w:after="100"/>
              <w:jc w:val="right"/>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r>
      <w:tr w:rsidR="00000000">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Unrealized gains on foreign currency derivative instruments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Other non-operating income, net</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14 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vAlign w:val="center"/>
            <w:hideMark/>
          </w:tcPr>
          <w:p w:rsidR="00000000" w:rsidRDefault="00BE60E9">
            <w:pPr>
              <w:spacing w:after="100"/>
              <w:jc w:val="right"/>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r>
      <w:tr w:rsidR="00000000">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r>
      <w:tr w:rsidR="00000000">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r>
      <w:tr w:rsidR="00000000">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Impairments associated with certain equity method investments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18"/>
                <w:szCs w:val="18"/>
              </w:rPr>
              <w:t>Loss from equity investees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(50)</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vAlign w:val="center"/>
            <w:hideMark/>
          </w:tcPr>
          <w:p w:rsidR="00000000" w:rsidRDefault="00BE60E9">
            <w:pPr>
              <w:spacing w:after="100"/>
              <w:jc w:val="right"/>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r>
    </w:tbl>
    <w:p w:rsidR="00000000" w:rsidRDefault="00BE60E9">
      <w:pPr>
        <w:ind w:firstLine="720"/>
        <w:jc w:val="both"/>
        <w:rPr>
          <w:rFonts w:eastAsia="Times New Roman"/>
          <w:vanish/>
        </w:rPr>
      </w:pPr>
    </w:p>
    <w:tbl>
      <w:tblPr>
        <w:tblW w:w="4824" w:type="pct"/>
        <w:tblCellMar>
          <w:top w:w="15" w:type="dxa"/>
          <w:left w:w="15" w:type="dxa"/>
          <w:bottom w:w="15" w:type="dxa"/>
          <w:right w:w="15" w:type="dxa"/>
        </w:tblCellMar>
        <w:tblLook w:val="04A0" w:firstRow="1" w:lastRow="0" w:firstColumn="1" w:lastColumn="0" w:noHBand="0" w:noVBand="1"/>
      </w:tblPr>
      <w:tblGrid>
        <w:gridCol w:w="39"/>
        <w:gridCol w:w="3327"/>
        <w:gridCol w:w="38"/>
        <w:gridCol w:w="36"/>
        <w:gridCol w:w="36"/>
        <w:gridCol w:w="36"/>
        <w:gridCol w:w="54"/>
        <w:gridCol w:w="1276"/>
        <w:gridCol w:w="37"/>
        <w:gridCol w:w="36"/>
        <w:gridCol w:w="36"/>
        <w:gridCol w:w="36"/>
        <w:gridCol w:w="111"/>
        <w:gridCol w:w="700"/>
        <w:gridCol w:w="36"/>
        <w:gridCol w:w="36"/>
        <w:gridCol w:w="36"/>
        <w:gridCol w:w="36"/>
        <w:gridCol w:w="111"/>
        <w:gridCol w:w="862"/>
        <w:gridCol w:w="36"/>
        <w:gridCol w:w="36"/>
        <w:gridCol w:w="36"/>
        <w:gridCol w:w="36"/>
        <w:gridCol w:w="111"/>
        <w:gridCol w:w="736"/>
        <w:gridCol w:w="36"/>
        <w:gridCol w:w="36"/>
        <w:gridCol w:w="36"/>
      </w:tblGrid>
      <w:tr w:rsidR="00000000">
        <w:tc>
          <w:tcPr>
            <w:tcW w:w="50" w:type="pct"/>
            <w:vAlign w:val="center"/>
            <w:hideMark/>
          </w:tcPr>
          <w:p w:rsidR="00000000" w:rsidRDefault="00BE60E9">
            <w:pPr>
              <w:jc w:val="both"/>
              <w:rPr>
                <w:rFonts w:eastAsia="Times New Roman"/>
              </w:rPr>
            </w:pPr>
          </w:p>
        </w:tc>
        <w:tc>
          <w:tcPr>
            <w:tcW w:w="2187"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7"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937"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7"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8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7"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8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7"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83"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18"/>
                <w:szCs w:val="18"/>
              </w:rPr>
              <w:t>Three Months Ended June 30, 2021</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Location on Income Statement</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AmeriGas Propane</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UGI International</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Midstream &amp; Marketing</w:t>
            </w:r>
          </w:p>
        </w:tc>
        <w:tc>
          <w:tcPr>
            <w:tcW w:w="0" w:type="auto"/>
            <w:vAlign w:val="center"/>
            <w:hideMark/>
          </w:tcPr>
          <w:p w:rsidR="00000000" w:rsidRDefault="00BE60E9">
            <w:pPr>
              <w:spacing w:after="100"/>
              <w:jc w:val="center"/>
              <w:rPr>
                <w:rFonts w:eastAsia="Times New Roman"/>
              </w:rPr>
            </w:pPr>
          </w:p>
        </w:tc>
        <w:tc>
          <w:tcPr>
            <w:tcW w:w="0" w:type="auto"/>
            <w:vAlign w:val="center"/>
            <w:hideMark/>
          </w:tcPr>
          <w:p w:rsidR="00000000" w:rsidRDefault="00BE60E9">
            <w:pPr>
              <w:spacing w:after="100"/>
              <w:rPr>
                <w:rFonts w:eastAsia="Times New Roman"/>
                <w:sz w:val="20"/>
                <w:szCs w:val="20"/>
              </w:rPr>
            </w:pP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Net losses on commodity derivative instruments not associated with current-period transactions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Revenues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vAlign w:val="center"/>
            <w:hideMark/>
          </w:tcPr>
          <w:p w:rsidR="00000000" w:rsidRDefault="00BE60E9">
            <w:pPr>
              <w:spacing w:after="100"/>
              <w:jc w:val="right"/>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Net gains on commodity derivative instruments not associated with current-period transactions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 xml:space="preserve">Cost of sales </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59 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226 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44 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vAlign w:val="center"/>
            <w:hideMark/>
          </w:tcPr>
          <w:p w:rsidR="00000000" w:rsidRDefault="00BE60E9">
            <w:pPr>
              <w:spacing w:after="100"/>
              <w:jc w:val="right"/>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Unrealized losses on foreign currency derivative instruments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Other non-operating income, net</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vAlign w:val="center"/>
            <w:hideMark/>
          </w:tcPr>
          <w:p w:rsidR="00000000" w:rsidRDefault="00BE60E9">
            <w:pPr>
              <w:spacing w:after="100"/>
              <w:jc w:val="right"/>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Business transformation expenses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Operating and administrative expenses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(11)</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(6)</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vAlign w:val="center"/>
            <w:hideMark/>
          </w:tcPr>
          <w:p w:rsidR="00000000" w:rsidRDefault="00BE60E9">
            <w:pPr>
              <w:spacing w:after="100"/>
              <w:jc w:val="right"/>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r>
      <w:tr w:rsidR="00000000">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r>
      <w:tr w:rsidR="00000000">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r>
      <w:tr w:rsidR="00000000">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Impairments associated with certain equity method investments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Loss from equity investees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(93)</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vAlign w:val="center"/>
            <w:hideMark/>
          </w:tcPr>
          <w:p w:rsidR="00000000" w:rsidRDefault="00BE60E9">
            <w:pPr>
              <w:spacing w:after="100"/>
              <w:jc w:val="right"/>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r>
      <w:tr w:rsidR="00000000">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r>
    </w:tbl>
    <w:p w:rsidR="00000000" w:rsidRDefault="00BE60E9">
      <w:pPr>
        <w:jc w:val="center"/>
        <w:divId w:val="89860087"/>
        <w:rPr>
          <w:rFonts w:eastAsia="Times New Roman"/>
        </w:rPr>
      </w:pPr>
      <w:r>
        <w:rPr>
          <w:rFonts w:eastAsia="Times New Roman"/>
          <w:color w:val="000000"/>
          <w:sz w:val="20"/>
          <w:szCs w:val="20"/>
        </w:rPr>
        <w:t>32</w:t>
      </w:r>
    </w:p>
    <w:p w:rsidR="00000000" w:rsidRDefault="00BE60E9">
      <w:pPr>
        <w:rPr>
          <w:rFonts w:eastAsia="Times New Roman"/>
        </w:rPr>
      </w:pPr>
      <w:r>
        <w:rPr>
          <w:rFonts w:eastAsia="Times New Roman"/>
        </w:rPr>
        <w:pict>
          <v:rect id="_x0000_i1058" style="width:0;height:1.5pt" o:hralign="center" o:hrstd="t" o:hr="t" fillcolor="#a0a0a0" stroked="f"/>
        </w:pict>
      </w:r>
    </w:p>
    <w:p w:rsidR="00000000" w:rsidRDefault="00BE60E9">
      <w:pPr>
        <w:divId w:val="1802916165"/>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1319189434"/>
        <w:rPr>
          <w:rFonts w:eastAsia="Times New Roman"/>
        </w:rPr>
      </w:pPr>
      <w:r>
        <w:rPr>
          <w:rFonts w:eastAsia="Times New Roman"/>
          <w:b/>
          <w:bCs/>
          <w:color w:val="000000"/>
          <w:sz w:val="20"/>
          <w:szCs w:val="20"/>
        </w:rPr>
        <w:t>UGI CORPORATION AND SUBSIDIARIES</w:t>
      </w:r>
    </w:p>
    <w:p w:rsidR="00000000" w:rsidRDefault="00BE60E9">
      <w:pPr>
        <w:jc w:val="center"/>
        <w:divId w:val="1809935259"/>
        <w:rPr>
          <w:rFonts w:eastAsia="Times New Roman"/>
        </w:rPr>
      </w:pPr>
      <w:r>
        <w:rPr>
          <w:rFonts w:eastAsia="Times New Roman"/>
          <w:b/>
          <w:bCs/>
          <w:color w:val="000000"/>
          <w:sz w:val="20"/>
          <w:szCs w:val="20"/>
          <w:u w:val="single"/>
        </w:rPr>
        <w:t>Notes</w:t>
      </w:r>
      <w:r>
        <w:rPr>
          <w:rFonts w:eastAsia="Times New Roman"/>
          <w:b/>
          <w:bCs/>
          <w:color w:val="000000"/>
          <w:sz w:val="20"/>
          <w:szCs w:val="20"/>
          <w:u w:val="single"/>
        </w:rPr>
        <w:t xml:space="preserve"> to Condensed Consolidated Financial Statements</w:t>
      </w:r>
    </w:p>
    <w:p w:rsidR="00000000" w:rsidRDefault="00BE60E9">
      <w:pPr>
        <w:jc w:val="center"/>
        <w:divId w:val="1319189434"/>
        <w:rPr>
          <w:rFonts w:eastAsia="Times New Roman"/>
        </w:rPr>
      </w:pPr>
      <w:r>
        <w:rPr>
          <w:rFonts w:eastAsia="Times New Roman"/>
          <w:color w:val="000000"/>
          <w:sz w:val="20"/>
          <w:szCs w:val="20"/>
        </w:rPr>
        <w:t>(unaudited)</w:t>
      </w:r>
    </w:p>
    <w:p w:rsidR="00000000" w:rsidRDefault="00BE60E9">
      <w:pPr>
        <w:jc w:val="center"/>
        <w:divId w:val="1319189434"/>
        <w:rPr>
          <w:rFonts w:eastAsia="Times New Roman"/>
        </w:rPr>
      </w:pPr>
      <w:r>
        <w:rPr>
          <w:rFonts w:eastAsia="Times New Roman"/>
          <w:color w:val="000000"/>
          <w:sz w:val="20"/>
          <w:szCs w:val="20"/>
        </w:rPr>
        <w:t>(Currency in millions, except per share amounts and where indicated otherwise)</w:t>
      </w:r>
    </w:p>
    <w:tbl>
      <w:tblPr>
        <w:tblW w:w="4824" w:type="pct"/>
        <w:tblCellMar>
          <w:top w:w="15" w:type="dxa"/>
          <w:left w:w="15" w:type="dxa"/>
          <w:bottom w:w="15" w:type="dxa"/>
          <w:right w:w="15" w:type="dxa"/>
        </w:tblCellMar>
        <w:tblLook w:val="04A0" w:firstRow="1" w:lastRow="0" w:firstColumn="1" w:lastColumn="0" w:noHBand="0" w:noVBand="1"/>
      </w:tblPr>
      <w:tblGrid>
        <w:gridCol w:w="40"/>
        <w:gridCol w:w="3324"/>
        <w:gridCol w:w="39"/>
        <w:gridCol w:w="36"/>
        <w:gridCol w:w="36"/>
        <w:gridCol w:w="36"/>
        <w:gridCol w:w="58"/>
        <w:gridCol w:w="1272"/>
        <w:gridCol w:w="38"/>
        <w:gridCol w:w="36"/>
        <w:gridCol w:w="36"/>
        <w:gridCol w:w="36"/>
        <w:gridCol w:w="111"/>
        <w:gridCol w:w="700"/>
        <w:gridCol w:w="36"/>
        <w:gridCol w:w="36"/>
        <w:gridCol w:w="36"/>
        <w:gridCol w:w="36"/>
        <w:gridCol w:w="111"/>
        <w:gridCol w:w="862"/>
        <w:gridCol w:w="36"/>
        <w:gridCol w:w="36"/>
        <w:gridCol w:w="36"/>
        <w:gridCol w:w="36"/>
        <w:gridCol w:w="111"/>
        <w:gridCol w:w="736"/>
        <w:gridCol w:w="36"/>
        <w:gridCol w:w="36"/>
        <w:gridCol w:w="36"/>
      </w:tblGrid>
      <w:tr w:rsidR="00000000">
        <w:trPr>
          <w:divId w:val="1644775568"/>
        </w:trPr>
        <w:tc>
          <w:tcPr>
            <w:tcW w:w="50" w:type="pct"/>
            <w:vAlign w:val="center"/>
            <w:hideMark/>
          </w:tcPr>
          <w:p w:rsidR="00000000" w:rsidRDefault="00BE60E9">
            <w:pPr>
              <w:jc w:val="center"/>
              <w:rPr>
                <w:rFonts w:eastAsia="Times New Roman"/>
              </w:rPr>
            </w:pPr>
          </w:p>
        </w:tc>
        <w:tc>
          <w:tcPr>
            <w:tcW w:w="2187"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7"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937"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7"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8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7"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8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7"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83"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r>
      <w:tr w:rsidR="00000000">
        <w:trPr>
          <w:divId w:val="1644775568"/>
        </w:trPr>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18"/>
                <w:szCs w:val="18"/>
              </w:rPr>
              <w:t>Nine Months Ended June 30, 2022</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Location on Income Statement</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AmeriGas Propane</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UGI International</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Midstream &amp; Marketing</w:t>
            </w:r>
          </w:p>
        </w:tc>
        <w:tc>
          <w:tcPr>
            <w:tcW w:w="0" w:type="auto"/>
            <w:vAlign w:val="center"/>
            <w:hideMark/>
          </w:tcPr>
          <w:p w:rsidR="00000000" w:rsidRDefault="00BE60E9">
            <w:pPr>
              <w:spacing w:after="100"/>
              <w:jc w:val="center"/>
              <w:rPr>
                <w:rFonts w:eastAsia="Times New Roman"/>
              </w:rPr>
            </w:pPr>
          </w:p>
        </w:tc>
        <w:tc>
          <w:tcPr>
            <w:tcW w:w="0" w:type="auto"/>
            <w:vAlign w:val="center"/>
            <w:hideMark/>
          </w:tcPr>
          <w:p w:rsidR="00000000" w:rsidRDefault="00BE60E9">
            <w:pPr>
              <w:spacing w:after="100"/>
              <w:rPr>
                <w:rFonts w:eastAsia="Times New Roman"/>
                <w:sz w:val="20"/>
                <w:szCs w:val="20"/>
              </w:rPr>
            </w:pPr>
          </w:p>
        </w:tc>
      </w:tr>
      <w:tr w:rsidR="00000000">
        <w:trPr>
          <w:divId w:val="164477556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Net gains (losses) on commodity derivative instruments not associated with current-period transactions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Revenues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vAlign w:val="center"/>
            <w:hideMark/>
          </w:tcPr>
          <w:p w:rsidR="00000000" w:rsidRDefault="00BE60E9">
            <w:pPr>
              <w:spacing w:after="100"/>
              <w:jc w:val="right"/>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r>
      <w:tr w:rsidR="00000000">
        <w:trPr>
          <w:divId w:val="1644775568"/>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Net (losses) gains on commodity derivative instruments not associated with current-period transactions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 xml:space="preserve">Cost of sales </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(83)</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458 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(29)</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vAlign w:val="center"/>
            <w:hideMark/>
          </w:tcPr>
          <w:p w:rsidR="00000000" w:rsidRDefault="00BE60E9">
            <w:pPr>
              <w:spacing w:after="100"/>
              <w:jc w:val="right"/>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r>
      <w:tr w:rsidR="00000000">
        <w:trPr>
          <w:divId w:val="1644775568"/>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Net gains on commodity derivative instruments not associated with current-period transactions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Other operating income, net</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vAlign w:val="center"/>
            <w:hideMark/>
          </w:tcPr>
          <w:p w:rsidR="00000000" w:rsidRDefault="00BE60E9">
            <w:pPr>
              <w:spacing w:after="100"/>
              <w:jc w:val="right"/>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r>
      <w:tr w:rsidR="00000000">
        <w:trPr>
          <w:divId w:val="1644775568"/>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Restructuring costs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Operating and administrative expenses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(15)</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(4)</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vAlign w:val="center"/>
            <w:hideMark/>
          </w:tcPr>
          <w:p w:rsidR="00000000" w:rsidRDefault="00BE60E9">
            <w:pPr>
              <w:spacing w:after="100"/>
              <w:jc w:val="right"/>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r>
      <w:tr w:rsidR="00000000">
        <w:trPr>
          <w:divId w:val="1644775568"/>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Loss on extinguishment of debt</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18"/>
                <w:szCs w:val="18"/>
              </w:rPr>
              <w:t>Loss on extinguishment of debt</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(11)</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vAlign w:val="center"/>
            <w:hideMark/>
          </w:tcPr>
          <w:p w:rsidR="00000000" w:rsidRDefault="00BE60E9">
            <w:pPr>
              <w:spacing w:after="100"/>
              <w:jc w:val="right"/>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r>
      <w:tr w:rsidR="00000000">
        <w:trPr>
          <w:divId w:val="1644775568"/>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Unrealized gains on foreign currency derivative instruments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Other non-operating income, net</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vAlign w:val="center"/>
            <w:hideMark/>
          </w:tcPr>
          <w:p w:rsidR="00000000" w:rsidRDefault="00BE60E9">
            <w:pPr>
              <w:spacing w:after="100"/>
              <w:jc w:val="right"/>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r>
      <w:tr w:rsidR="00000000">
        <w:trPr>
          <w:divId w:val="1644775568"/>
        </w:trPr>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r>
      <w:tr w:rsidR="00000000">
        <w:trPr>
          <w:divId w:val="1644775568"/>
        </w:trPr>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r>
      <w:tr w:rsidR="00000000">
        <w:trPr>
          <w:divId w:val="1644775568"/>
        </w:trPr>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r>
      <w:tr w:rsidR="00000000">
        <w:trPr>
          <w:divId w:val="1644775568"/>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Impairments associated with certain equity method investments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18"/>
                <w:szCs w:val="18"/>
              </w:rPr>
              <w:t>Loss from equity investees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(50)</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vAlign w:val="center"/>
            <w:hideMark/>
          </w:tcPr>
          <w:p w:rsidR="00000000" w:rsidRDefault="00BE60E9">
            <w:pPr>
              <w:spacing w:after="100"/>
              <w:jc w:val="right"/>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r>
    </w:tbl>
    <w:tbl>
      <w:tblPr>
        <w:tblW w:w="4824" w:type="pct"/>
        <w:tblCellMar>
          <w:top w:w="15" w:type="dxa"/>
          <w:left w:w="15" w:type="dxa"/>
          <w:bottom w:w="15" w:type="dxa"/>
          <w:right w:w="15" w:type="dxa"/>
        </w:tblCellMar>
        <w:tblLook w:val="04A0" w:firstRow="1" w:lastRow="0" w:firstColumn="1" w:lastColumn="0" w:noHBand="0" w:noVBand="1"/>
      </w:tblPr>
      <w:tblGrid>
        <w:gridCol w:w="144"/>
        <w:gridCol w:w="3504"/>
        <w:gridCol w:w="144"/>
        <w:gridCol w:w="144"/>
        <w:gridCol w:w="144"/>
        <w:gridCol w:w="144"/>
        <w:gridCol w:w="144"/>
        <w:gridCol w:w="1501"/>
        <w:gridCol w:w="144"/>
        <w:gridCol w:w="144"/>
        <w:gridCol w:w="144"/>
        <w:gridCol w:w="144"/>
        <w:gridCol w:w="144"/>
        <w:gridCol w:w="772"/>
        <w:gridCol w:w="144"/>
        <w:gridCol w:w="144"/>
        <w:gridCol w:w="144"/>
        <w:gridCol w:w="144"/>
        <w:gridCol w:w="144"/>
        <w:gridCol w:w="772"/>
        <w:gridCol w:w="144"/>
        <w:gridCol w:w="144"/>
        <w:gridCol w:w="144"/>
        <w:gridCol w:w="144"/>
        <w:gridCol w:w="144"/>
        <w:gridCol w:w="774"/>
        <w:gridCol w:w="144"/>
        <w:gridCol w:w="480"/>
        <w:gridCol w:w="1440"/>
      </w:tblGrid>
      <w:tr w:rsidR="00000000">
        <w:tc>
          <w:tcPr>
            <w:tcW w:w="50" w:type="pct"/>
            <w:vAlign w:val="center"/>
            <w:hideMark/>
          </w:tcPr>
          <w:p w:rsidR="00000000" w:rsidRDefault="00BE60E9">
            <w:pPr>
              <w:jc w:val="both"/>
              <w:rPr>
                <w:rFonts w:eastAsia="Times New Roman"/>
              </w:rPr>
            </w:pPr>
          </w:p>
        </w:tc>
        <w:tc>
          <w:tcPr>
            <w:tcW w:w="2187"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7"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937"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7"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8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7"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8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7"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83"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18"/>
                <w:szCs w:val="18"/>
              </w:rPr>
              <w:t>Nine Months Ended June 30, 2021</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Location on Income Statement</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AmeriGas Propane</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UGI International</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Midstream &amp; Marketing</w:t>
            </w:r>
          </w:p>
        </w:tc>
        <w:tc>
          <w:tcPr>
            <w:tcW w:w="0" w:type="auto"/>
            <w:vAlign w:val="center"/>
            <w:hideMark/>
          </w:tcPr>
          <w:p w:rsidR="00000000" w:rsidRDefault="00BE60E9">
            <w:pPr>
              <w:spacing w:after="100"/>
              <w:jc w:val="center"/>
              <w:rPr>
                <w:rFonts w:eastAsia="Times New Roman"/>
              </w:rPr>
            </w:pPr>
          </w:p>
        </w:tc>
        <w:tc>
          <w:tcPr>
            <w:tcW w:w="0" w:type="auto"/>
            <w:vAlign w:val="center"/>
            <w:hideMark/>
          </w:tcPr>
          <w:p w:rsidR="00000000" w:rsidRDefault="00BE60E9">
            <w:pPr>
              <w:spacing w:after="100"/>
              <w:rPr>
                <w:rFonts w:eastAsia="Times New Roman"/>
                <w:sz w:val="20"/>
                <w:szCs w:val="20"/>
              </w:rPr>
            </w:pP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Net losses on commodity derivative instruments not associated with current-period transactions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Revenues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vAlign w:val="center"/>
            <w:hideMark/>
          </w:tcPr>
          <w:p w:rsidR="00000000" w:rsidRDefault="00BE60E9">
            <w:pPr>
              <w:spacing w:after="100"/>
              <w:jc w:val="right"/>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Net gains on commodity derivative instruments not associated with current-period transactions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 xml:space="preserve">Cost of sales </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123 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380 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vAlign w:val="center"/>
            <w:hideMark/>
          </w:tcPr>
          <w:p w:rsidR="00000000" w:rsidRDefault="00BE60E9">
            <w:pPr>
              <w:spacing w:after="100"/>
              <w:jc w:val="right"/>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Unrealized losses on foreign currency derivative instruments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Other non-operating income, net</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(6)</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vAlign w:val="center"/>
            <w:hideMark/>
          </w:tcPr>
          <w:p w:rsidR="00000000" w:rsidRDefault="00BE60E9">
            <w:pPr>
              <w:spacing w:after="100"/>
              <w:jc w:val="right"/>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r>
      <w:tr w:rsidR="00000000">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Business transformation expenses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Operating and administrative expenses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(37)</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(12)</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vAlign w:val="center"/>
            <w:hideMark/>
          </w:tcPr>
          <w:p w:rsidR="00000000" w:rsidRDefault="00BE60E9">
            <w:pPr>
              <w:spacing w:after="100"/>
              <w:jc w:val="right"/>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Impairments associated with certain equity method investments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Loss from equity investees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18"/>
                <w:szCs w:val="18"/>
              </w:rPr>
              <w:t>(93)</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vAlign w:val="center"/>
            <w:hideMark/>
          </w:tcPr>
          <w:p w:rsidR="00000000" w:rsidRDefault="00BE60E9">
            <w:pPr>
              <w:spacing w:after="100"/>
              <w:jc w:val="right"/>
              <w:rPr>
                <w:rFonts w:eastAsia="Times New Roman"/>
                <w:sz w:val="20"/>
                <w:szCs w:val="20"/>
              </w:rPr>
            </w:pPr>
          </w:p>
        </w:tc>
        <w:tc>
          <w:tcPr>
            <w:tcW w:w="0" w:type="auto"/>
            <w:vAlign w:val="center"/>
            <w:hideMark/>
          </w:tcPr>
          <w:p w:rsidR="00000000" w:rsidRDefault="00BE60E9">
            <w:pPr>
              <w:spacing w:after="100"/>
              <w:rPr>
                <w:rFonts w:eastAsia="Times New Roman"/>
                <w:sz w:val="20"/>
                <w:szCs w:val="20"/>
              </w:rPr>
            </w:pPr>
          </w:p>
        </w:tc>
      </w:tr>
    </w:tbl>
    <w:p w:rsidR="00000000" w:rsidRDefault="00BE60E9">
      <w:pPr>
        <w:jc w:val="both"/>
        <w:divId w:val="804005597"/>
        <w:rPr>
          <w:rFonts w:eastAsia="Times New Roman"/>
        </w:rPr>
      </w:pPr>
    </w:p>
    <w:p w:rsidR="00000000" w:rsidRDefault="00BE60E9">
      <w:pPr>
        <w:ind w:hanging="360"/>
        <w:jc w:val="both"/>
        <w:divId w:val="215167770"/>
        <w:rPr>
          <w:rFonts w:eastAsia="Times New Roman"/>
        </w:rPr>
      </w:pPr>
      <w:r>
        <w:rPr>
          <w:rFonts w:eastAsia="Times New Roman"/>
          <w:color w:val="000000"/>
          <w:sz w:val="20"/>
          <w:szCs w:val="20"/>
        </w:rPr>
        <w:t>(b)Represents the elimination of intersegment trans</w:t>
      </w:r>
      <w:r>
        <w:rPr>
          <w:rFonts w:eastAsia="Times New Roman"/>
          <w:color w:val="000000"/>
          <w:sz w:val="20"/>
          <w:szCs w:val="20"/>
        </w:rPr>
        <w:t>actions principally among Midstream &amp; Marketing, Utilities and AmeriGas Propane.</w:t>
      </w:r>
    </w:p>
    <w:p w:rsidR="00000000" w:rsidRDefault="00BE60E9">
      <w:pPr>
        <w:jc w:val="both"/>
        <w:rPr>
          <w:rFonts w:eastAsia="Times New Roman"/>
        </w:rPr>
      </w:pPr>
    </w:p>
    <w:p w:rsidR="00000000" w:rsidRDefault="00BE60E9">
      <w:pPr>
        <w:divId w:val="56130870"/>
        <w:rPr>
          <w:rFonts w:eastAsia="Times New Roman"/>
        </w:rPr>
      </w:pPr>
      <w:r>
        <w:rPr>
          <w:rFonts w:eastAsia="Times New Roman"/>
          <w:b/>
          <w:bCs/>
          <w:color w:val="000000"/>
          <w:sz w:val="20"/>
          <w:szCs w:val="20"/>
          <w:u w:val="single"/>
        </w:rPr>
        <w:t>Note 15 — Business Transformation Initiatives</w:t>
      </w:r>
    </w:p>
    <w:p w:rsidR="00000000" w:rsidRDefault="00BE60E9">
      <w:pPr>
        <w:jc w:val="both"/>
        <w:rPr>
          <w:rFonts w:eastAsia="Times New Roman"/>
        </w:rPr>
      </w:pPr>
    </w:p>
    <w:p w:rsidR="00000000" w:rsidRDefault="00BE60E9">
      <w:pPr>
        <w:jc w:val="both"/>
        <w:rPr>
          <w:rFonts w:eastAsia="Times New Roman"/>
        </w:rPr>
      </w:pPr>
      <w:r>
        <w:rPr>
          <w:rFonts w:eastAsia="Times New Roman"/>
          <w:b/>
          <w:bCs/>
          <w:i/>
          <w:iCs/>
          <w:color w:val="000000"/>
          <w:sz w:val="20"/>
          <w:szCs w:val="20"/>
        </w:rPr>
        <w:t xml:space="preserve">AmeriGas and UGI International. </w:t>
      </w:r>
      <w:r>
        <w:rPr>
          <w:rFonts w:eastAsia="Times New Roman"/>
          <w:color w:val="000000"/>
          <w:sz w:val="20"/>
          <w:szCs w:val="20"/>
        </w:rPr>
        <w:t>Beginning in Fiscal 2019, we began executing on multi-year business transformation initiative</w:t>
      </w:r>
      <w:r>
        <w:rPr>
          <w:rFonts w:eastAsia="Times New Roman"/>
          <w:color w:val="000000"/>
          <w:sz w:val="20"/>
          <w:szCs w:val="20"/>
        </w:rPr>
        <w:t>s at our AmeriGas Propane and UGI International business segments. These initiatives are designed to improve long-term operational performance by, among other things, reducing costs and improving efficiency in the areas of sales and marketing, supply and l</w:t>
      </w:r>
      <w:r>
        <w:rPr>
          <w:rFonts w:eastAsia="Times New Roman"/>
          <w:color w:val="000000"/>
          <w:sz w:val="20"/>
          <w:szCs w:val="20"/>
        </w:rPr>
        <w:t xml:space="preserve">ogistics, operations, purchasing, and administration. In addition, these business transformation initiatives focus on enhancing the customer experience through, among other things, enhanced customer relationship management and an improved digital customer </w:t>
      </w:r>
      <w:r>
        <w:rPr>
          <w:rFonts w:eastAsia="Times New Roman"/>
          <w:color w:val="000000"/>
          <w:sz w:val="20"/>
          <w:szCs w:val="20"/>
        </w:rPr>
        <w:t>experience. During the three and nine months ended June 30, 2021, we incurred $17 and $49 of costs, respectively, principally comprising consulting, advisory, marketing and employee-related costs. These costs are primarily reflected in “Operating and admin</w:t>
      </w:r>
      <w:r>
        <w:rPr>
          <w:rFonts w:eastAsia="Times New Roman"/>
          <w:color w:val="000000"/>
          <w:sz w:val="20"/>
          <w:szCs w:val="20"/>
        </w:rPr>
        <w:t>istrative expenses” on the Condensed Consolidated Statements of Income. These previously announced business transformation initiatives are substantially complete.</w:t>
      </w:r>
    </w:p>
    <w:p w:rsidR="00000000" w:rsidRDefault="00BE60E9">
      <w:pPr>
        <w:jc w:val="both"/>
        <w:rPr>
          <w:rFonts w:eastAsia="Times New Roman"/>
        </w:rPr>
      </w:pPr>
    </w:p>
    <w:p w:rsidR="00000000" w:rsidRDefault="00BE60E9">
      <w:pPr>
        <w:jc w:val="both"/>
        <w:rPr>
          <w:rFonts w:eastAsia="Times New Roman"/>
        </w:rPr>
      </w:pPr>
      <w:r>
        <w:rPr>
          <w:rFonts w:eastAsia="Times New Roman"/>
          <w:b/>
          <w:bCs/>
          <w:i/>
          <w:iCs/>
          <w:color w:val="000000"/>
          <w:sz w:val="20"/>
          <w:szCs w:val="20"/>
        </w:rPr>
        <w:t>Corporate Services.</w:t>
      </w:r>
      <w:r>
        <w:rPr>
          <w:rFonts w:eastAsia="Times New Roman"/>
          <w:color w:val="000000"/>
          <w:sz w:val="20"/>
          <w:szCs w:val="20"/>
        </w:rPr>
        <w:t xml:space="preserve"> Beginning in Fiscal 2020, we initiated a transformation project focused</w:t>
      </w:r>
      <w:r>
        <w:rPr>
          <w:rFonts w:eastAsia="Times New Roman"/>
          <w:color w:val="000000"/>
          <w:sz w:val="20"/>
          <w:szCs w:val="20"/>
        </w:rPr>
        <w:t xml:space="preserve"> on our support functions including: finance, procurement, human resources and information technology. This initiative will standardize processes and activities across our global platform, while leveraging the use of best practices and efficiencies between</w:t>
      </w:r>
      <w:r>
        <w:rPr>
          <w:rFonts w:eastAsia="Times New Roman"/>
          <w:color w:val="000000"/>
          <w:sz w:val="20"/>
          <w:szCs w:val="20"/>
        </w:rPr>
        <w:t xml:space="preserve"> our businesses. In connection with this initiative, we recognized expenses of $2 and $4 during the three months ended June 30, 2022 and 2021, respectively, and $6 and $8 during the nine months ended June 30, 2022 and 2021, respectively. Amounts in connect</w:t>
      </w:r>
      <w:r>
        <w:rPr>
          <w:rFonts w:eastAsia="Times New Roman"/>
          <w:color w:val="000000"/>
          <w:sz w:val="20"/>
          <w:szCs w:val="20"/>
        </w:rPr>
        <w:t>ion with this initiative are reflected in “Operating and administrative expenses” on the Condensed Consolidated Statement of Income.</w:t>
      </w:r>
    </w:p>
    <w:p w:rsidR="00000000" w:rsidRDefault="00BE60E9">
      <w:pPr>
        <w:jc w:val="both"/>
        <w:rPr>
          <w:rFonts w:eastAsia="Times New Roman"/>
        </w:rPr>
      </w:pPr>
    </w:p>
    <w:p w:rsidR="00000000" w:rsidRDefault="00BE60E9">
      <w:pPr>
        <w:jc w:val="center"/>
        <w:divId w:val="784346586"/>
        <w:rPr>
          <w:rFonts w:eastAsia="Times New Roman"/>
        </w:rPr>
      </w:pPr>
      <w:r>
        <w:rPr>
          <w:rFonts w:eastAsia="Times New Roman"/>
          <w:color w:val="000000"/>
          <w:sz w:val="20"/>
          <w:szCs w:val="20"/>
        </w:rPr>
        <w:t>33</w:t>
      </w:r>
    </w:p>
    <w:p w:rsidR="00000000" w:rsidRDefault="00BE60E9">
      <w:pPr>
        <w:rPr>
          <w:rFonts w:eastAsia="Times New Roman"/>
        </w:rPr>
      </w:pPr>
      <w:r>
        <w:rPr>
          <w:rFonts w:eastAsia="Times New Roman"/>
        </w:rPr>
        <w:pict>
          <v:rect id="_x0000_i1059" style="width:0;height:1.5pt" o:hralign="center" o:hrstd="t" o:hr="t" fillcolor="#a0a0a0" stroked="f"/>
        </w:pict>
      </w:r>
    </w:p>
    <w:p w:rsidR="00000000" w:rsidRDefault="00BE60E9">
      <w:pPr>
        <w:divId w:val="962614359"/>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768162477"/>
        <w:rPr>
          <w:rFonts w:eastAsia="Times New Roman"/>
        </w:rPr>
      </w:pPr>
      <w:r>
        <w:rPr>
          <w:rFonts w:eastAsia="Times New Roman"/>
          <w:b/>
          <w:bCs/>
          <w:color w:val="000000"/>
          <w:sz w:val="20"/>
          <w:szCs w:val="20"/>
        </w:rPr>
        <w:t>UGI CO</w:t>
      </w:r>
      <w:r>
        <w:rPr>
          <w:rFonts w:eastAsia="Times New Roman"/>
          <w:b/>
          <w:bCs/>
          <w:color w:val="000000"/>
          <w:sz w:val="20"/>
          <w:szCs w:val="20"/>
        </w:rPr>
        <w:t>RPORATION AND SUBSIDIARIES</w:t>
      </w:r>
    </w:p>
    <w:p w:rsidR="00000000" w:rsidRDefault="00BE60E9">
      <w:pPr>
        <w:jc w:val="center"/>
        <w:divId w:val="944119881"/>
        <w:rPr>
          <w:rFonts w:eastAsia="Times New Roman"/>
        </w:rPr>
      </w:pPr>
      <w:r>
        <w:rPr>
          <w:rFonts w:eastAsia="Times New Roman"/>
          <w:b/>
          <w:bCs/>
          <w:color w:val="000000"/>
          <w:sz w:val="20"/>
          <w:szCs w:val="20"/>
          <w:u w:val="single"/>
        </w:rPr>
        <w:t>Notes to Condensed Consolidated Financial Statements</w:t>
      </w:r>
    </w:p>
    <w:p w:rsidR="00000000" w:rsidRDefault="00BE60E9">
      <w:pPr>
        <w:jc w:val="center"/>
        <w:divId w:val="768162477"/>
        <w:rPr>
          <w:rFonts w:eastAsia="Times New Roman"/>
        </w:rPr>
      </w:pPr>
      <w:r>
        <w:rPr>
          <w:rFonts w:eastAsia="Times New Roman"/>
          <w:color w:val="000000"/>
          <w:sz w:val="20"/>
          <w:szCs w:val="20"/>
        </w:rPr>
        <w:t>(unaudited)</w:t>
      </w:r>
    </w:p>
    <w:p w:rsidR="00000000" w:rsidRDefault="00BE60E9">
      <w:pPr>
        <w:jc w:val="center"/>
        <w:divId w:val="768162477"/>
        <w:rPr>
          <w:rFonts w:eastAsia="Times New Roman"/>
        </w:rPr>
      </w:pPr>
      <w:r>
        <w:rPr>
          <w:rFonts w:eastAsia="Times New Roman"/>
          <w:color w:val="000000"/>
          <w:sz w:val="20"/>
          <w:szCs w:val="20"/>
        </w:rPr>
        <w:t>(Currency in millions, except per share amounts and where indicated otherwise)</w:t>
      </w:r>
    </w:p>
    <w:p w:rsidR="00000000" w:rsidRDefault="00BE60E9">
      <w:pPr>
        <w:divId w:val="477380969"/>
        <w:rPr>
          <w:rFonts w:eastAsia="Times New Roman"/>
        </w:rPr>
      </w:pPr>
      <w:r>
        <w:rPr>
          <w:rFonts w:eastAsia="Times New Roman"/>
          <w:b/>
          <w:bCs/>
          <w:color w:val="000000"/>
          <w:sz w:val="20"/>
          <w:szCs w:val="20"/>
          <w:u w:val="single"/>
        </w:rPr>
        <w:t xml:space="preserve">Note 16 — </w:t>
      </w:r>
      <w:r>
        <w:rPr>
          <w:rFonts w:eastAsia="Times New Roman"/>
          <w:b/>
          <w:bCs/>
          <w:color w:val="000000"/>
          <w:sz w:val="20"/>
          <w:szCs w:val="20"/>
          <w:u w:val="single"/>
        </w:rPr>
        <w:t>Impairments Associated with Certain Equity Method Investments</w:t>
      </w:r>
    </w:p>
    <w:p w:rsidR="00000000" w:rsidRDefault="00BE60E9">
      <w:pPr>
        <w:divId w:val="25450172"/>
        <w:rPr>
          <w:rFonts w:eastAsia="Times New Roman"/>
        </w:rPr>
      </w:pPr>
    </w:p>
    <w:p w:rsidR="00000000" w:rsidRDefault="00BE60E9">
      <w:pPr>
        <w:jc w:val="both"/>
        <w:rPr>
          <w:rFonts w:eastAsia="Times New Roman"/>
        </w:rPr>
      </w:pPr>
      <w:r>
        <w:rPr>
          <w:rFonts w:eastAsia="Times New Roman"/>
          <w:b/>
          <w:bCs/>
          <w:i/>
          <w:iCs/>
          <w:color w:val="000000"/>
          <w:sz w:val="20"/>
          <w:szCs w:val="20"/>
        </w:rPr>
        <w:t xml:space="preserve">Pennant. </w:t>
      </w:r>
      <w:r>
        <w:rPr>
          <w:rFonts w:eastAsia="Times New Roman"/>
          <w:color w:val="000000"/>
          <w:sz w:val="20"/>
          <w:szCs w:val="20"/>
          <w:shd w:val="clear" w:color="auto" w:fill="FFFFFF"/>
        </w:rPr>
        <w:t>Energy Services holds a 47% membership interest in Pennant, a natural gas gathering system located in northeast Ohio and western Pennsylvan</w:t>
      </w:r>
      <w:r>
        <w:rPr>
          <w:rFonts w:eastAsia="Times New Roman"/>
          <w:color w:val="000000"/>
          <w:sz w:val="20"/>
          <w:szCs w:val="20"/>
        </w:rPr>
        <w:t>i</w:t>
      </w:r>
      <w:r>
        <w:rPr>
          <w:rFonts w:eastAsia="Times New Roman"/>
          <w:color w:val="000000"/>
          <w:sz w:val="20"/>
          <w:szCs w:val="20"/>
          <w:shd w:val="clear" w:color="auto" w:fill="FFFFFF"/>
        </w:rPr>
        <w:t xml:space="preserve">a. In connection with ongoing negotiations </w:t>
      </w:r>
      <w:r>
        <w:rPr>
          <w:rFonts w:eastAsia="Times New Roman"/>
          <w:color w:val="000000"/>
          <w:sz w:val="20"/>
          <w:szCs w:val="20"/>
          <w:shd w:val="clear" w:color="auto" w:fill="FFFFFF"/>
        </w:rPr>
        <w:t>related to the acquisition of a controlling financial interest in Pennant, as of June 30, 2022, the Compa</w:t>
      </w:r>
      <w:r>
        <w:rPr>
          <w:rFonts w:eastAsia="Times New Roman"/>
          <w:color w:val="000000"/>
          <w:sz w:val="20"/>
          <w:szCs w:val="20"/>
        </w:rPr>
        <w:t>ny recognized an other-than-temporary pre-tax impairment charge of $50 related to its current 47% membership interest, which was recorded in “Loss from</w:t>
      </w:r>
      <w:r>
        <w:rPr>
          <w:rFonts w:eastAsia="Times New Roman"/>
          <w:color w:val="000000"/>
          <w:sz w:val="20"/>
          <w:szCs w:val="20"/>
        </w:rPr>
        <w:t xml:space="preserve"> equity investees” in the Condensed Consolidated Statements of Income.</w:t>
      </w:r>
      <w:r>
        <w:rPr>
          <w:rFonts w:eastAsia="Times New Roman"/>
          <w:color w:val="000000"/>
          <w:sz w:val="20"/>
          <w:szCs w:val="20"/>
          <w:shd w:val="clear" w:color="auto" w:fill="FFFFFF"/>
        </w:rPr>
        <w:t xml:space="preserve"> Subject to agency approvals and other customary closing conditions, the Company expects to acquire a controlling financial interest in Pennant in the fourth quarter of Fiscal 2022.</w:t>
      </w:r>
    </w:p>
    <w:p w:rsidR="00000000" w:rsidRDefault="00BE60E9">
      <w:pPr>
        <w:jc w:val="both"/>
        <w:rPr>
          <w:rFonts w:eastAsia="Times New Roman"/>
        </w:rPr>
      </w:pPr>
    </w:p>
    <w:p w:rsidR="00000000" w:rsidRDefault="00BE60E9">
      <w:pPr>
        <w:jc w:val="both"/>
        <w:rPr>
          <w:rFonts w:eastAsia="Times New Roman"/>
        </w:rPr>
      </w:pPr>
      <w:r>
        <w:rPr>
          <w:rFonts w:eastAsia="Times New Roman"/>
          <w:b/>
          <w:bCs/>
          <w:i/>
          <w:iCs/>
          <w:color w:val="000000"/>
          <w:sz w:val="20"/>
          <w:szCs w:val="20"/>
        </w:rPr>
        <w:t>Pe</w:t>
      </w:r>
      <w:r>
        <w:rPr>
          <w:rFonts w:eastAsia="Times New Roman"/>
          <w:b/>
          <w:bCs/>
          <w:i/>
          <w:iCs/>
          <w:color w:val="000000"/>
          <w:sz w:val="20"/>
          <w:szCs w:val="20"/>
        </w:rPr>
        <w:t xml:space="preserve">nnEast. </w:t>
      </w:r>
      <w:r>
        <w:rPr>
          <w:rFonts w:eastAsia="Times New Roman"/>
          <w:color w:val="000000"/>
          <w:sz w:val="20"/>
          <w:szCs w:val="20"/>
        </w:rPr>
        <w:t>UGI PennEast, LLC holds a 20% membership interest in PennEast, a partnership formed to construct an approximate 120</w:t>
      </w:r>
      <w:r>
        <w:rPr>
          <w:rFonts w:eastAsia="Times New Roman"/>
          <w:color w:val="000000"/>
          <w:sz w:val="20"/>
          <w:szCs w:val="20"/>
        </w:rPr>
        <w:t xml:space="preserve">-mile natural gas pipeline from Luzerne County, Pennsylvania to the Trenton-Woodbury interconnection in New Jersey. Due to remaining legal and regulatory contingencies that existed as of June 30, 2021, the Company concluded that its investment in PennEast </w:t>
      </w:r>
      <w:r>
        <w:rPr>
          <w:rFonts w:eastAsia="Times New Roman"/>
          <w:color w:val="000000"/>
          <w:sz w:val="20"/>
          <w:szCs w:val="20"/>
        </w:rPr>
        <w:t xml:space="preserve">was impaired at that time. The Company recognized an other-than-temporary pre-tax impairment charge of $93 in June 2021, which was recorded in “Loss from equity investees” in the Condensed Consolidated Statements of Income. On September 27, 2021, PennEast </w:t>
      </w:r>
      <w:r>
        <w:rPr>
          <w:rFonts w:eastAsia="Times New Roman"/>
          <w:color w:val="000000"/>
          <w:sz w:val="20"/>
          <w:szCs w:val="20"/>
        </w:rPr>
        <w:t>ceased further development of the proposed pipeline project. The carrying values of our investment in PennEast at June 30, 2022, September 30, 2021, and June 30, 2021 were not material.</w:t>
      </w:r>
    </w:p>
    <w:p w:rsidR="00000000" w:rsidRDefault="00BE60E9">
      <w:pPr>
        <w:jc w:val="both"/>
        <w:rPr>
          <w:rFonts w:eastAsia="Times New Roman"/>
        </w:rPr>
      </w:pPr>
    </w:p>
    <w:p w:rsidR="00000000" w:rsidRDefault="00BE60E9">
      <w:pPr>
        <w:divId w:val="296380380"/>
        <w:rPr>
          <w:rFonts w:eastAsia="Times New Roman"/>
        </w:rPr>
      </w:pPr>
    </w:p>
    <w:p w:rsidR="00000000" w:rsidRDefault="00BE60E9">
      <w:pPr>
        <w:divId w:val="2118214628"/>
        <w:rPr>
          <w:rFonts w:eastAsia="Times New Roman"/>
        </w:rPr>
      </w:pPr>
      <w:r>
        <w:rPr>
          <w:rFonts w:eastAsia="Times New Roman"/>
          <w:b/>
          <w:bCs/>
          <w:color w:val="000000"/>
          <w:sz w:val="20"/>
          <w:szCs w:val="20"/>
          <w:u w:val="single"/>
        </w:rPr>
        <w:t>Note 17 — Impact of Global Pandemic</w:t>
      </w:r>
    </w:p>
    <w:p w:rsidR="00000000" w:rsidRDefault="00BE60E9">
      <w:pPr>
        <w:divId w:val="1328023822"/>
        <w:rPr>
          <w:rFonts w:eastAsia="Times New Roman"/>
        </w:rPr>
      </w:pPr>
    </w:p>
    <w:p w:rsidR="00000000" w:rsidRDefault="00BE60E9">
      <w:pPr>
        <w:jc w:val="both"/>
        <w:rPr>
          <w:rFonts w:eastAsia="Times New Roman"/>
        </w:rPr>
      </w:pPr>
      <w:r>
        <w:rPr>
          <w:rFonts w:eastAsia="Times New Roman"/>
          <w:color w:val="000000"/>
          <w:sz w:val="20"/>
          <w:szCs w:val="20"/>
        </w:rPr>
        <w:t>In March 2020, the WHO decla</w:t>
      </w:r>
      <w:r>
        <w:rPr>
          <w:rFonts w:eastAsia="Times New Roman"/>
          <w:color w:val="000000"/>
          <w:sz w:val="20"/>
          <w:szCs w:val="20"/>
        </w:rPr>
        <w:t>red a global pandemic attributable to the outbreak and continued spread of COVID-19 that has had a significant impact throughout the global economy. In connection with the mitigation and containment procedures recommended by the WHO, the CDC, and as impose</w:t>
      </w:r>
      <w:r>
        <w:rPr>
          <w:rFonts w:eastAsia="Times New Roman"/>
          <w:color w:val="000000"/>
          <w:sz w:val="20"/>
          <w:szCs w:val="20"/>
        </w:rPr>
        <w:t>d by federal, state, and local governmental authorities, including shelter-in-place orders, quarantines and similar restrictions, the Company has implemented a variety of procedures to protect its employees, third-party business partners, and customers wor</w:t>
      </w:r>
      <w:r>
        <w:rPr>
          <w:rFonts w:eastAsia="Times New Roman"/>
          <w:color w:val="000000"/>
          <w:sz w:val="20"/>
          <w:szCs w:val="20"/>
        </w:rPr>
        <w:t>ldwide. The Company continues to provide essential products and services to its global customers in a safe and reliable manner, and will continue to do so in compliance with mandated restrictions presented by each of the markets it serves. The Company cont</w:t>
      </w:r>
      <w:r>
        <w:rPr>
          <w:rFonts w:eastAsia="Times New Roman"/>
          <w:color w:val="000000"/>
          <w:sz w:val="20"/>
          <w:szCs w:val="20"/>
        </w:rPr>
        <w:t>inues to evaluate and react to the effects of a prolonged disruption and the potential of continued impact on its results of operations. These items may include, but are not limited to: the financial condition of its customers; decreased availability and d</w:t>
      </w:r>
      <w:r>
        <w:rPr>
          <w:rFonts w:eastAsia="Times New Roman"/>
          <w:color w:val="000000"/>
          <w:sz w:val="20"/>
          <w:szCs w:val="20"/>
        </w:rPr>
        <w:t>emand for its products and services; realization of accounts receivable; impairment considerations related to certain current assets, long-lived assets and goodwill; delays related to current and future projects; commodity price volatility and supply chain</w:t>
      </w:r>
      <w:r>
        <w:rPr>
          <w:rFonts w:eastAsia="Times New Roman"/>
          <w:color w:val="000000"/>
          <w:sz w:val="20"/>
          <w:szCs w:val="20"/>
        </w:rPr>
        <w:t xml:space="preserve"> constraints; and the effects of government stimulus efforts including tax legislation in response to COVID-19. The Company cannot predict the duration or magnitude of the pandemic and the total effects on its business, financial position, results of opera</w:t>
      </w:r>
      <w:r>
        <w:rPr>
          <w:rFonts w:eastAsia="Times New Roman"/>
          <w:color w:val="000000"/>
          <w:sz w:val="20"/>
          <w:szCs w:val="20"/>
        </w:rPr>
        <w:t>tions, liquidity or cash flows at this time.</w:t>
      </w:r>
    </w:p>
    <w:p w:rsidR="00000000" w:rsidRDefault="00BE60E9">
      <w:pPr>
        <w:jc w:val="both"/>
        <w:rPr>
          <w:rFonts w:eastAsia="Times New Roman"/>
        </w:rPr>
      </w:pPr>
    </w:p>
    <w:p w:rsidR="00000000" w:rsidRDefault="00BE60E9">
      <w:pPr>
        <w:jc w:val="center"/>
        <w:divId w:val="2006587138"/>
        <w:rPr>
          <w:rFonts w:eastAsia="Times New Roman"/>
        </w:rPr>
      </w:pPr>
      <w:r>
        <w:rPr>
          <w:rFonts w:eastAsia="Times New Roman"/>
          <w:color w:val="000000"/>
          <w:sz w:val="20"/>
          <w:szCs w:val="20"/>
        </w:rPr>
        <w:t>34</w:t>
      </w:r>
    </w:p>
    <w:p w:rsidR="00000000" w:rsidRDefault="00BE60E9">
      <w:pPr>
        <w:rPr>
          <w:rFonts w:eastAsia="Times New Roman"/>
        </w:rPr>
      </w:pPr>
      <w:r>
        <w:rPr>
          <w:rFonts w:eastAsia="Times New Roman"/>
        </w:rPr>
        <w:pict>
          <v:rect id="_x0000_i1060" style="width:0;height:1.5pt" o:hralign="center" o:hrstd="t" o:hr="t" fillcolor="#a0a0a0" stroked="f"/>
        </w:pict>
      </w:r>
    </w:p>
    <w:p w:rsidR="00000000" w:rsidRDefault="00BE60E9">
      <w:pPr>
        <w:divId w:val="1566061591"/>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1894073863"/>
        <w:rPr>
          <w:rFonts w:eastAsia="Times New Roman"/>
        </w:rPr>
      </w:pPr>
      <w:r>
        <w:rPr>
          <w:rFonts w:eastAsia="Times New Roman"/>
          <w:b/>
          <w:bCs/>
          <w:color w:val="000000"/>
          <w:sz w:val="20"/>
          <w:szCs w:val="20"/>
        </w:rPr>
        <w:t>UGI CORPORATION AND SUBSIDIARIES</w:t>
      </w:r>
    </w:p>
    <w:p w:rsidR="00000000" w:rsidRDefault="00BE60E9">
      <w:pPr>
        <w:jc w:val="both"/>
        <w:rPr>
          <w:rFonts w:eastAsia="Times New Roman"/>
        </w:rPr>
      </w:pPr>
      <w:r>
        <w:rPr>
          <w:rFonts w:eastAsia="Times New Roman"/>
          <w:b/>
          <w:bCs/>
          <w:color w:val="000000"/>
          <w:sz w:val="20"/>
          <w:szCs w:val="20"/>
        </w:rPr>
        <w:t>ITEM 2. MANAGEMENT’S DISCUSSION AND ANALYSIS OF FINANCIAL CON</w:t>
      </w:r>
      <w:r>
        <w:rPr>
          <w:rFonts w:eastAsia="Times New Roman"/>
          <w:b/>
          <w:bCs/>
          <w:color w:val="000000"/>
          <w:sz w:val="20"/>
          <w:szCs w:val="20"/>
        </w:rPr>
        <w:t>DITION AND RESULTS OF OPERATIONS</w:t>
      </w:r>
    </w:p>
    <w:p w:rsidR="00000000" w:rsidRDefault="00BE60E9">
      <w:pPr>
        <w:divId w:val="258219855"/>
        <w:rPr>
          <w:rFonts w:eastAsia="Times New Roman"/>
        </w:rPr>
      </w:pPr>
    </w:p>
    <w:p w:rsidR="00000000" w:rsidRDefault="00BE60E9">
      <w:pPr>
        <w:divId w:val="918291128"/>
        <w:rPr>
          <w:rFonts w:eastAsia="Times New Roman"/>
        </w:rPr>
      </w:pPr>
      <w:r>
        <w:rPr>
          <w:rFonts w:eastAsia="Times New Roman"/>
          <w:b/>
          <w:bCs/>
          <w:color w:val="000000"/>
          <w:sz w:val="20"/>
          <w:szCs w:val="20"/>
        </w:rPr>
        <w:t>Forward-Looking Statements</w:t>
      </w:r>
    </w:p>
    <w:p w:rsidR="00000000" w:rsidRDefault="00BE60E9">
      <w:pPr>
        <w:divId w:val="1573004285"/>
        <w:rPr>
          <w:rFonts w:eastAsia="Times New Roman"/>
        </w:rPr>
      </w:pPr>
    </w:p>
    <w:p w:rsidR="00000000" w:rsidRDefault="00BE60E9">
      <w:pPr>
        <w:jc w:val="both"/>
        <w:rPr>
          <w:rFonts w:eastAsia="Times New Roman"/>
        </w:rPr>
      </w:pPr>
      <w:r>
        <w:rPr>
          <w:rFonts w:eastAsia="Times New Roman"/>
          <w:color w:val="000000"/>
          <w:sz w:val="20"/>
          <w:szCs w:val="20"/>
        </w:rPr>
        <w:t xml:space="preserve">Information contained in this Quarterly Report on Form 10-Q may contain forward-looking statements within the meaning of Section 27A of the Securities Act of 1933, as amended, and Section 21E </w:t>
      </w:r>
      <w:r>
        <w:rPr>
          <w:rFonts w:eastAsia="Times New Roman"/>
          <w:color w:val="000000"/>
          <w:sz w:val="20"/>
          <w:szCs w:val="20"/>
        </w:rPr>
        <w:t>of the Exchange Act. Such statements use forward-looking words such as “believe,” “plan,” “anticipate,” “continue,” “estimate,” “expect,” “may,” or other similar words. These statements discuss plans, strategies, events or developments that we expect or an</w:t>
      </w:r>
      <w:r>
        <w:rPr>
          <w:rFonts w:eastAsia="Times New Roman"/>
          <w:color w:val="000000"/>
          <w:sz w:val="20"/>
          <w:szCs w:val="20"/>
        </w:rPr>
        <w:t>ticipate will or may occur in the future.</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 xml:space="preserve">A forward-looking statement may include a statement of the assumptions or bases underlying the forward-looking statement. We believe that we have chosen these assumptions or bases in good faith and that they are </w:t>
      </w:r>
      <w:r>
        <w:rPr>
          <w:rFonts w:eastAsia="Times New Roman"/>
          <w:color w:val="000000"/>
          <w:sz w:val="20"/>
          <w:szCs w:val="20"/>
        </w:rPr>
        <w:t xml:space="preserve">reasonable. However, we caution you that actual results almost always vary from assumed facts or bases, and the differences between actual results and assumed facts or bases can be material, depending on the circumstances. When considering forward-looking </w:t>
      </w:r>
      <w:r>
        <w:rPr>
          <w:rFonts w:eastAsia="Times New Roman"/>
          <w:color w:val="000000"/>
          <w:sz w:val="20"/>
          <w:szCs w:val="20"/>
        </w:rPr>
        <w:t>statements, you should keep in mind the following important factors that could affect our future results and could cause those results to differ materially from those expressed in our forward-looking statements: (1) weather conditions, including increasing</w:t>
      </w:r>
      <w:r>
        <w:rPr>
          <w:rFonts w:eastAsia="Times New Roman"/>
          <w:color w:val="000000"/>
          <w:sz w:val="20"/>
          <w:szCs w:val="20"/>
        </w:rPr>
        <w:t>ly uncertain weather patterns due to climate change, resulting in reduced demand, and the seasonal nature of our business; (2) cost volatility and availability of propane and other LPG, electricity, and natural gas, as well as the availability of LPG cylin</w:t>
      </w:r>
      <w:r>
        <w:rPr>
          <w:rFonts w:eastAsia="Times New Roman"/>
          <w:color w:val="000000"/>
          <w:sz w:val="20"/>
          <w:szCs w:val="20"/>
        </w:rPr>
        <w:t>ders, and the capacity to transport product to our customers; (3) changes in domestic and foreign laws and regulations, including safety, tax, consumer protection, data privacy, accounting, and environmental matters, such as regulatory responses to climate</w:t>
      </w:r>
      <w:r>
        <w:rPr>
          <w:rFonts w:eastAsia="Times New Roman"/>
          <w:color w:val="000000"/>
          <w:sz w:val="20"/>
          <w:szCs w:val="20"/>
        </w:rPr>
        <w:t xml:space="preserve"> change; (4) inability to timely recover costs through utility rate proceedings; (5) the impact of pending and future legal or regulatory proceedings, inquiries or investigations; (6) competitive pressures from the same and alternative energy sources; (7) </w:t>
      </w:r>
      <w:r>
        <w:rPr>
          <w:rFonts w:eastAsia="Times New Roman"/>
          <w:color w:val="000000"/>
          <w:sz w:val="20"/>
          <w:szCs w:val="20"/>
        </w:rPr>
        <w:t>failure to acquire new customers or retain current customers thereby reducing or limiting any increase in revenues; (8) liability for environmental claims; (9) increased customer conservation measures due to high energy prices and improvements in energy ef</w:t>
      </w:r>
      <w:r>
        <w:rPr>
          <w:rFonts w:eastAsia="Times New Roman"/>
          <w:color w:val="000000"/>
          <w:sz w:val="20"/>
          <w:szCs w:val="20"/>
        </w:rPr>
        <w:t>ficiency and technology resulting in reduced demand; (10) adverse labor relations and our ability to address existing or potential workforce shortages; (11) customer, counterparty, supplier, or vendor defaults; (12) liability for uninsured claims and for c</w:t>
      </w:r>
      <w:r>
        <w:rPr>
          <w:rFonts w:eastAsia="Times New Roman"/>
          <w:color w:val="000000"/>
          <w:sz w:val="20"/>
          <w:szCs w:val="20"/>
        </w:rPr>
        <w:t>laims in excess of insurance coverage, including those for personal injury and property damage arising from explosions, terrorism, natural disasters, pandemics and other catastrophic events that may result from operating hazards and risks incidental to gen</w:t>
      </w:r>
      <w:r>
        <w:rPr>
          <w:rFonts w:eastAsia="Times New Roman"/>
          <w:color w:val="000000"/>
          <w:sz w:val="20"/>
          <w:szCs w:val="20"/>
        </w:rPr>
        <w:t>erating and distributing electricity and transporting, storing and distributing natural gas in all forms; (13) transmission or distribution system service interruptions; (14) political, regulatory and economic conditions in the United States, Europe and ot</w:t>
      </w:r>
      <w:r>
        <w:rPr>
          <w:rFonts w:eastAsia="Times New Roman"/>
          <w:color w:val="000000"/>
          <w:sz w:val="20"/>
          <w:szCs w:val="20"/>
        </w:rPr>
        <w:t xml:space="preserve">her foreign countries, including uncertainties related to the military conflict between Russia and Ukraine, and foreign currency exchange rate fluctuations, particularly the euro; (15) capital market conditions, including reduced access to capital markets </w:t>
      </w:r>
      <w:r>
        <w:rPr>
          <w:rFonts w:eastAsia="Times New Roman"/>
          <w:color w:val="000000"/>
          <w:sz w:val="20"/>
          <w:szCs w:val="20"/>
        </w:rPr>
        <w:t>and interest rate fluctuations; (16) changes in commodity market prices resulting in significantly higher cash collateral requirements; (17) reduced distributions from subsidiaries impacting the ability to pay dividends; (18) changes in Marcellus and Utica</w:t>
      </w:r>
      <w:r>
        <w:rPr>
          <w:rFonts w:eastAsia="Times New Roman"/>
          <w:color w:val="000000"/>
          <w:sz w:val="20"/>
          <w:szCs w:val="20"/>
        </w:rPr>
        <w:t xml:space="preserve"> Shale gas production; (19) the availability, timing and success of our acquisitions, commercial initiatives and investments to grow our businesses; (20) our ability to successfully integrate acquired businesses and achieve anticipated synergies; (21) the </w:t>
      </w:r>
      <w:r>
        <w:rPr>
          <w:rFonts w:eastAsia="Times New Roman"/>
          <w:color w:val="000000"/>
          <w:sz w:val="20"/>
          <w:szCs w:val="20"/>
        </w:rPr>
        <w:t>interruption, disruption, failure or malfunction of our information technology systems, and those of our third-party vendors or service providers, including due to cyber attack; (22) the inability to complete pending or future energy infrastructure project</w:t>
      </w:r>
      <w:r>
        <w:rPr>
          <w:rFonts w:eastAsia="Times New Roman"/>
          <w:color w:val="000000"/>
          <w:sz w:val="20"/>
          <w:szCs w:val="20"/>
        </w:rPr>
        <w:t xml:space="preserve">s; (23) our ability to achieve the operational benefits and cost efficiencies expected from the completion of pending and future business transformation initiatives, including the impact of customer service disruptions resulting in potential customer loss </w:t>
      </w:r>
      <w:r>
        <w:rPr>
          <w:rFonts w:eastAsia="Times New Roman"/>
          <w:color w:val="000000"/>
          <w:sz w:val="20"/>
          <w:szCs w:val="20"/>
        </w:rPr>
        <w:t>due to the transformation activities; (24) uncertainties related to a global pandemic, including the duration and/or impact of the COVID-19 pandemic; (25) the impact of proposed or future tax legislation, including the potential reversal of existing tax le</w:t>
      </w:r>
      <w:r>
        <w:rPr>
          <w:rFonts w:eastAsia="Times New Roman"/>
          <w:color w:val="000000"/>
          <w:sz w:val="20"/>
          <w:szCs w:val="20"/>
        </w:rPr>
        <w:t>gislation that is beneficial to us; and (26) our ability to overcome supply chain issues that may result in delays or shortages in, as well as increased costs of, equipment, materials or other resources that are critical to our business operations.</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These</w:t>
      </w:r>
      <w:r>
        <w:rPr>
          <w:rFonts w:eastAsia="Times New Roman"/>
          <w:color w:val="000000"/>
          <w:sz w:val="20"/>
          <w:szCs w:val="20"/>
        </w:rPr>
        <w:t xml:space="preserve"> factors, and those factors set forth in Item 1A. Risk Factors in the Company’s 2021 Annual Report and the Quarterly Report on Form 10-Q for the fiscal quarter ended March 31, 2022, are not necessarily all of the important factors that could cause actual r</w:t>
      </w:r>
      <w:r>
        <w:rPr>
          <w:rFonts w:eastAsia="Times New Roman"/>
          <w:color w:val="000000"/>
          <w:sz w:val="20"/>
          <w:szCs w:val="20"/>
        </w:rPr>
        <w:t xml:space="preserve">esults to differ materially from those expressed in any of our forward-looking statements. Other unknown or unpredictable factors could also have material adverse effects on future results. We undertake no obligation to update publicly any forward-looking </w:t>
      </w:r>
      <w:r>
        <w:rPr>
          <w:rFonts w:eastAsia="Times New Roman"/>
          <w:color w:val="000000"/>
          <w:sz w:val="20"/>
          <w:szCs w:val="20"/>
        </w:rPr>
        <w:t>statement whether as a result of new information or future events except as required by the federal securities laws.</w:t>
      </w:r>
    </w:p>
    <w:p w:rsidR="00000000" w:rsidRDefault="00BE60E9">
      <w:pPr>
        <w:jc w:val="both"/>
        <w:rPr>
          <w:rFonts w:eastAsia="Times New Roman"/>
        </w:rPr>
      </w:pPr>
    </w:p>
    <w:p w:rsidR="00000000" w:rsidRDefault="00BE60E9">
      <w:pPr>
        <w:jc w:val="center"/>
        <w:rPr>
          <w:rFonts w:eastAsia="Times New Roman"/>
        </w:rPr>
      </w:pPr>
      <w:r>
        <w:rPr>
          <w:rFonts w:eastAsia="Times New Roman"/>
          <w:b/>
          <w:bCs/>
          <w:color w:val="000000"/>
          <w:sz w:val="20"/>
          <w:szCs w:val="20"/>
          <w:u w:val="single"/>
        </w:rPr>
        <w:t>ANALYSIS OF RESULTS OF OPERATIONS</w:t>
      </w:r>
    </w:p>
    <w:p w:rsidR="00000000" w:rsidRDefault="00BE60E9">
      <w:pPr>
        <w:jc w:val="center"/>
        <w:rPr>
          <w:rFonts w:eastAsia="Times New Roman"/>
        </w:rPr>
      </w:pPr>
    </w:p>
    <w:p w:rsidR="00000000" w:rsidRDefault="00BE60E9">
      <w:pPr>
        <w:jc w:val="both"/>
        <w:rPr>
          <w:rFonts w:eastAsia="Times New Roman"/>
        </w:rPr>
      </w:pPr>
      <w:r>
        <w:rPr>
          <w:rFonts w:eastAsia="Times New Roman"/>
          <w:color w:val="000000"/>
          <w:sz w:val="20"/>
          <w:szCs w:val="20"/>
        </w:rPr>
        <w:t>The following analyses compare the Company’</w:t>
      </w:r>
      <w:r>
        <w:rPr>
          <w:rFonts w:eastAsia="Times New Roman"/>
          <w:color w:val="000000"/>
          <w:sz w:val="20"/>
          <w:szCs w:val="20"/>
        </w:rPr>
        <w:t>s results of operations for the 2022 three-month period with the 2021 three-month period and the 2022 nine-month period with the 2021 nine-month period. Our analysis of results of operations should be read in conjunction with the segment information includ</w:t>
      </w:r>
      <w:r>
        <w:rPr>
          <w:rFonts w:eastAsia="Times New Roman"/>
          <w:color w:val="000000"/>
          <w:sz w:val="20"/>
          <w:szCs w:val="20"/>
        </w:rPr>
        <w:t xml:space="preserve">ed in Note 14 to Condensed Consolidated Financial Statements. </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Because most of our businesses sell or distribute energy products used in large part for heating purposes, our results are significantly influenced by temperatures in our service territories,</w:t>
      </w:r>
      <w:r>
        <w:rPr>
          <w:rFonts w:eastAsia="Times New Roman"/>
          <w:color w:val="000000"/>
          <w:sz w:val="20"/>
          <w:szCs w:val="20"/>
        </w:rPr>
        <w:t xml:space="preserve"> particularly during the heating-season months of October through March. As a result, our operating results, excluding the effects of gains and losses on derivative instruments not </w:t>
      </w:r>
    </w:p>
    <w:p w:rsidR="00000000" w:rsidRDefault="00BE60E9">
      <w:pPr>
        <w:jc w:val="center"/>
        <w:divId w:val="700519177"/>
        <w:rPr>
          <w:rFonts w:eastAsia="Times New Roman"/>
        </w:rPr>
      </w:pPr>
      <w:r>
        <w:rPr>
          <w:rFonts w:eastAsia="Times New Roman"/>
          <w:color w:val="000000"/>
          <w:sz w:val="20"/>
          <w:szCs w:val="20"/>
        </w:rPr>
        <w:t>35</w:t>
      </w:r>
    </w:p>
    <w:p w:rsidR="00000000" w:rsidRDefault="00BE60E9">
      <w:pPr>
        <w:rPr>
          <w:rFonts w:eastAsia="Times New Roman"/>
        </w:rPr>
      </w:pPr>
      <w:r>
        <w:rPr>
          <w:rFonts w:eastAsia="Times New Roman"/>
        </w:rPr>
        <w:pict>
          <v:rect id="_x0000_i1061" style="width:0;height:1.5pt" o:hralign="center" o:hrstd="t" o:hr="t" fillcolor="#a0a0a0" stroked="f"/>
        </w:pict>
      </w:r>
    </w:p>
    <w:p w:rsidR="00000000" w:rsidRDefault="00BE60E9">
      <w:pPr>
        <w:divId w:val="1965041767"/>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2051680437"/>
        <w:rPr>
          <w:rFonts w:eastAsia="Times New Roman"/>
        </w:rPr>
      </w:pPr>
      <w:r>
        <w:rPr>
          <w:rFonts w:eastAsia="Times New Roman"/>
          <w:b/>
          <w:bCs/>
          <w:color w:val="000000"/>
          <w:sz w:val="20"/>
          <w:szCs w:val="20"/>
        </w:rPr>
        <w:t>UGI CORPORATION AND SUBSIDIARIES</w:t>
      </w:r>
    </w:p>
    <w:p w:rsidR="00000000" w:rsidRDefault="00BE60E9">
      <w:pPr>
        <w:jc w:val="both"/>
        <w:rPr>
          <w:rFonts w:eastAsia="Times New Roman"/>
        </w:rPr>
      </w:pPr>
      <w:r>
        <w:rPr>
          <w:rFonts w:eastAsia="Times New Roman"/>
          <w:color w:val="000000"/>
          <w:sz w:val="20"/>
          <w:szCs w:val="20"/>
        </w:rPr>
        <w:t>associated with current-period transactions as further discussed below, are significantly higher in our first and second fiscal quarters.</w:t>
      </w:r>
    </w:p>
    <w:p w:rsidR="00000000" w:rsidRDefault="00BE60E9">
      <w:pPr>
        <w:divId w:val="714937912"/>
        <w:rPr>
          <w:rFonts w:eastAsia="Times New Roman"/>
        </w:rPr>
      </w:pPr>
    </w:p>
    <w:p w:rsidR="00000000" w:rsidRDefault="00BE60E9">
      <w:pPr>
        <w:jc w:val="both"/>
        <w:divId w:val="1747418905"/>
        <w:rPr>
          <w:rFonts w:eastAsia="Times New Roman"/>
        </w:rPr>
      </w:pPr>
      <w:r>
        <w:rPr>
          <w:rFonts w:eastAsia="Times New Roman"/>
          <w:b/>
          <w:bCs/>
          <w:color w:val="000000"/>
          <w:sz w:val="20"/>
          <w:szCs w:val="20"/>
        </w:rPr>
        <w:t>Non-GAAP Financial Measures</w:t>
      </w:r>
    </w:p>
    <w:p w:rsidR="00000000" w:rsidRDefault="00BE60E9">
      <w:pPr>
        <w:jc w:val="both"/>
        <w:divId w:val="126557447"/>
        <w:rPr>
          <w:rFonts w:eastAsia="Times New Roman"/>
        </w:rPr>
      </w:pPr>
      <w:r>
        <w:rPr>
          <w:rFonts w:eastAsia="Times New Roman"/>
          <w:color w:val="000000"/>
          <w:sz w:val="20"/>
          <w:szCs w:val="20"/>
        </w:rPr>
        <w:t>UGI managemen</w:t>
      </w:r>
      <w:r>
        <w:rPr>
          <w:rFonts w:eastAsia="Times New Roman"/>
          <w:color w:val="000000"/>
          <w:sz w:val="20"/>
          <w:szCs w:val="20"/>
        </w:rPr>
        <w:t>t uses “adjusted net income attributable to UGI Corporation” and “adjusted diluted earnings per share,” both of which are non-GAAP financial measures, when evaluating UGI’s overall performance. Management believes that these non-GAAP measures provide meani</w:t>
      </w:r>
      <w:r>
        <w:rPr>
          <w:rFonts w:eastAsia="Times New Roman"/>
          <w:color w:val="000000"/>
          <w:sz w:val="20"/>
          <w:szCs w:val="20"/>
        </w:rPr>
        <w:t>ngful information to investors about UGI’s performance because they eliminate gains and losses on commodity and certain foreign currency derivative instruments not associated with current-period transactions and other significant discrete items that can af</w:t>
      </w:r>
      <w:r>
        <w:rPr>
          <w:rFonts w:eastAsia="Times New Roman"/>
          <w:color w:val="000000"/>
          <w:sz w:val="20"/>
          <w:szCs w:val="20"/>
        </w:rPr>
        <w:t>fect the comparison of period-over-period results.</w:t>
      </w:r>
    </w:p>
    <w:p w:rsidR="00000000" w:rsidRDefault="00BE60E9">
      <w:pPr>
        <w:jc w:val="both"/>
        <w:divId w:val="676463819"/>
        <w:rPr>
          <w:rFonts w:eastAsia="Times New Roman"/>
        </w:rPr>
      </w:pPr>
      <w:r>
        <w:rPr>
          <w:rFonts w:eastAsia="Times New Roman"/>
          <w:color w:val="000000"/>
          <w:sz w:val="20"/>
          <w:szCs w:val="20"/>
        </w:rPr>
        <w:t>UGI does not designate its commodity and certain foreign currency derivative instruments as hedges under GAAP. Volatility in net income attributable to UGI Corporation can occur as a result of gains and lo</w:t>
      </w:r>
      <w:r>
        <w:rPr>
          <w:rFonts w:eastAsia="Times New Roman"/>
          <w:color w:val="000000"/>
          <w:sz w:val="20"/>
          <w:szCs w:val="20"/>
        </w:rPr>
        <w:t xml:space="preserve">sses on such derivative instruments not associated with current-period transactions. These gains and losses result principally from recording changes in unrealized gains and losses on unsettled commodity and certain foreign currency derivative instruments </w:t>
      </w:r>
      <w:r>
        <w:rPr>
          <w:rFonts w:eastAsia="Times New Roman"/>
          <w:color w:val="000000"/>
          <w:sz w:val="20"/>
          <w:szCs w:val="20"/>
        </w:rPr>
        <w:t>and, to a much lesser extent, certain realized gains and losses on settled commodity derivative instruments that are not associated with current-period transactions. However, because these derivative instruments economically hedge anticipated future purcha</w:t>
      </w:r>
      <w:r>
        <w:rPr>
          <w:rFonts w:eastAsia="Times New Roman"/>
          <w:color w:val="000000"/>
          <w:sz w:val="20"/>
          <w:szCs w:val="20"/>
        </w:rPr>
        <w:t>ses or sales of energy commodities, or in the case of certain foreign currency derivatives reduce volatility in anticipated future earnings associated with our foreign operations, we expect that such gains or losses will be largely offset by gains or losse</w:t>
      </w:r>
      <w:r>
        <w:rPr>
          <w:rFonts w:eastAsia="Times New Roman"/>
          <w:color w:val="000000"/>
          <w:sz w:val="20"/>
          <w:szCs w:val="20"/>
        </w:rPr>
        <w:t>s on anticipated future energy commodity transactions or mitigate volatility in anticipated future earnings. Non-GAAP financial measures are not in accordance with, or an alternative to, GAAP and should be considered in addition to, and not as a substitute</w:t>
      </w:r>
      <w:r>
        <w:rPr>
          <w:rFonts w:eastAsia="Times New Roman"/>
          <w:color w:val="000000"/>
          <w:sz w:val="20"/>
          <w:szCs w:val="20"/>
        </w:rPr>
        <w:t xml:space="preserve"> for, the comparable GAAP measures.</w:t>
      </w:r>
    </w:p>
    <w:p w:rsidR="00000000" w:rsidRDefault="00BE60E9">
      <w:pPr>
        <w:jc w:val="both"/>
        <w:divId w:val="1943151156"/>
        <w:rPr>
          <w:rFonts w:eastAsia="Times New Roman"/>
        </w:rPr>
      </w:pPr>
      <w:r>
        <w:rPr>
          <w:rFonts w:eastAsia="Times New Roman"/>
          <w:color w:val="000000"/>
          <w:sz w:val="20"/>
          <w:szCs w:val="20"/>
        </w:rPr>
        <w:t xml:space="preserve">The following tables reflect the adjustments referred to above and reconcile net income attributable to UGI Corporation, the most directly comparable GAAP measure, to adjusted net income attributable to UGI Corporation, </w:t>
      </w:r>
      <w:r>
        <w:rPr>
          <w:rFonts w:eastAsia="Times New Roman"/>
          <w:color w:val="000000"/>
          <w:sz w:val="20"/>
          <w:szCs w:val="20"/>
        </w:rPr>
        <w:t>and reconcile diluted earnings per share, the most directly comparable GAAP measure, to adjusted diluted earnings per share:</w:t>
      </w:r>
    </w:p>
    <w:tbl>
      <w:tblPr>
        <w:tblW w:w="5000" w:type="pct"/>
        <w:tblCellMar>
          <w:top w:w="15" w:type="dxa"/>
          <w:left w:w="15" w:type="dxa"/>
          <w:bottom w:w="15" w:type="dxa"/>
          <w:right w:w="15" w:type="dxa"/>
        </w:tblCellMar>
        <w:tblLook w:val="04A0" w:firstRow="1" w:lastRow="0" w:firstColumn="1" w:lastColumn="0" w:noHBand="0" w:noVBand="1"/>
      </w:tblPr>
      <w:tblGrid>
        <w:gridCol w:w="38"/>
        <w:gridCol w:w="3835"/>
        <w:gridCol w:w="37"/>
        <w:gridCol w:w="36"/>
        <w:gridCol w:w="36"/>
        <w:gridCol w:w="36"/>
        <w:gridCol w:w="120"/>
        <w:gridCol w:w="834"/>
        <w:gridCol w:w="36"/>
        <w:gridCol w:w="36"/>
        <w:gridCol w:w="36"/>
        <w:gridCol w:w="36"/>
        <w:gridCol w:w="120"/>
        <w:gridCol w:w="834"/>
        <w:gridCol w:w="36"/>
        <w:gridCol w:w="36"/>
        <w:gridCol w:w="36"/>
        <w:gridCol w:w="36"/>
        <w:gridCol w:w="120"/>
        <w:gridCol w:w="836"/>
        <w:gridCol w:w="36"/>
        <w:gridCol w:w="36"/>
        <w:gridCol w:w="36"/>
        <w:gridCol w:w="36"/>
        <w:gridCol w:w="120"/>
        <w:gridCol w:w="836"/>
        <w:gridCol w:w="36"/>
      </w:tblGrid>
      <w:tr w:rsidR="00000000">
        <w:trPr>
          <w:divId w:val="856309050"/>
        </w:trPr>
        <w:tc>
          <w:tcPr>
            <w:tcW w:w="50" w:type="pct"/>
            <w:vAlign w:val="center"/>
            <w:hideMark/>
          </w:tcPr>
          <w:p w:rsidR="00000000" w:rsidRDefault="00BE60E9">
            <w:pPr>
              <w:jc w:val="both"/>
              <w:rPr>
                <w:rFonts w:eastAsia="Times New Roman"/>
              </w:rPr>
            </w:pPr>
          </w:p>
        </w:tc>
        <w:tc>
          <w:tcPr>
            <w:tcW w:w="234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59"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59"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59"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59"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rPr>
          <w:divId w:val="856309050"/>
        </w:trPr>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20"/>
                <w:szCs w:val="20"/>
              </w:rPr>
              <w:t>Adjusted net income attributable to UGI Corporation</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Three Months Ended</w:t>
            </w:r>
            <w:r>
              <w:rPr>
                <w:rFonts w:eastAsia="Times New Roman"/>
                <w:color w:val="000000"/>
                <w:sz w:val="20"/>
                <w:szCs w:val="20"/>
              </w:rPr>
              <w:br/>
              <w:t>June 30,</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Nine Months Ended</w:t>
            </w:r>
            <w:r>
              <w:rPr>
                <w:rFonts w:eastAsia="Times New Roman"/>
                <w:color w:val="000000"/>
                <w:sz w:val="20"/>
                <w:szCs w:val="20"/>
              </w:rPr>
              <w:br/>
              <w:t>June 30,</w:t>
            </w:r>
          </w:p>
        </w:tc>
      </w:tr>
      <w:tr w:rsidR="00000000">
        <w:trPr>
          <w:divId w:val="856309050"/>
        </w:trPr>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2021</w:t>
            </w:r>
          </w:p>
        </w:tc>
      </w:tr>
      <w:tr w:rsidR="00000000">
        <w:trPr>
          <w:divId w:val="85630905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AmeriGas Propane</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856309050"/>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UGI International</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161 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222 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856309050"/>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Midstream &amp; Marketing</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132 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107 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856309050"/>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Utilities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216 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157 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856309050"/>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Corporate &amp; Other (a)</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(27)</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122 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185 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252 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856309050"/>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20"/>
                <w:szCs w:val="20"/>
              </w:rPr>
              <w:t>Net (loss) income attributable to UGI Corporation</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829 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942 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856309050"/>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divId w:val="675232758"/>
              <w:rPr>
                <w:rFonts w:eastAsia="Times New Roman"/>
              </w:rPr>
            </w:pPr>
            <w:r>
              <w:rPr>
                <w:rFonts w:eastAsia="Times New Roman"/>
                <w:color w:val="000000"/>
                <w:sz w:val="20"/>
                <w:szCs w:val="20"/>
              </w:rPr>
              <w:t>Net gains on commodity derivative instruments not associated with current-period transactions (net of tax of $5, $94, $98 and $147, respectively)</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(231)</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(255)</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(368)</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856309050"/>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divId w:val="1541820402"/>
              <w:rPr>
                <w:rFonts w:eastAsia="Times New Roman"/>
              </w:rPr>
            </w:pPr>
            <w:r>
              <w:rPr>
                <w:rFonts w:eastAsia="Times New Roman"/>
                <w:color w:val="000000"/>
                <w:sz w:val="20"/>
                <w:szCs w:val="20"/>
              </w:rPr>
              <w:t>Unrealized (gains) losses on foreign currency derivative instruments (net of tax of $4, $(1), $5, and $(2), respectively)</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856309050"/>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divId w:val="454644510"/>
              <w:rPr>
                <w:rFonts w:eastAsia="Times New Roman"/>
              </w:rPr>
            </w:pPr>
            <w:r>
              <w:rPr>
                <w:rFonts w:eastAsia="Times New Roman"/>
                <w:color w:val="000000"/>
                <w:sz w:val="20"/>
                <w:szCs w:val="20"/>
              </w:rPr>
              <w:t>Loss on extinguishment of debt (net of tax of $0, $0, $(3) and $0, respectively)</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856309050"/>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divId w:val="991103356"/>
              <w:rPr>
                <w:rFonts w:eastAsia="Times New Roman"/>
              </w:rPr>
            </w:pPr>
            <w:r>
              <w:rPr>
                <w:rFonts w:eastAsia="Times New Roman"/>
                <w:color w:val="000000"/>
                <w:sz w:val="20"/>
                <w:szCs w:val="20"/>
              </w:rPr>
              <w:t>Acquisition and integration expenses associated with the Mountaineer Acquisition (net of tax of $0, $0, $0 and $(1), respectively)</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856309050"/>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divId w:val="1981418875"/>
              <w:rPr>
                <w:rFonts w:eastAsia="Times New Roman"/>
              </w:rPr>
            </w:pPr>
            <w:r>
              <w:rPr>
                <w:rFonts w:eastAsia="Times New Roman"/>
                <w:color w:val="000000"/>
                <w:sz w:val="20"/>
                <w:szCs w:val="20"/>
              </w:rPr>
              <w:t>Business transformation expenses (net of tax of $(1), $(6), $(2) and $(15), respectively)</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856309050"/>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Impact of change in Italian tax law</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856309050"/>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divId w:val="1066954694"/>
              <w:rPr>
                <w:rFonts w:eastAsia="Times New Roman"/>
              </w:rPr>
            </w:pPr>
            <w:r>
              <w:rPr>
                <w:rFonts w:eastAsia="Times New Roman"/>
                <w:color w:val="000000"/>
                <w:sz w:val="20"/>
                <w:szCs w:val="20"/>
              </w:rPr>
              <w:t>Restructuring costs (net of tax of $(1), $0, $(6) and $0, respectively)</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856309050"/>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divId w:val="372073722"/>
              <w:rPr>
                <w:rFonts w:eastAsia="Times New Roman"/>
              </w:rPr>
            </w:pPr>
            <w:r>
              <w:rPr>
                <w:rFonts w:eastAsia="Times New Roman"/>
                <w:color w:val="000000"/>
                <w:sz w:val="20"/>
                <w:szCs w:val="20"/>
              </w:rPr>
              <w:t>Impairments associated with certain equity method investments (net of tax of $(14), $0, $(14), $0, respectively)</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93 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93 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856309050"/>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856309050"/>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Total adjustments (a) (b)</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(122)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(249)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856309050"/>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20"/>
                <w:szCs w:val="20"/>
              </w:rPr>
              <w:t>Adjusted net income attributable to UGI Corporation</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856309050"/>
          <w:trHeight w:val="100"/>
        </w:trPr>
        <w:tc>
          <w:tcPr>
            <w:tcW w:w="0" w:type="auto"/>
            <w:gridSpan w:val="3"/>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E60E9">
            <w:pPr>
              <w:spacing w:after="100"/>
              <w:rPr>
                <w:rFonts w:eastAsia="Times New Roman"/>
                <w:sz w:val="20"/>
                <w:szCs w:val="20"/>
              </w:rPr>
            </w:pPr>
          </w:p>
        </w:tc>
      </w:tr>
    </w:tbl>
    <w:p w:rsidR="00000000" w:rsidRDefault="00BE60E9">
      <w:pPr>
        <w:jc w:val="center"/>
        <w:divId w:val="1798453528"/>
        <w:rPr>
          <w:rFonts w:eastAsia="Times New Roman"/>
        </w:rPr>
      </w:pPr>
      <w:r>
        <w:rPr>
          <w:rFonts w:eastAsia="Times New Roman"/>
          <w:color w:val="000000"/>
          <w:sz w:val="20"/>
          <w:szCs w:val="20"/>
        </w:rPr>
        <w:t>36</w:t>
      </w:r>
    </w:p>
    <w:p w:rsidR="00000000" w:rsidRDefault="00BE60E9">
      <w:pPr>
        <w:rPr>
          <w:rFonts w:eastAsia="Times New Roman"/>
        </w:rPr>
      </w:pPr>
      <w:r>
        <w:rPr>
          <w:rFonts w:eastAsia="Times New Roman"/>
        </w:rPr>
        <w:pict>
          <v:rect id="_x0000_i1062" style="width:0;height:1.5pt" o:hralign="center" o:hrstd="t" o:hr="t" fillcolor="#a0a0a0" stroked="f"/>
        </w:pict>
      </w:r>
    </w:p>
    <w:p w:rsidR="00000000" w:rsidRDefault="00BE60E9">
      <w:pPr>
        <w:divId w:val="2053922532"/>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107235635"/>
        <w:rPr>
          <w:rFonts w:eastAsia="Times New Roman"/>
        </w:rPr>
      </w:pPr>
      <w:r>
        <w:rPr>
          <w:rFonts w:eastAsia="Times New Roman"/>
          <w:b/>
          <w:bCs/>
          <w:color w:val="000000"/>
          <w:sz w:val="20"/>
          <w:szCs w:val="20"/>
        </w:rPr>
        <w:t>UGI CORPORATION AND SUBSIDIARIES</w:t>
      </w:r>
    </w:p>
    <w:tbl>
      <w:tblPr>
        <w:tblW w:w="5000" w:type="pct"/>
        <w:tblCellMar>
          <w:top w:w="15" w:type="dxa"/>
          <w:left w:w="15" w:type="dxa"/>
          <w:bottom w:w="15" w:type="dxa"/>
          <w:right w:w="15" w:type="dxa"/>
        </w:tblCellMar>
        <w:tblLook w:val="04A0" w:firstRow="1" w:lastRow="0" w:firstColumn="1" w:lastColumn="0" w:noHBand="0" w:noVBand="1"/>
      </w:tblPr>
      <w:tblGrid>
        <w:gridCol w:w="40"/>
        <w:gridCol w:w="3833"/>
        <w:gridCol w:w="39"/>
        <w:gridCol w:w="36"/>
        <w:gridCol w:w="36"/>
        <w:gridCol w:w="36"/>
        <w:gridCol w:w="120"/>
        <w:gridCol w:w="834"/>
        <w:gridCol w:w="36"/>
        <w:gridCol w:w="36"/>
        <w:gridCol w:w="36"/>
        <w:gridCol w:w="36"/>
        <w:gridCol w:w="120"/>
        <w:gridCol w:w="834"/>
        <w:gridCol w:w="36"/>
        <w:gridCol w:w="36"/>
        <w:gridCol w:w="36"/>
        <w:gridCol w:w="36"/>
        <w:gridCol w:w="120"/>
        <w:gridCol w:w="834"/>
        <w:gridCol w:w="36"/>
        <w:gridCol w:w="36"/>
        <w:gridCol w:w="36"/>
        <w:gridCol w:w="36"/>
        <w:gridCol w:w="120"/>
        <w:gridCol w:w="836"/>
        <w:gridCol w:w="36"/>
      </w:tblGrid>
      <w:tr w:rsidR="00000000">
        <w:trPr>
          <w:divId w:val="1613440264"/>
        </w:trPr>
        <w:tc>
          <w:tcPr>
            <w:tcW w:w="50" w:type="pct"/>
            <w:vAlign w:val="center"/>
            <w:hideMark/>
          </w:tcPr>
          <w:p w:rsidR="00000000" w:rsidRDefault="00BE60E9">
            <w:pPr>
              <w:jc w:val="center"/>
              <w:rPr>
                <w:rFonts w:eastAsia="Times New Roman"/>
              </w:rPr>
            </w:pPr>
          </w:p>
        </w:tc>
        <w:tc>
          <w:tcPr>
            <w:tcW w:w="234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59"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59"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59"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59"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rPr>
          <w:divId w:val="1613440264"/>
          <w:trHeight w:val="300"/>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613440264"/>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Three Months Ended</w:t>
            </w:r>
            <w:r>
              <w:rPr>
                <w:rFonts w:eastAsia="Times New Roman"/>
                <w:color w:val="000000"/>
                <w:sz w:val="20"/>
                <w:szCs w:val="20"/>
              </w:rPr>
              <w:br/>
              <w:t>June 30,</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Nine Months Ended</w:t>
            </w:r>
            <w:r>
              <w:rPr>
                <w:rFonts w:eastAsia="Times New Roman"/>
                <w:color w:val="000000"/>
                <w:sz w:val="20"/>
                <w:szCs w:val="20"/>
              </w:rPr>
              <w:br/>
              <w:t>June 30,</w:t>
            </w:r>
          </w:p>
        </w:tc>
      </w:tr>
      <w:tr w:rsidR="00000000">
        <w:trPr>
          <w:divId w:val="1613440264"/>
        </w:trPr>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20"/>
                <w:szCs w:val="20"/>
              </w:rPr>
              <w:t>Adjusted diluted earnings per share</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2021</w:t>
            </w:r>
          </w:p>
        </w:tc>
      </w:tr>
      <w:tr w:rsidR="00000000">
        <w:trPr>
          <w:divId w:val="161344026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AmeriGas Propane</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613440264"/>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UGI International</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0.07 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0.15 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0.75 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1.06 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613440264"/>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Midstream &amp; Marketing</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0.11 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0.04 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0.61 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0.51 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613440264"/>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Utilities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0.08 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0.04 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0.75 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613440264"/>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Corporate &amp; Other (a)</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(0.12)</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0.58 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0.85 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1.19 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613440264"/>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20"/>
                <w:szCs w:val="20"/>
              </w:rPr>
              <w:t>(Loss) earnings per share - diluted (c)</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(0.03)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613440264"/>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Net gains on commodity derivative instruments not associated with current-period transactions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(0.06)</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(1.09)</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(1.18)</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(1.75)</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613440264"/>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Unrealized (gains) losses on foreign currency derivative instruments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(0.05)</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(0.06)</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0.03 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613440264"/>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Loss on extinguishment of debt</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0.03 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613440264"/>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Acquisition and integration expenses associated with the Mountaineer Acquisition</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0.01 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613440264"/>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Business transformation expenses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0.01 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0.07 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0.02 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0.20 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613440264"/>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Impact of change in Italian tax law</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(0.11)</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613440264"/>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Restructuring costs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0.02 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0.08 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613440264"/>
        </w:trPr>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Impairments associated with certain equity method investments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0.17 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0.44 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0.17 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0.44 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613440264"/>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613440264"/>
        </w:trPr>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Total adjustments (a)</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(0.58)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(0.94)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613440264"/>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divId w:val="900025131"/>
              <w:rPr>
                <w:rFonts w:eastAsia="Times New Roman"/>
              </w:rPr>
            </w:pPr>
            <w:r>
              <w:rPr>
                <w:rFonts w:eastAsia="Times New Roman"/>
                <w:b/>
                <w:bCs/>
                <w:color w:val="000000"/>
                <w:sz w:val="20"/>
                <w:szCs w:val="20"/>
              </w:rPr>
              <w:t>Adjusted earnings per share - diluted (c)</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bl>
    <w:p w:rsidR="00000000" w:rsidRDefault="00BE60E9">
      <w:pPr>
        <w:jc w:val="both"/>
        <w:rPr>
          <w:rFonts w:eastAsia="Times New Roman"/>
        </w:rPr>
      </w:pPr>
    </w:p>
    <w:p w:rsidR="00000000" w:rsidRDefault="00BE60E9">
      <w:pPr>
        <w:ind w:hanging="360"/>
        <w:jc w:val="both"/>
        <w:rPr>
          <w:rFonts w:eastAsia="Times New Roman"/>
        </w:rPr>
      </w:pPr>
      <w:r>
        <w:rPr>
          <w:rFonts w:eastAsia="Times New Roman"/>
          <w:color w:val="000000"/>
          <w:sz w:val="20"/>
          <w:szCs w:val="20"/>
        </w:rPr>
        <w:t xml:space="preserve">(a)Corporate &amp; Other includes certain adjustments made to </w:t>
      </w:r>
      <w:r>
        <w:rPr>
          <w:rFonts w:eastAsia="Times New Roman"/>
          <w:color w:val="000000"/>
          <w:sz w:val="20"/>
          <w:szCs w:val="20"/>
        </w:rPr>
        <w:t>our reporting segments in arriving at net income attributable to UGI Corporation. These adjustments have been excluded from the segment results to align with the measure used by our CODM in assessing segment performance and allocating resources. See Note 1</w:t>
      </w:r>
      <w:r>
        <w:rPr>
          <w:rFonts w:eastAsia="Times New Roman"/>
          <w:color w:val="000000"/>
          <w:sz w:val="20"/>
          <w:szCs w:val="20"/>
        </w:rPr>
        <w:t>4 to Condensed Consolidated Financial Statements for additional information related to these adjustments, as well as other items included within Corporate &amp; Other.</w:t>
      </w:r>
    </w:p>
    <w:p w:rsidR="00000000" w:rsidRDefault="00BE60E9">
      <w:pPr>
        <w:ind w:hanging="360"/>
        <w:jc w:val="both"/>
        <w:rPr>
          <w:rFonts w:eastAsia="Times New Roman"/>
        </w:rPr>
      </w:pPr>
      <w:r>
        <w:rPr>
          <w:rFonts w:eastAsia="Times New Roman"/>
          <w:color w:val="000000"/>
          <w:sz w:val="20"/>
          <w:szCs w:val="20"/>
        </w:rPr>
        <w:t>(b)</w:t>
      </w:r>
      <w:r>
        <w:rPr>
          <w:rFonts w:eastAsia="Times New Roman"/>
          <w:color w:val="000000"/>
          <w:sz w:val="20"/>
          <w:szCs w:val="20"/>
        </w:rPr>
        <w:t>Income taxes associated with pre-tax adjustments determined using statutory business unit tax rates.</w:t>
      </w:r>
    </w:p>
    <w:p w:rsidR="00000000" w:rsidRDefault="00BE60E9">
      <w:pPr>
        <w:ind w:hanging="360"/>
        <w:jc w:val="both"/>
        <w:rPr>
          <w:rFonts w:eastAsia="Times New Roman"/>
        </w:rPr>
      </w:pPr>
      <w:r>
        <w:rPr>
          <w:rFonts w:eastAsia="Times New Roman"/>
          <w:color w:val="000000"/>
          <w:sz w:val="20"/>
          <w:szCs w:val="20"/>
        </w:rPr>
        <w:t>(c)The loss per share for the three months ended June 30, 2022, was determined excluding the effect of 5.67 million dilutive shares as the impact of such s</w:t>
      </w:r>
      <w:r>
        <w:rPr>
          <w:rFonts w:eastAsia="Times New Roman"/>
          <w:color w:val="000000"/>
          <w:sz w:val="20"/>
          <w:szCs w:val="20"/>
        </w:rPr>
        <w:t>hares would have been antidilutive to the net loss for the period. Adjusted earnings per share for the three months ended June 30, 2022, was determined based upon fully diluted shares of 215.89 million.</w:t>
      </w:r>
    </w:p>
    <w:p w:rsidR="00000000" w:rsidRDefault="00BE60E9">
      <w:pPr>
        <w:jc w:val="both"/>
        <w:rPr>
          <w:rFonts w:eastAsia="Times New Roman"/>
        </w:rPr>
      </w:pPr>
    </w:p>
    <w:p w:rsidR="00000000" w:rsidRDefault="00BE60E9">
      <w:pPr>
        <w:divId w:val="1017735100"/>
        <w:rPr>
          <w:rFonts w:eastAsia="Times New Roman"/>
        </w:rPr>
      </w:pPr>
      <w:r>
        <w:rPr>
          <w:rFonts w:eastAsia="Times New Roman"/>
          <w:b/>
          <w:bCs/>
          <w:color w:val="000000"/>
          <w:sz w:val="20"/>
          <w:szCs w:val="20"/>
          <w:u w:val="single"/>
        </w:rPr>
        <w:t>EXECUTIVE OVERVIEW</w:t>
      </w:r>
    </w:p>
    <w:p w:rsidR="00000000" w:rsidRDefault="00BE60E9">
      <w:pPr>
        <w:jc w:val="both"/>
        <w:rPr>
          <w:rFonts w:eastAsia="Times New Roman"/>
        </w:rPr>
      </w:pPr>
    </w:p>
    <w:p w:rsidR="00000000" w:rsidRDefault="00BE60E9">
      <w:pPr>
        <w:jc w:val="both"/>
        <w:rPr>
          <w:rFonts w:eastAsia="Times New Roman"/>
        </w:rPr>
      </w:pPr>
      <w:r>
        <w:rPr>
          <w:rFonts w:eastAsia="Times New Roman"/>
          <w:b/>
          <w:bCs/>
          <w:color w:val="000000"/>
          <w:sz w:val="20"/>
          <w:szCs w:val="20"/>
          <w:u w:val="single"/>
        </w:rPr>
        <w:t>Recent Developments</w:t>
      </w:r>
    </w:p>
    <w:p w:rsidR="00000000" w:rsidRDefault="00BE60E9">
      <w:pPr>
        <w:jc w:val="both"/>
        <w:rPr>
          <w:rFonts w:eastAsia="Times New Roman"/>
        </w:rPr>
      </w:pPr>
    </w:p>
    <w:p w:rsidR="00000000" w:rsidRDefault="00BE60E9">
      <w:pPr>
        <w:jc w:val="both"/>
        <w:rPr>
          <w:rFonts w:eastAsia="Times New Roman"/>
        </w:rPr>
      </w:pPr>
      <w:r>
        <w:rPr>
          <w:rFonts w:eastAsia="Times New Roman"/>
          <w:b/>
          <w:bCs/>
          <w:i/>
          <w:iCs/>
          <w:color w:val="000000"/>
          <w:sz w:val="20"/>
          <w:szCs w:val="20"/>
        </w:rPr>
        <w:t>Global M</w:t>
      </w:r>
      <w:r>
        <w:rPr>
          <w:rFonts w:eastAsia="Times New Roman"/>
          <w:b/>
          <w:bCs/>
          <w:i/>
          <w:iCs/>
          <w:color w:val="000000"/>
          <w:sz w:val="20"/>
          <w:szCs w:val="20"/>
        </w:rPr>
        <w:t>acroeconomic Conditions.</w:t>
      </w:r>
      <w:r>
        <w:rPr>
          <w:rFonts w:eastAsia="Times New Roman"/>
          <w:color w:val="000000"/>
          <w:sz w:val="20"/>
          <w:szCs w:val="20"/>
        </w:rPr>
        <w:t xml:space="preserve"> </w:t>
      </w:r>
      <w:r>
        <w:rPr>
          <w:rFonts w:eastAsia="Times New Roman"/>
          <w:color w:val="000000"/>
          <w:sz w:val="20"/>
          <w:szCs w:val="20"/>
        </w:rPr>
        <w:t>During Fiscal 2021 and continuing into the current fiscal year, global commodity and labor markets have experienced significant inflationary pressures attributable to various economic and political factors, including: the economic recovery and evolving con</w:t>
      </w:r>
      <w:r>
        <w:rPr>
          <w:rFonts w:eastAsia="Times New Roman"/>
          <w:color w:val="000000"/>
          <w:sz w:val="20"/>
          <w:szCs w:val="20"/>
        </w:rPr>
        <w:t>sumer patterns associated with the ongoing COVID-19 pandemic (see Note 17 to the Condensed Consolidated Financial Statements); supply chain issues associated with labor shortages; significant inflationary pressures on commodity prices; and political and re</w:t>
      </w:r>
      <w:r>
        <w:rPr>
          <w:rFonts w:eastAsia="Times New Roman"/>
          <w:color w:val="000000"/>
          <w:sz w:val="20"/>
          <w:szCs w:val="20"/>
        </w:rPr>
        <w:t>gulatory conditions resulting from the ongoing military conflict between Russia and Ukraine, among others. These factors have led to significant volatility across various consumer price indices during Fiscal 2021 and have continued during the 2022 three- a</w:t>
      </w:r>
      <w:r>
        <w:rPr>
          <w:rFonts w:eastAsia="Times New Roman"/>
          <w:color w:val="000000"/>
          <w:sz w:val="20"/>
          <w:szCs w:val="20"/>
        </w:rPr>
        <w:t>nd nine-month periods. We have experienced substantial shifts in commodity prices, particularly in LPG, natural gas and electricity prices, which, in turn, have led to extensive mark-to-market impacts on commodity derivative instruments not associated with</w:t>
      </w:r>
      <w:r>
        <w:rPr>
          <w:rFonts w:eastAsia="Times New Roman"/>
          <w:color w:val="000000"/>
          <w:sz w:val="20"/>
          <w:szCs w:val="20"/>
        </w:rPr>
        <w:t xml:space="preserve"> current-period activity. The ongoing strain on supply costs has resulted in increased inventory costs and certain distribution expenses across all of our businesses. It has also affected requirements around cash collateral and restricted cash associated w</w:t>
      </w:r>
      <w:r>
        <w:rPr>
          <w:rFonts w:eastAsia="Times New Roman"/>
          <w:color w:val="000000"/>
          <w:sz w:val="20"/>
          <w:szCs w:val="20"/>
        </w:rPr>
        <w:t>ith our outstanding derivatives. We cannot predict the duration or total magnitude of these factors and the total effects on our business, financial position, results of operations, liquidity or cash flows at this time. However, we continue to evaluate and</w:t>
      </w:r>
      <w:r>
        <w:rPr>
          <w:rFonts w:eastAsia="Times New Roman"/>
          <w:color w:val="000000"/>
          <w:sz w:val="20"/>
          <w:szCs w:val="20"/>
        </w:rPr>
        <w:t xml:space="preserve"> react to these global economic and political conditions and remain focused on managing our financial condition and liquidity as these conditions continue to evolve.</w:t>
      </w:r>
    </w:p>
    <w:p w:rsidR="00000000" w:rsidRDefault="00BE60E9">
      <w:pPr>
        <w:jc w:val="both"/>
        <w:rPr>
          <w:rFonts w:eastAsia="Times New Roman"/>
        </w:rPr>
      </w:pPr>
    </w:p>
    <w:p w:rsidR="00000000" w:rsidRDefault="00BE60E9">
      <w:pPr>
        <w:jc w:val="center"/>
        <w:divId w:val="1301883586"/>
        <w:rPr>
          <w:rFonts w:eastAsia="Times New Roman"/>
        </w:rPr>
      </w:pPr>
      <w:r>
        <w:rPr>
          <w:rFonts w:eastAsia="Times New Roman"/>
          <w:color w:val="000000"/>
          <w:sz w:val="20"/>
          <w:szCs w:val="20"/>
        </w:rPr>
        <w:t>37</w:t>
      </w:r>
    </w:p>
    <w:p w:rsidR="00000000" w:rsidRDefault="00BE60E9">
      <w:pPr>
        <w:rPr>
          <w:rFonts w:eastAsia="Times New Roman"/>
        </w:rPr>
      </w:pPr>
      <w:r>
        <w:rPr>
          <w:rFonts w:eastAsia="Times New Roman"/>
        </w:rPr>
        <w:pict>
          <v:rect id="_x0000_i1063" style="width:0;height:1.5pt" o:hralign="center" o:hrstd="t" o:hr="t" fillcolor="#a0a0a0" stroked="f"/>
        </w:pict>
      </w:r>
    </w:p>
    <w:p w:rsidR="00000000" w:rsidRDefault="00BE60E9">
      <w:pPr>
        <w:divId w:val="1698310280"/>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1820154026"/>
        <w:rPr>
          <w:rFonts w:eastAsia="Times New Roman"/>
        </w:rPr>
      </w:pPr>
      <w:r>
        <w:rPr>
          <w:rFonts w:eastAsia="Times New Roman"/>
          <w:b/>
          <w:bCs/>
          <w:color w:val="000000"/>
          <w:sz w:val="20"/>
          <w:szCs w:val="20"/>
        </w:rPr>
        <w:t>UGI CORPORATION AND SUBSIDIARIES</w:t>
      </w:r>
    </w:p>
    <w:p w:rsidR="00000000" w:rsidRDefault="00BE60E9">
      <w:pPr>
        <w:jc w:val="both"/>
        <w:rPr>
          <w:rFonts w:eastAsia="Times New Roman"/>
        </w:rPr>
      </w:pPr>
      <w:r>
        <w:rPr>
          <w:rFonts w:eastAsia="Times New Roman"/>
          <w:b/>
          <w:bCs/>
          <w:i/>
          <w:iCs/>
          <w:color w:val="000000"/>
          <w:sz w:val="20"/>
          <w:szCs w:val="20"/>
        </w:rPr>
        <w:t>Continuing Business Transformation Initiatives.</w:t>
      </w:r>
      <w:r>
        <w:rPr>
          <w:rFonts w:eastAsia="Times New Roman"/>
          <w:b/>
          <w:bCs/>
          <w:color w:val="000000"/>
          <w:sz w:val="20"/>
          <w:szCs w:val="20"/>
        </w:rPr>
        <w:t xml:space="preserve"> </w:t>
      </w:r>
      <w:r>
        <w:rPr>
          <w:rFonts w:eastAsia="Times New Roman"/>
          <w:color w:val="000000"/>
          <w:sz w:val="20"/>
          <w:szCs w:val="20"/>
        </w:rPr>
        <w:t>By the end of Fiscal 2021, AmeriGas Propane and UGI International substantially completed their previously announced business transformation initia</w:t>
      </w:r>
      <w:r>
        <w:rPr>
          <w:rFonts w:eastAsia="Times New Roman"/>
          <w:color w:val="000000"/>
          <w:sz w:val="20"/>
          <w:szCs w:val="20"/>
        </w:rPr>
        <w:t>tives.</w:t>
      </w:r>
      <w:r>
        <w:rPr>
          <w:rFonts w:eastAsia="Times New Roman"/>
          <w:color w:val="000000"/>
        </w:rPr>
        <w:t xml:space="preserve"> </w:t>
      </w:r>
      <w:r>
        <w:rPr>
          <w:rFonts w:eastAsia="Times New Roman"/>
          <w:color w:val="000000"/>
          <w:sz w:val="20"/>
          <w:szCs w:val="20"/>
        </w:rPr>
        <w:t>Anticipated benefits to be fully recognized in Fiscal 2022 for both programs remain on target.</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Beginning</w:t>
      </w:r>
      <w:r>
        <w:rPr>
          <w:rFonts w:eastAsia="Times New Roman"/>
          <w:color w:val="000000"/>
        </w:rPr>
        <w:t xml:space="preserve"> </w:t>
      </w:r>
      <w:r>
        <w:rPr>
          <w:rFonts w:eastAsia="Times New Roman"/>
          <w:color w:val="000000"/>
          <w:sz w:val="20"/>
          <w:szCs w:val="20"/>
        </w:rPr>
        <w:t>in</w:t>
      </w:r>
      <w:r>
        <w:rPr>
          <w:rFonts w:eastAsia="Times New Roman"/>
          <w:color w:val="000000"/>
        </w:rPr>
        <w:t xml:space="preserve"> </w:t>
      </w:r>
      <w:r>
        <w:rPr>
          <w:rFonts w:eastAsia="Times New Roman"/>
          <w:color w:val="000000"/>
          <w:sz w:val="20"/>
          <w:szCs w:val="20"/>
        </w:rPr>
        <w:t>Fiscal</w:t>
      </w:r>
      <w:r>
        <w:rPr>
          <w:rFonts w:eastAsia="Times New Roman"/>
          <w:color w:val="000000"/>
        </w:rPr>
        <w:t xml:space="preserve"> </w:t>
      </w:r>
      <w:r>
        <w:rPr>
          <w:rFonts w:eastAsia="Times New Roman"/>
          <w:color w:val="000000"/>
          <w:sz w:val="20"/>
          <w:szCs w:val="20"/>
        </w:rPr>
        <w:t>2020,</w:t>
      </w:r>
      <w:r>
        <w:rPr>
          <w:rFonts w:eastAsia="Times New Roman"/>
          <w:color w:val="000000"/>
        </w:rPr>
        <w:t xml:space="preserve"> </w:t>
      </w:r>
      <w:r>
        <w:rPr>
          <w:rFonts w:eastAsia="Times New Roman"/>
          <w:color w:val="000000"/>
          <w:sz w:val="20"/>
          <w:szCs w:val="20"/>
        </w:rPr>
        <w:t>we initiated</w:t>
      </w:r>
      <w:r>
        <w:rPr>
          <w:rFonts w:eastAsia="Times New Roman"/>
          <w:color w:val="000000"/>
        </w:rPr>
        <w:t xml:space="preserve"> </w:t>
      </w:r>
      <w:r>
        <w:rPr>
          <w:rFonts w:eastAsia="Times New Roman"/>
          <w:color w:val="000000"/>
          <w:sz w:val="20"/>
          <w:szCs w:val="20"/>
        </w:rPr>
        <w:t>a transformation project</w:t>
      </w:r>
      <w:r>
        <w:rPr>
          <w:rFonts w:eastAsia="Times New Roman"/>
          <w:color w:val="000000"/>
        </w:rPr>
        <w:t xml:space="preserve"> </w:t>
      </w:r>
      <w:r>
        <w:rPr>
          <w:rFonts w:eastAsia="Times New Roman"/>
          <w:color w:val="000000"/>
          <w:sz w:val="20"/>
          <w:szCs w:val="20"/>
        </w:rPr>
        <w:t>focused on</w:t>
      </w:r>
      <w:r>
        <w:rPr>
          <w:rFonts w:eastAsia="Times New Roman"/>
          <w:color w:val="000000"/>
        </w:rPr>
        <w:t xml:space="preserve"> </w:t>
      </w:r>
      <w:r>
        <w:rPr>
          <w:rFonts w:eastAsia="Times New Roman"/>
          <w:color w:val="000000"/>
          <w:sz w:val="20"/>
          <w:szCs w:val="20"/>
        </w:rPr>
        <w:t>our</w:t>
      </w:r>
      <w:r>
        <w:rPr>
          <w:rFonts w:eastAsia="Times New Roman"/>
          <w:color w:val="000000"/>
        </w:rPr>
        <w:t xml:space="preserve"> </w:t>
      </w:r>
      <w:r>
        <w:rPr>
          <w:rFonts w:eastAsia="Times New Roman"/>
          <w:color w:val="000000"/>
          <w:sz w:val="20"/>
          <w:szCs w:val="20"/>
        </w:rPr>
        <w:t>corporate support</w:t>
      </w:r>
      <w:r>
        <w:rPr>
          <w:rFonts w:eastAsia="Times New Roman"/>
          <w:color w:val="000000"/>
        </w:rPr>
        <w:t xml:space="preserve"> </w:t>
      </w:r>
      <w:r>
        <w:rPr>
          <w:rFonts w:eastAsia="Times New Roman"/>
          <w:color w:val="000000"/>
          <w:sz w:val="20"/>
          <w:szCs w:val="20"/>
        </w:rPr>
        <w:t>functions</w:t>
      </w:r>
      <w:r>
        <w:rPr>
          <w:rFonts w:eastAsia="Times New Roman"/>
          <w:color w:val="000000"/>
        </w:rPr>
        <w:t xml:space="preserve"> </w:t>
      </w:r>
      <w:r>
        <w:rPr>
          <w:rFonts w:eastAsia="Times New Roman"/>
          <w:color w:val="000000"/>
          <w:sz w:val="20"/>
          <w:szCs w:val="20"/>
        </w:rPr>
        <w:t>including:</w:t>
      </w:r>
      <w:r>
        <w:rPr>
          <w:rFonts w:eastAsia="Times New Roman"/>
          <w:color w:val="000000"/>
        </w:rPr>
        <w:t xml:space="preserve"> </w:t>
      </w:r>
      <w:r>
        <w:rPr>
          <w:rFonts w:eastAsia="Times New Roman"/>
          <w:color w:val="000000"/>
          <w:sz w:val="20"/>
          <w:szCs w:val="20"/>
        </w:rPr>
        <w:t>finance, procurement, human resour</w:t>
      </w:r>
      <w:r>
        <w:rPr>
          <w:rFonts w:eastAsia="Times New Roman"/>
          <w:color w:val="000000"/>
          <w:sz w:val="20"/>
          <w:szCs w:val="20"/>
        </w:rPr>
        <w:t>ces and information technology. This initiative will standardize processes and activities across our global platform, while leveraging the use of best practices and efficiencies between our businesses. While this initiative is being coordinated across mult</w:t>
      </w:r>
      <w:r>
        <w:rPr>
          <w:rFonts w:eastAsia="Times New Roman"/>
          <w:color w:val="000000"/>
          <w:sz w:val="20"/>
          <w:szCs w:val="20"/>
        </w:rPr>
        <w:t>iple support functions, each function is at a different stage of transformation and will undergo the required changes by the end of Fiscal 2023. In connection with these activities, we expect to incur approximately $40 million of non-recurring costs during</w:t>
      </w:r>
      <w:r>
        <w:rPr>
          <w:rFonts w:eastAsia="Times New Roman"/>
          <w:color w:val="000000"/>
          <w:sz w:val="20"/>
          <w:szCs w:val="20"/>
        </w:rPr>
        <w:t xml:space="preserve"> that time resulting in more than $15 million of ongoing annualized savings by the end of Fiscal 2023.</w:t>
      </w:r>
    </w:p>
    <w:p w:rsidR="00000000" w:rsidRDefault="00BE60E9">
      <w:pPr>
        <w:jc w:val="both"/>
        <w:rPr>
          <w:rFonts w:eastAsia="Times New Roman"/>
        </w:rPr>
      </w:pPr>
    </w:p>
    <w:p w:rsidR="00000000" w:rsidRDefault="00BE60E9">
      <w:pPr>
        <w:jc w:val="both"/>
        <w:rPr>
          <w:rFonts w:eastAsia="Times New Roman"/>
        </w:rPr>
      </w:pPr>
      <w:r>
        <w:rPr>
          <w:rFonts w:eastAsia="Times New Roman"/>
          <w:b/>
          <w:bCs/>
          <w:color w:val="000000"/>
          <w:sz w:val="20"/>
          <w:szCs w:val="20"/>
          <w:u w:val="single"/>
        </w:rPr>
        <w:t xml:space="preserve">2022 three-month period compared with 2021 three-month period </w:t>
      </w:r>
    </w:p>
    <w:p w:rsidR="00000000" w:rsidRDefault="00BE60E9">
      <w:pPr>
        <w:jc w:val="both"/>
        <w:rPr>
          <w:rFonts w:eastAsia="Times New Roman"/>
        </w:rPr>
      </w:pPr>
    </w:p>
    <w:p w:rsidR="00000000" w:rsidRDefault="00BE60E9">
      <w:pPr>
        <w:jc w:val="both"/>
        <w:rPr>
          <w:rFonts w:eastAsia="Times New Roman"/>
        </w:rPr>
      </w:pPr>
      <w:r>
        <w:rPr>
          <w:rFonts w:eastAsia="Times New Roman"/>
          <w:b/>
          <w:bCs/>
          <w:color w:val="000000"/>
          <w:sz w:val="20"/>
          <w:szCs w:val="20"/>
        </w:rPr>
        <w:t>Discussion.</w:t>
      </w:r>
      <w:r>
        <w:rPr>
          <w:rFonts w:eastAsia="Times New Roman"/>
          <w:color w:val="000000"/>
          <w:sz w:val="20"/>
          <w:szCs w:val="20"/>
        </w:rPr>
        <w:t xml:space="preserve"> Net loss attributable to UGI Corporation for the 2022 three-month period w</w:t>
      </w:r>
      <w:r>
        <w:rPr>
          <w:rFonts w:eastAsia="Times New Roman"/>
          <w:color w:val="000000"/>
          <w:sz w:val="20"/>
          <w:szCs w:val="20"/>
        </w:rPr>
        <w:t>as $7 million (equal to a $0.03 loss per diluted share) compared to net income attributable to UGI Corporation of $150 million (equal to $0.71 per diluted share) during the 2021 three-month period. These results include net gains from changes in unrealized</w:t>
      </w:r>
      <w:r>
        <w:rPr>
          <w:rFonts w:eastAsia="Times New Roman"/>
          <w:color w:val="000000"/>
          <w:sz w:val="20"/>
          <w:szCs w:val="20"/>
        </w:rPr>
        <w:t xml:space="preserve"> commodity derivative instruments and certain foreign currency derivative instruments of $22 million and $231 million, respectively, during the 2022 and 2021 three-month periods. The 2022 and 2021 three-month periods also include impairments associated wit</w:t>
      </w:r>
      <w:r>
        <w:rPr>
          <w:rFonts w:eastAsia="Times New Roman"/>
          <w:color w:val="000000"/>
          <w:sz w:val="20"/>
          <w:szCs w:val="20"/>
        </w:rPr>
        <w:t>h certain equity method investments of $36 million and $93 million, respectively, and business transformation expenses of $1 million and $15 million, respectively. The 2022 three-month period also includes restructuring costs of $4 million largely attribut</w:t>
      </w:r>
      <w:r>
        <w:rPr>
          <w:rFonts w:eastAsia="Times New Roman"/>
          <w:color w:val="000000"/>
          <w:sz w:val="20"/>
          <w:szCs w:val="20"/>
        </w:rPr>
        <w:t>able to a reduction in workforce and related costs, while the 2021 three-month period includes $1 million of integration expenses associated with Mountaineer.</w:t>
      </w:r>
    </w:p>
    <w:p w:rsidR="00000000" w:rsidRDefault="00BE60E9">
      <w:pPr>
        <w:jc w:val="both"/>
        <w:rPr>
          <w:rFonts w:eastAsia="Times New Roman"/>
        </w:rPr>
      </w:pPr>
    </w:p>
    <w:p w:rsidR="00000000" w:rsidRDefault="00BE60E9">
      <w:pPr>
        <w:jc w:val="both"/>
        <w:divId w:val="479738857"/>
        <w:rPr>
          <w:rFonts w:eastAsia="Times New Roman"/>
        </w:rPr>
      </w:pPr>
      <w:r>
        <w:rPr>
          <w:rFonts w:eastAsia="Times New Roman"/>
          <w:color w:val="000000"/>
          <w:sz w:val="20"/>
          <w:szCs w:val="20"/>
        </w:rPr>
        <w:t>Adjusted net income attributable to UGI Corporation for the 2022 three-month period was $12 mil</w:t>
      </w:r>
      <w:r>
        <w:rPr>
          <w:rFonts w:eastAsia="Times New Roman"/>
          <w:color w:val="000000"/>
          <w:sz w:val="20"/>
          <w:szCs w:val="20"/>
        </w:rPr>
        <w:t>lion (equal to $0.06 per diluted share) compared to $28 million (equal to $0.13 per diluted share) during the 2021 three-month period. The decrease in adjusted net income attributable to UGI Corporation during the 2022 three-month period reflects lower ear</w:t>
      </w:r>
      <w:r>
        <w:rPr>
          <w:rFonts w:eastAsia="Times New Roman"/>
          <w:color w:val="000000"/>
          <w:sz w:val="20"/>
          <w:szCs w:val="20"/>
        </w:rPr>
        <w:t>nings contributions from our LPG businesses which were significantly impacted by the effects of commodity price volatility on current-period margins and related volumes. These factors were partially offset by higher earnings from our Utilities and Midstrea</w:t>
      </w:r>
      <w:r>
        <w:rPr>
          <w:rFonts w:eastAsia="Times New Roman"/>
          <w:color w:val="000000"/>
          <w:sz w:val="20"/>
          <w:szCs w:val="20"/>
        </w:rPr>
        <w:t xml:space="preserve">m &amp; Marketing segments. </w:t>
      </w:r>
    </w:p>
    <w:p w:rsidR="00000000" w:rsidRDefault="00BE60E9">
      <w:pPr>
        <w:jc w:val="both"/>
        <w:rPr>
          <w:rFonts w:eastAsia="Times New Roman"/>
        </w:rPr>
      </w:pPr>
      <w:r>
        <w:rPr>
          <w:rFonts w:eastAsia="Times New Roman"/>
          <w:color w:val="000000"/>
          <w:sz w:val="20"/>
          <w:szCs w:val="20"/>
        </w:rPr>
        <w:t>AmeriGas Propane’s adjusted net loss attributable to UGI Corporation increased $17 million in the 2022 three-month period. These results principally reflect lower retail propane margins and volumes sold, partially offset by lower o</w:t>
      </w:r>
      <w:r>
        <w:rPr>
          <w:rFonts w:eastAsia="Times New Roman"/>
          <w:color w:val="000000"/>
          <w:sz w:val="20"/>
          <w:szCs w:val="20"/>
        </w:rPr>
        <w:t>perating and administrative expenses.</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UGI International’s adjusted net income attributable to UGI Corporation decreased $16 million in the 2022 three-month period principally reflecting lower total margin attributable to commodity price volatility and vo</w:t>
      </w:r>
      <w:r>
        <w:rPr>
          <w:rFonts w:eastAsia="Times New Roman"/>
          <w:color w:val="000000"/>
          <w:sz w:val="20"/>
          <w:szCs w:val="20"/>
        </w:rPr>
        <w:t>lumes attributable to warmer weather, and increasing expenses resulting from inflationary pressures. This decrease was partially offset by strong margin management efforts at UGI International’s LPG business.</w:t>
      </w:r>
    </w:p>
    <w:p w:rsidR="00000000" w:rsidRDefault="00BE60E9">
      <w:pPr>
        <w:jc w:val="both"/>
        <w:rPr>
          <w:rFonts w:eastAsia="Times New Roman"/>
        </w:rPr>
      </w:pPr>
    </w:p>
    <w:p w:rsidR="00000000" w:rsidRDefault="00BE60E9">
      <w:pPr>
        <w:jc w:val="both"/>
        <w:divId w:val="1837065162"/>
        <w:rPr>
          <w:rFonts w:eastAsia="Times New Roman"/>
        </w:rPr>
      </w:pPr>
      <w:r>
        <w:rPr>
          <w:rFonts w:eastAsia="Times New Roman"/>
          <w:color w:val="000000"/>
          <w:sz w:val="20"/>
          <w:szCs w:val="20"/>
        </w:rPr>
        <w:t>Midstream &amp; Marketing’</w:t>
      </w:r>
      <w:r>
        <w:rPr>
          <w:rFonts w:eastAsia="Times New Roman"/>
          <w:color w:val="000000"/>
          <w:sz w:val="20"/>
          <w:szCs w:val="20"/>
        </w:rPr>
        <w:t>s adjusted net income attributable to UGI Corporation increased $15 million in the 2022 three-month period. This increase was primarily driven by higher natural gas marketing margin and incremental earnings attributable UGI Moraine East, which comprises th</w:t>
      </w:r>
      <w:r>
        <w:rPr>
          <w:rFonts w:eastAsia="Times New Roman"/>
          <w:color w:val="000000"/>
          <w:sz w:val="20"/>
          <w:szCs w:val="20"/>
        </w:rPr>
        <w:t xml:space="preserve">e assets acquired in the Stonehenge Acquisition. </w:t>
      </w:r>
    </w:p>
    <w:p w:rsidR="00000000" w:rsidRDefault="00BE60E9">
      <w:pPr>
        <w:jc w:val="both"/>
        <w:rPr>
          <w:rFonts w:eastAsia="Times New Roman"/>
        </w:rPr>
      </w:pPr>
      <w:r>
        <w:rPr>
          <w:rFonts w:eastAsia="Times New Roman"/>
          <w:color w:val="000000"/>
          <w:sz w:val="20"/>
          <w:szCs w:val="20"/>
        </w:rPr>
        <w:t xml:space="preserve">Utilities’ </w:t>
      </w:r>
      <w:r>
        <w:rPr>
          <w:rFonts w:eastAsia="Times New Roman"/>
          <w:color w:val="000000"/>
          <w:sz w:val="20"/>
          <w:szCs w:val="20"/>
        </w:rPr>
        <w:t xml:space="preserve">adjusted net income attributable to UGI Corporation increased $10 million in the 2022 three-month period compared to the prior-year period. The increase was largely related to an increase in DSIC rates at UGI Utilities and the impact of customer growth. </w:t>
      </w:r>
    </w:p>
    <w:p w:rsidR="00000000" w:rsidRDefault="00BE60E9">
      <w:pPr>
        <w:jc w:val="both"/>
        <w:rPr>
          <w:rFonts w:eastAsia="Times New Roman"/>
        </w:rPr>
      </w:pPr>
    </w:p>
    <w:p w:rsidR="00000000" w:rsidRDefault="00BE60E9">
      <w:pPr>
        <w:jc w:val="both"/>
        <w:rPr>
          <w:rFonts w:eastAsia="Times New Roman"/>
        </w:rPr>
      </w:pPr>
      <w:r>
        <w:rPr>
          <w:rFonts w:eastAsia="Times New Roman"/>
          <w:b/>
          <w:bCs/>
          <w:color w:val="000000"/>
          <w:sz w:val="20"/>
          <w:szCs w:val="20"/>
          <w:u w:val="single"/>
        </w:rPr>
        <w:t>2022 nine-month period compared with 2021 nine-month period</w:t>
      </w:r>
    </w:p>
    <w:p w:rsidR="00000000" w:rsidRDefault="00BE60E9">
      <w:pPr>
        <w:jc w:val="both"/>
        <w:rPr>
          <w:rFonts w:eastAsia="Times New Roman"/>
        </w:rPr>
      </w:pPr>
    </w:p>
    <w:p w:rsidR="00000000" w:rsidRDefault="00BE60E9">
      <w:pPr>
        <w:jc w:val="both"/>
        <w:rPr>
          <w:rFonts w:eastAsia="Times New Roman"/>
        </w:rPr>
      </w:pPr>
      <w:r>
        <w:rPr>
          <w:rFonts w:eastAsia="Times New Roman"/>
          <w:b/>
          <w:bCs/>
          <w:color w:val="000000"/>
          <w:sz w:val="20"/>
          <w:szCs w:val="20"/>
        </w:rPr>
        <w:t>Discussion.</w:t>
      </w:r>
      <w:r>
        <w:rPr>
          <w:rFonts w:eastAsia="Times New Roman"/>
          <w:color w:val="000000"/>
          <w:sz w:val="20"/>
          <w:szCs w:val="20"/>
        </w:rPr>
        <w:t xml:space="preserve"> Net income attributable to UGI Corporation for the 2022 nine-month period was $829 million (equal to $3.84 per diluted share) compared to $942 million (equal to $4.48 per diluted sh</w:t>
      </w:r>
      <w:r>
        <w:rPr>
          <w:rFonts w:eastAsia="Times New Roman"/>
          <w:color w:val="000000"/>
          <w:sz w:val="20"/>
          <w:szCs w:val="20"/>
        </w:rPr>
        <w:t>are) during the 2021 nine-month period. These results include net gains from changes in unrealized commodity derivative instruments and certain foreign currency derivative instruments of $269 million and $364 million, respectively, during the 2022 and 2021</w:t>
      </w:r>
      <w:r>
        <w:rPr>
          <w:rFonts w:eastAsia="Times New Roman"/>
          <w:color w:val="000000"/>
          <w:sz w:val="20"/>
          <w:szCs w:val="20"/>
        </w:rPr>
        <w:t xml:space="preserve"> nine-month periods. Net income attributable to UGI Corporation during the 2022 and 2021 nine-month periods also includes impairments associated with certain equity method investments of $36 million and $93 million, respectively, business transformation ex</w:t>
      </w:r>
      <w:r>
        <w:rPr>
          <w:rFonts w:eastAsia="Times New Roman"/>
          <w:color w:val="000000"/>
          <w:sz w:val="20"/>
          <w:szCs w:val="20"/>
        </w:rPr>
        <w:t>penses of $4 million and $42 million, respectively, and integration expenses associated with Mountaineer of $1 million and $3 million, respectively. The 2022 nine-month period also includes restructuring costs of $17 million largely attributable to a reduc</w:t>
      </w:r>
      <w:r>
        <w:rPr>
          <w:rFonts w:eastAsia="Times New Roman"/>
          <w:color w:val="000000"/>
          <w:sz w:val="20"/>
          <w:szCs w:val="20"/>
        </w:rPr>
        <w:t xml:space="preserve">tion in workforce and related costs and a loss on extinguishment of debt of $8 million associated with financing activities at UGI International, while </w:t>
      </w:r>
    </w:p>
    <w:p w:rsidR="00000000" w:rsidRDefault="00BE60E9">
      <w:pPr>
        <w:jc w:val="center"/>
        <w:divId w:val="1846826612"/>
        <w:rPr>
          <w:rFonts w:eastAsia="Times New Roman"/>
        </w:rPr>
      </w:pPr>
      <w:r>
        <w:rPr>
          <w:rFonts w:eastAsia="Times New Roman"/>
          <w:color w:val="000000"/>
          <w:sz w:val="20"/>
          <w:szCs w:val="20"/>
        </w:rPr>
        <w:t>38</w:t>
      </w:r>
    </w:p>
    <w:p w:rsidR="00000000" w:rsidRDefault="00BE60E9">
      <w:pPr>
        <w:rPr>
          <w:rFonts w:eastAsia="Times New Roman"/>
        </w:rPr>
      </w:pPr>
      <w:r>
        <w:rPr>
          <w:rFonts w:eastAsia="Times New Roman"/>
        </w:rPr>
        <w:pict>
          <v:rect id="_x0000_i1064" style="width:0;height:1.5pt" o:hralign="center" o:hrstd="t" o:hr="t" fillcolor="#a0a0a0" stroked="f"/>
        </w:pict>
      </w:r>
    </w:p>
    <w:p w:rsidR="00000000" w:rsidRDefault="00BE60E9">
      <w:pPr>
        <w:divId w:val="1695618434"/>
        <w:rPr>
          <w:rFonts w:eastAsia="Times New Roman"/>
        </w:rPr>
      </w:pPr>
      <w:hyperlink w:anchor="i7b9367ce46184e39981dde9cbe7aec07_7" w:history="1">
        <w:r>
          <w:rPr>
            <w:rStyle w:val="a3"/>
            <w:rFonts w:eastAsia="Times New Roman"/>
            <w:sz w:val="20"/>
            <w:szCs w:val="20"/>
          </w:rPr>
          <w:t xml:space="preserve">Table </w:t>
        </w:r>
        <w:r>
          <w:rPr>
            <w:rStyle w:val="a3"/>
            <w:rFonts w:eastAsia="Times New Roman"/>
            <w:sz w:val="20"/>
            <w:szCs w:val="20"/>
          </w:rPr>
          <w:t>of Contents</w:t>
        </w:r>
      </w:hyperlink>
    </w:p>
    <w:p w:rsidR="00000000" w:rsidRDefault="00BE60E9">
      <w:pPr>
        <w:jc w:val="center"/>
        <w:divId w:val="513958417"/>
        <w:rPr>
          <w:rFonts w:eastAsia="Times New Roman"/>
        </w:rPr>
      </w:pPr>
      <w:r>
        <w:rPr>
          <w:rFonts w:eastAsia="Times New Roman"/>
          <w:b/>
          <w:bCs/>
          <w:color w:val="000000"/>
          <w:sz w:val="20"/>
          <w:szCs w:val="20"/>
        </w:rPr>
        <w:t>UGI CORPORATION AND SUBSIDIARIES</w:t>
      </w:r>
    </w:p>
    <w:p w:rsidR="00000000" w:rsidRDefault="00BE60E9">
      <w:pPr>
        <w:jc w:val="both"/>
        <w:rPr>
          <w:rFonts w:eastAsia="Times New Roman"/>
        </w:rPr>
      </w:pPr>
      <w:r>
        <w:rPr>
          <w:rFonts w:eastAsia="Times New Roman"/>
          <w:color w:val="000000"/>
          <w:sz w:val="20"/>
          <w:szCs w:val="20"/>
        </w:rPr>
        <w:t xml:space="preserve">the 2021 nine-month period includes a $23 million tax benefit related to an election made in connection with a tax law change in Italy. </w:t>
      </w:r>
    </w:p>
    <w:p w:rsidR="00000000" w:rsidRDefault="00BE60E9">
      <w:pPr>
        <w:jc w:val="both"/>
        <w:rPr>
          <w:rFonts w:eastAsia="Times New Roman"/>
        </w:rPr>
      </w:pPr>
    </w:p>
    <w:p w:rsidR="00000000" w:rsidRDefault="00BE60E9">
      <w:pPr>
        <w:jc w:val="both"/>
        <w:divId w:val="1248877828"/>
        <w:rPr>
          <w:rFonts w:eastAsia="Times New Roman"/>
        </w:rPr>
      </w:pPr>
      <w:r>
        <w:rPr>
          <w:rFonts w:eastAsia="Times New Roman"/>
          <w:color w:val="000000"/>
          <w:sz w:val="20"/>
          <w:szCs w:val="20"/>
        </w:rPr>
        <w:t>Adjusted net income attributable to UGI Corporation for the 2022 nine-mo</w:t>
      </w:r>
      <w:r>
        <w:rPr>
          <w:rFonts w:eastAsia="Times New Roman"/>
          <w:color w:val="000000"/>
          <w:sz w:val="20"/>
          <w:szCs w:val="20"/>
        </w:rPr>
        <w:t>nth period was $626 million (equal to $2.90 per diluted share) compared to $693 million (equal to $3.30 per diluted share) during the 2021 nine-month period. The decrease in adjusted net income attributable to UGI Corporation during the 2022 nine-month per</w:t>
      </w:r>
      <w:r>
        <w:rPr>
          <w:rFonts w:eastAsia="Times New Roman"/>
          <w:color w:val="000000"/>
          <w:sz w:val="20"/>
          <w:szCs w:val="20"/>
        </w:rPr>
        <w:t>iod reflects lower earnings contributions from our LPG businesses which were significantly impacted by the effects of commodity price volatility on current-period margins and related volumes. Results for the prior-year period also included a tax benefit un</w:t>
      </w:r>
      <w:r>
        <w:rPr>
          <w:rFonts w:eastAsia="Times New Roman"/>
          <w:color w:val="000000"/>
          <w:sz w:val="20"/>
          <w:szCs w:val="20"/>
        </w:rPr>
        <w:t>der the CARES Act. These factors were partially offset by higher earnings from our Utilities and Midstream &amp; Marketing segments, which include contributions attributable to recent acquisitions.</w:t>
      </w:r>
    </w:p>
    <w:p w:rsidR="00000000" w:rsidRDefault="00BE60E9">
      <w:pPr>
        <w:divId w:val="2053188825"/>
        <w:rPr>
          <w:rFonts w:eastAsia="Times New Roman"/>
        </w:rPr>
      </w:pPr>
      <w:r>
        <w:rPr>
          <w:rFonts w:eastAsia="Times New Roman"/>
          <w:color w:val="000000"/>
          <w:sz w:val="20"/>
          <w:szCs w:val="20"/>
        </w:rPr>
        <w:t>AmeriGas Propane’s adjusted net income attributable to UGI Cor</w:t>
      </w:r>
      <w:r>
        <w:rPr>
          <w:rFonts w:eastAsia="Times New Roman"/>
          <w:color w:val="000000"/>
          <w:sz w:val="20"/>
          <w:szCs w:val="20"/>
        </w:rPr>
        <w:t xml:space="preserve">poration decreased $69 million in the 2022 nine-month period. This decrease principally reflects lower retail propane margin primarily attributable to lower volumes sold and higher operating and administrative expenses primarily attributable to increasing </w:t>
      </w:r>
      <w:r>
        <w:rPr>
          <w:rFonts w:eastAsia="Times New Roman"/>
          <w:color w:val="000000"/>
          <w:sz w:val="20"/>
          <w:szCs w:val="20"/>
        </w:rPr>
        <w:t>expenses resulting from inflationary pressures.</w:t>
      </w:r>
    </w:p>
    <w:p w:rsidR="00000000" w:rsidRDefault="00BE60E9">
      <w:pPr>
        <w:divId w:val="438524115"/>
        <w:rPr>
          <w:rFonts w:eastAsia="Times New Roman"/>
        </w:rPr>
      </w:pPr>
    </w:p>
    <w:p w:rsidR="00000000" w:rsidRDefault="00BE60E9">
      <w:pPr>
        <w:jc w:val="both"/>
        <w:rPr>
          <w:rFonts w:eastAsia="Times New Roman"/>
        </w:rPr>
      </w:pPr>
      <w:r>
        <w:rPr>
          <w:rFonts w:eastAsia="Times New Roman"/>
          <w:color w:val="000000"/>
          <w:sz w:val="20"/>
          <w:szCs w:val="20"/>
        </w:rPr>
        <w:t>UGI International’s adjusted net income attributable to UGI Corporation decreased $61 million in the 2022 nine-month period principally reflecting lower total margin attributable to commodity price volatili</w:t>
      </w:r>
      <w:r>
        <w:rPr>
          <w:rFonts w:eastAsia="Times New Roman"/>
          <w:color w:val="000000"/>
          <w:sz w:val="20"/>
          <w:szCs w:val="20"/>
        </w:rPr>
        <w:t>ty and volumes attributable to warmer weather, and increasing expenses resulting from inflationary pressures. This decrease was partially offset by strong margin management efforts at UGI International’s LPG business.</w:t>
      </w:r>
    </w:p>
    <w:p w:rsidR="00000000" w:rsidRDefault="00BE60E9">
      <w:pPr>
        <w:jc w:val="both"/>
        <w:rPr>
          <w:rFonts w:eastAsia="Times New Roman"/>
        </w:rPr>
      </w:pPr>
    </w:p>
    <w:p w:rsidR="00000000" w:rsidRDefault="00BE60E9">
      <w:pPr>
        <w:jc w:val="both"/>
        <w:divId w:val="862979062"/>
        <w:rPr>
          <w:rFonts w:eastAsia="Times New Roman"/>
        </w:rPr>
      </w:pPr>
      <w:r>
        <w:rPr>
          <w:rFonts w:eastAsia="Times New Roman"/>
          <w:color w:val="000000"/>
          <w:sz w:val="20"/>
          <w:szCs w:val="20"/>
        </w:rPr>
        <w:t>Midstream &amp; Marketing’s adjusted net</w:t>
      </w:r>
      <w:r>
        <w:rPr>
          <w:rFonts w:eastAsia="Times New Roman"/>
          <w:color w:val="000000"/>
          <w:sz w:val="20"/>
          <w:szCs w:val="20"/>
        </w:rPr>
        <w:t xml:space="preserve"> income attributable to UGI Corporation increased $25 million in the 2022 nine-month period primarily attributable to higher margins related to natural gas marketing activities, higher total earnings from renewable energy marketing activities, and incremen</w:t>
      </w:r>
      <w:r>
        <w:rPr>
          <w:rFonts w:eastAsia="Times New Roman"/>
          <w:color w:val="000000"/>
          <w:sz w:val="20"/>
          <w:szCs w:val="20"/>
        </w:rPr>
        <w:t>tal contributions from UGI Moraine East.</w:t>
      </w:r>
    </w:p>
    <w:p w:rsidR="00000000" w:rsidRDefault="00BE60E9">
      <w:pPr>
        <w:jc w:val="both"/>
        <w:rPr>
          <w:rFonts w:eastAsia="Times New Roman"/>
        </w:rPr>
      </w:pPr>
      <w:r>
        <w:rPr>
          <w:rFonts w:eastAsia="Times New Roman"/>
          <w:color w:val="000000"/>
          <w:sz w:val="20"/>
          <w:szCs w:val="20"/>
        </w:rPr>
        <w:t>Utilities’ adjusted net income attributable to UGI Corporation increased $59 million in the 2022 nine-month period compared to the prior-year period. The increase was largely related to incremental earnings attribut</w:t>
      </w:r>
      <w:r>
        <w:rPr>
          <w:rFonts w:eastAsia="Times New Roman"/>
          <w:color w:val="000000"/>
          <w:sz w:val="20"/>
          <w:szCs w:val="20"/>
        </w:rPr>
        <w:t>able to the Mountaineer Acquisition. The increase in both DSIC rates and base rates at UGI Utilities also contributed to the earnings improvement during the current-year period.</w:t>
      </w:r>
    </w:p>
    <w:p w:rsidR="00000000" w:rsidRDefault="00BE60E9">
      <w:pPr>
        <w:jc w:val="both"/>
        <w:rPr>
          <w:rFonts w:eastAsia="Times New Roman"/>
        </w:rPr>
      </w:pPr>
    </w:p>
    <w:p w:rsidR="00000000" w:rsidRDefault="00BE60E9">
      <w:pPr>
        <w:jc w:val="both"/>
        <w:rPr>
          <w:rFonts w:eastAsia="Times New Roman"/>
        </w:rPr>
      </w:pPr>
      <w:r>
        <w:rPr>
          <w:rFonts w:eastAsia="Times New Roman"/>
          <w:b/>
          <w:bCs/>
          <w:color w:val="000000"/>
          <w:sz w:val="20"/>
          <w:szCs w:val="20"/>
          <w:u w:val="single"/>
        </w:rPr>
        <w:t>SEGMENT RESULTS OF OPERATIONS</w:t>
      </w:r>
    </w:p>
    <w:p w:rsidR="00000000" w:rsidRDefault="00BE60E9">
      <w:pPr>
        <w:jc w:val="both"/>
        <w:rPr>
          <w:rFonts w:eastAsia="Times New Roman"/>
        </w:rPr>
      </w:pPr>
    </w:p>
    <w:p w:rsidR="00000000" w:rsidRDefault="00BE60E9">
      <w:pPr>
        <w:jc w:val="both"/>
        <w:rPr>
          <w:rFonts w:eastAsia="Times New Roman"/>
        </w:rPr>
      </w:pPr>
      <w:r>
        <w:rPr>
          <w:rFonts w:eastAsia="Times New Roman"/>
          <w:b/>
          <w:bCs/>
          <w:color w:val="000000"/>
          <w:sz w:val="20"/>
          <w:szCs w:val="20"/>
        </w:rPr>
        <w:t>2022 Three-Month Period Compared with the 20</w:t>
      </w:r>
      <w:r>
        <w:rPr>
          <w:rFonts w:eastAsia="Times New Roman"/>
          <w:b/>
          <w:bCs/>
          <w:color w:val="000000"/>
          <w:sz w:val="20"/>
          <w:szCs w:val="20"/>
        </w:rPr>
        <w:t>21 Three-Month Period</w:t>
      </w:r>
    </w:p>
    <w:p w:rsidR="00000000" w:rsidRDefault="00BE60E9">
      <w:pPr>
        <w:jc w:val="both"/>
        <w:rPr>
          <w:rFonts w:eastAsia="Times New Roman"/>
        </w:rPr>
      </w:pPr>
    </w:p>
    <w:p w:rsidR="00000000" w:rsidRDefault="00BE60E9">
      <w:pPr>
        <w:jc w:val="both"/>
        <w:rPr>
          <w:rFonts w:eastAsia="Times New Roman"/>
        </w:rPr>
      </w:pPr>
      <w:r>
        <w:rPr>
          <w:rFonts w:eastAsia="Times New Roman"/>
          <w:b/>
          <w:bCs/>
          <w:i/>
          <w:iCs/>
          <w:color w:val="000000"/>
          <w:sz w:val="20"/>
          <w:szCs w:val="20"/>
        </w:rPr>
        <w:t xml:space="preserve">AmeriGas Propane </w:t>
      </w:r>
    </w:p>
    <w:p w:rsidR="00000000" w:rsidRDefault="00BE60E9">
      <w:pPr>
        <w:jc w:val="both"/>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39"/>
        <w:gridCol w:w="3732"/>
        <w:gridCol w:w="38"/>
        <w:gridCol w:w="36"/>
        <w:gridCol w:w="36"/>
        <w:gridCol w:w="36"/>
        <w:gridCol w:w="120"/>
        <w:gridCol w:w="802"/>
        <w:gridCol w:w="187"/>
        <w:gridCol w:w="36"/>
        <w:gridCol w:w="36"/>
        <w:gridCol w:w="36"/>
        <w:gridCol w:w="120"/>
        <w:gridCol w:w="802"/>
        <w:gridCol w:w="187"/>
        <w:gridCol w:w="36"/>
        <w:gridCol w:w="36"/>
        <w:gridCol w:w="36"/>
        <w:gridCol w:w="121"/>
        <w:gridCol w:w="683"/>
        <w:gridCol w:w="37"/>
        <w:gridCol w:w="37"/>
        <w:gridCol w:w="37"/>
        <w:gridCol w:w="36"/>
        <w:gridCol w:w="36"/>
        <w:gridCol w:w="768"/>
        <w:gridCol w:w="187"/>
      </w:tblGrid>
      <w:tr w:rsidR="00000000">
        <w:tc>
          <w:tcPr>
            <w:tcW w:w="50" w:type="pct"/>
            <w:vAlign w:val="center"/>
            <w:hideMark/>
          </w:tcPr>
          <w:p w:rsidR="00000000" w:rsidRDefault="00BE60E9">
            <w:pPr>
              <w:jc w:val="both"/>
              <w:rPr>
                <w:rFonts w:eastAsia="Times New Roman"/>
              </w:rPr>
            </w:pPr>
          </w:p>
        </w:tc>
        <w:tc>
          <w:tcPr>
            <w:tcW w:w="2324"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8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8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08"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8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For the three months ended June 30,</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Increase (Decrease)</w:t>
            </w:r>
          </w:p>
        </w:tc>
      </w:tr>
      <w:tr w:rsidR="00000000">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r>
      <w:tr w:rsidR="00000000">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597 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526 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71 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227 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259 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(32)</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204 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212 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Operating (loss) income/(loss) earnings before interest expense and income taxes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(21)</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(191)</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Retail gallons sold (millions)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173 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184 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Heating degree days—</w:t>
            </w:r>
            <w:r>
              <w:rPr>
                <w:rFonts w:eastAsia="Times New Roman"/>
                <w:color w:val="000000"/>
                <w:sz w:val="20"/>
                <w:szCs w:val="20"/>
              </w:rPr>
              <w:t>% colder than normal (b)</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16.5 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bl>
    <w:p w:rsidR="00000000" w:rsidRDefault="00BE60E9">
      <w:pPr>
        <w:ind w:hanging="360"/>
        <w:jc w:val="both"/>
        <w:rPr>
          <w:rFonts w:eastAsia="Times New Roman"/>
        </w:rPr>
      </w:pPr>
      <w:r>
        <w:rPr>
          <w:rFonts w:eastAsia="Times New Roman"/>
          <w:color w:val="000000"/>
          <w:sz w:val="20"/>
          <w:szCs w:val="20"/>
        </w:rPr>
        <w:t>(a)Total margin represents total revenues less total cost of sales.</w:t>
      </w:r>
    </w:p>
    <w:p w:rsidR="00000000" w:rsidRDefault="00BE60E9">
      <w:pPr>
        <w:ind w:hanging="360"/>
        <w:jc w:val="both"/>
        <w:rPr>
          <w:rFonts w:eastAsia="Times New Roman"/>
        </w:rPr>
      </w:pPr>
      <w:r>
        <w:rPr>
          <w:rFonts w:eastAsia="Times New Roman"/>
          <w:color w:val="000000"/>
          <w:sz w:val="20"/>
          <w:szCs w:val="20"/>
        </w:rPr>
        <w:t>(b)Deviation from average heating degree days is determined</w:t>
      </w:r>
      <w:r>
        <w:rPr>
          <w:rFonts w:eastAsia="Times New Roman"/>
          <w:color w:val="000000"/>
          <w:sz w:val="20"/>
          <w:szCs w:val="20"/>
        </w:rPr>
        <w:t xml:space="preserve"> on a rolling 10-year period utilizing volume-weighted weather data based on weather statistics provided by NOAA for 344 regions in the United States, excluding Alaska and Hawaii.</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 xml:space="preserve">Average temperatures during the 2022 three-month period were 16.5% colder </w:t>
      </w:r>
      <w:r>
        <w:rPr>
          <w:rFonts w:eastAsia="Times New Roman"/>
          <w:color w:val="000000"/>
          <w:sz w:val="20"/>
          <w:szCs w:val="20"/>
        </w:rPr>
        <w:t>than normal and 22.8% colder than the prior-year period. Total retail gallons sold decreased 6% during the 2022 three-month period principally reflecting the continued impact of customer service challenges that occurred in Fiscal 2021, staffing shortages i</w:t>
      </w:r>
      <w:r>
        <w:rPr>
          <w:rFonts w:eastAsia="Times New Roman"/>
          <w:color w:val="000000"/>
          <w:sz w:val="20"/>
          <w:szCs w:val="20"/>
        </w:rPr>
        <w:t>n key delivery related positions, increased price sensitivity in the higher commodity cost environment and the prior-year impact of COVID-19 on cylinder exchange and resale volumes.</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Average daily wholesale propane commodity prices during the 2022 three-m</w:t>
      </w:r>
      <w:r>
        <w:rPr>
          <w:rFonts w:eastAsia="Times New Roman"/>
          <w:color w:val="000000"/>
          <w:sz w:val="20"/>
          <w:szCs w:val="20"/>
        </w:rPr>
        <w:t xml:space="preserve">onth period at Mont Belvieu, Texas, one of the major supply points in the U.S., were approximately 46% higher than such prices during the 2021 three-month period. This increase in prices has impacted both total revenues and total costs of sales during the </w:t>
      </w:r>
      <w:r>
        <w:rPr>
          <w:rFonts w:eastAsia="Times New Roman"/>
          <w:color w:val="000000"/>
          <w:sz w:val="20"/>
          <w:szCs w:val="20"/>
        </w:rPr>
        <w:t xml:space="preserve">2022 three-month period. Total revenues </w:t>
      </w:r>
    </w:p>
    <w:p w:rsidR="00000000" w:rsidRDefault="00BE60E9">
      <w:pPr>
        <w:jc w:val="center"/>
        <w:divId w:val="303123777"/>
        <w:rPr>
          <w:rFonts w:eastAsia="Times New Roman"/>
        </w:rPr>
      </w:pPr>
      <w:r>
        <w:rPr>
          <w:rFonts w:eastAsia="Times New Roman"/>
          <w:color w:val="000000"/>
          <w:sz w:val="20"/>
          <w:szCs w:val="20"/>
        </w:rPr>
        <w:t>39</w:t>
      </w:r>
    </w:p>
    <w:p w:rsidR="00000000" w:rsidRDefault="00BE60E9">
      <w:pPr>
        <w:rPr>
          <w:rFonts w:eastAsia="Times New Roman"/>
        </w:rPr>
      </w:pPr>
      <w:r>
        <w:rPr>
          <w:rFonts w:eastAsia="Times New Roman"/>
        </w:rPr>
        <w:pict>
          <v:rect id="_x0000_i1065" style="width:0;height:1.5pt" o:hralign="center" o:hrstd="t" o:hr="t" fillcolor="#a0a0a0" stroked="f"/>
        </w:pict>
      </w:r>
    </w:p>
    <w:p w:rsidR="00000000" w:rsidRDefault="00BE60E9">
      <w:pPr>
        <w:divId w:val="1168323667"/>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1768037367"/>
        <w:rPr>
          <w:rFonts w:eastAsia="Times New Roman"/>
        </w:rPr>
      </w:pPr>
      <w:r>
        <w:rPr>
          <w:rFonts w:eastAsia="Times New Roman"/>
          <w:b/>
          <w:bCs/>
          <w:color w:val="000000"/>
          <w:sz w:val="20"/>
          <w:szCs w:val="20"/>
        </w:rPr>
        <w:t>UGI CORPORATION AND SUBSIDIARIES</w:t>
      </w:r>
    </w:p>
    <w:p w:rsidR="00000000" w:rsidRDefault="00BE60E9">
      <w:pPr>
        <w:jc w:val="both"/>
        <w:rPr>
          <w:rFonts w:eastAsia="Times New Roman"/>
        </w:rPr>
      </w:pPr>
      <w:r>
        <w:rPr>
          <w:rFonts w:eastAsia="Times New Roman"/>
          <w:color w:val="000000"/>
          <w:sz w:val="20"/>
          <w:szCs w:val="20"/>
        </w:rPr>
        <w:t>increased $71 million during the 2022 three-month period largely reflecting higher average propane selling prices ($94 million) compared to the prior-year period. This increase was partially offset by the effects of the previously mentioned decrease in ret</w:t>
      </w:r>
      <w:r>
        <w:rPr>
          <w:rFonts w:eastAsia="Times New Roman"/>
          <w:color w:val="000000"/>
          <w:sz w:val="20"/>
          <w:szCs w:val="20"/>
        </w:rPr>
        <w:t xml:space="preserve">ail propane volumes sold ($25 million). </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 xml:space="preserve">Total cost of sales increased $103 million during the 2022 three-month period largely attributable to the higher average propane product costs ($119 million). This increase was partially offset by the decrease in </w:t>
      </w:r>
      <w:r>
        <w:rPr>
          <w:rFonts w:eastAsia="Times New Roman"/>
          <w:color w:val="000000"/>
          <w:sz w:val="20"/>
          <w:szCs w:val="20"/>
        </w:rPr>
        <w:t>retail propane volumes sold ($12 million). Total margin decreased $32 million in the 2022 three-month period largely attributable to the lower retail propane margins ($21 million) and volumes ($13 million).</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Operating income and earnings before interest e</w:t>
      </w:r>
      <w:r>
        <w:rPr>
          <w:rFonts w:eastAsia="Times New Roman"/>
          <w:color w:val="000000"/>
          <w:sz w:val="20"/>
          <w:szCs w:val="20"/>
        </w:rPr>
        <w:t xml:space="preserve">xpense and income taxes decreased $21 million during the 2022 three-month period primarily reflecting the decrease in total margin partially offset by lower operating and administrative expenses ($8 million) compared to the prior-year period. The decrease </w:t>
      </w:r>
      <w:r>
        <w:rPr>
          <w:rFonts w:eastAsia="Times New Roman"/>
          <w:color w:val="000000"/>
          <w:sz w:val="20"/>
          <w:szCs w:val="20"/>
        </w:rPr>
        <w:t>in operating and administrative expenses reflects lower expenses associated with employee benefits and compensation ($18 million), advertising ($4 million) and vehicle leases ($2 million) compared to the prior-year period. These decreases were partially of</w:t>
      </w:r>
      <w:r>
        <w:rPr>
          <w:rFonts w:eastAsia="Times New Roman"/>
          <w:color w:val="000000"/>
          <w:sz w:val="20"/>
          <w:szCs w:val="20"/>
        </w:rPr>
        <w:t>fset by, among other things, increases related to the inflationary cost environment, which included higher expenses associated with bad debt reserves ($4 million), vehicle fuel ($3 million), insurance claims ($3 million) and telecommunications ($2 million)</w:t>
      </w:r>
      <w:r>
        <w:rPr>
          <w:rFonts w:eastAsia="Times New Roman"/>
          <w:color w:val="000000"/>
          <w:sz w:val="20"/>
          <w:szCs w:val="20"/>
        </w:rPr>
        <w:t xml:space="preserve"> compared to the prior-year period.</w:t>
      </w:r>
    </w:p>
    <w:p w:rsidR="00000000" w:rsidRDefault="00BE60E9">
      <w:pPr>
        <w:jc w:val="both"/>
        <w:rPr>
          <w:rFonts w:eastAsia="Times New Roman"/>
        </w:rPr>
      </w:pPr>
    </w:p>
    <w:p w:rsidR="00000000" w:rsidRDefault="00BE60E9">
      <w:pPr>
        <w:jc w:val="both"/>
        <w:rPr>
          <w:rFonts w:eastAsia="Times New Roman"/>
        </w:rPr>
      </w:pPr>
      <w:r>
        <w:rPr>
          <w:rFonts w:eastAsia="Times New Roman"/>
          <w:b/>
          <w:bCs/>
          <w:i/>
          <w:iCs/>
          <w:color w:val="000000"/>
          <w:sz w:val="20"/>
          <w:szCs w:val="20"/>
        </w:rPr>
        <w:t>UGI International</w:t>
      </w:r>
    </w:p>
    <w:p w:rsidR="00000000" w:rsidRDefault="00BE60E9">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952"/>
        <w:gridCol w:w="38"/>
        <w:gridCol w:w="36"/>
        <w:gridCol w:w="36"/>
        <w:gridCol w:w="36"/>
        <w:gridCol w:w="120"/>
        <w:gridCol w:w="804"/>
        <w:gridCol w:w="187"/>
        <w:gridCol w:w="36"/>
        <w:gridCol w:w="36"/>
        <w:gridCol w:w="36"/>
        <w:gridCol w:w="120"/>
        <w:gridCol w:w="804"/>
        <w:gridCol w:w="187"/>
        <w:gridCol w:w="36"/>
        <w:gridCol w:w="36"/>
        <w:gridCol w:w="36"/>
        <w:gridCol w:w="121"/>
        <w:gridCol w:w="658"/>
        <w:gridCol w:w="37"/>
        <w:gridCol w:w="36"/>
        <w:gridCol w:w="36"/>
        <w:gridCol w:w="36"/>
        <w:gridCol w:w="40"/>
        <w:gridCol w:w="580"/>
        <w:gridCol w:w="187"/>
      </w:tblGrid>
      <w:tr w:rsidR="00000000">
        <w:tc>
          <w:tcPr>
            <w:tcW w:w="50" w:type="pct"/>
            <w:vAlign w:val="center"/>
            <w:hideMark/>
          </w:tcPr>
          <w:p w:rsidR="00000000" w:rsidRDefault="00BE60E9">
            <w:pPr>
              <w:jc w:val="both"/>
              <w:rPr>
                <w:rFonts w:eastAsia="Times New Roman"/>
              </w:rPr>
            </w:pPr>
          </w:p>
        </w:tc>
        <w:tc>
          <w:tcPr>
            <w:tcW w:w="245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80"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80"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93"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7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For the three months ended June 30,</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Increase (Decrease)</w:t>
            </w:r>
          </w:p>
        </w:tc>
      </w:tr>
      <w:tr w:rsidR="00000000">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r>
      <w:tr w:rsidR="00000000">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738 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572 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166 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194 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217 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143 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144 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 xml:space="preserve">Operating income </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(18)</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(45)</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Earnings before interest expense and income taxes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(15)</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(37)</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LPG retail gallons sold (millions)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155 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166 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Heating degree days—</w:t>
            </w:r>
            <w:r>
              <w:rPr>
                <w:rFonts w:eastAsia="Times New Roman"/>
                <w:color w:val="000000"/>
                <w:sz w:val="20"/>
                <w:szCs w:val="20"/>
              </w:rPr>
              <w:t>% (warmer) colder than normal (b)</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(9.1)</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24.4 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bl>
    <w:p w:rsidR="00000000" w:rsidRDefault="00BE60E9">
      <w:pPr>
        <w:jc w:val="both"/>
        <w:rPr>
          <w:rFonts w:eastAsia="Times New Roman"/>
        </w:rPr>
      </w:pPr>
    </w:p>
    <w:p w:rsidR="00000000" w:rsidRDefault="00BE60E9">
      <w:pPr>
        <w:ind w:hanging="360"/>
        <w:jc w:val="both"/>
        <w:rPr>
          <w:rFonts w:eastAsia="Times New Roman"/>
        </w:rPr>
      </w:pPr>
      <w:r>
        <w:rPr>
          <w:rFonts w:eastAsia="Times New Roman"/>
          <w:color w:val="000000"/>
          <w:sz w:val="20"/>
          <w:szCs w:val="20"/>
        </w:rPr>
        <w:t xml:space="preserve">(a)Total </w:t>
      </w:r>
      <w:r>
        <w:rPr>
          <w:rFonts w:eastAsia="Times New Roman"/>
          <w:color w:val="000000"/>
          <w:sz w:val="20"/>
          <w:szCs w:val="20"/>
        </w:rPr>
        <w:t>margin represents revenues less cost of sales.</w:t>
      </w:r>
    </w:p>
    <w:p w:rsidR="00000000" w:rsidRDefault="00BE60E9">
      <w:pPr>
        <w:ind w:hanging="360"/>
        <w:jc w:val="both"/>
        <w:rPr>
          <w:rFonts w:eastAsia="Times New Roman"/>
        </w:rPr>
      </w:pPr>
      <w:r>
        <w:rPr>
          <w:rFonts w:eastAsia="Times New Roman"/>
          <w:color w:val="000000"/>
          <w:sz w:val="20"/>
          <w:szCs w:val="20"/>
        </w:rPr>
        <w:t>(b)Deviation from average heating degree days is determined on a rolling 10-year period utilizing volume-weighted weather data at locations in our UGI International service territories.</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 xml:space="preserve">Average temperatures </w:t>
      </w:r>
      <w:r>
        <w:rPr>
          <w:rFonts w:eastAsia="Times New Roman"/>
          <w:color w:val="000000"/>
          <w:sz w:val="20"/>
          <w:szCs w:val="20"/>
        </w:rPr>
        <w:t>during the 2022 three-month period were 9.1% warmer than normal and 29.3% warmer than the prior-year period. Total LPG retail gallons sold during the 2022 three-month period decreased by 7% as compared to the prior-year period and was primarily attributabl</w:t>
      </w:r>
      <w:r>
        <w:rPr>
          <w:rFonts w:eastAsia="Times New Roman"/>
          <w:color w:val="000000"/>
          <w:sz w:val="20"/>
          <w:szCs w:val="20"/>
        </w:rPr>
        <w:t>e to the effects of weather that was warmer than the prior-year period. This decrease was partially offset by recovery of certain bulk and autogas volumes that were negatively impacted by COVID-19.</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UGI International base-currency results are translated i</w:t>
      </w:r>
      <w:r>
        <w:rPr>
          <w:rFonts w:eastAsia="Times New Roman"/>
          <w:color w:val="000000"/>
          <w:sz w:val="20"/>
          <w:szCs w:val="20"/>
        </w:rPr>
        <w:t>nto USD based upon exchange rates experienced during the reporting periods. The functional currency of a significant portion of our UGI International results is the euro and, to a much lesser extent, the British pound sterling. During the 2022 and 2021 thr</w:t>
      </w:r>
      <w:r>
        <w:rPr>
          <w:rFonts w:eastAsia="Times New Roman"/>
          <w:color w:val="000000"/>
          <w:sz w:val="20"/>
          <w:szCs w:val="20"/>
        </w:rPr>
        <w:t>ee-month periods, the average unweighted euro-to-USD translation rates were approximately $1.06 and $1.21, respectively, and the average unweighted British pound sterling-to-USD translation rates were approximately $1.26 and $1.40, respectively. Fluctuatio</w:t>
      </w:r>
      <w:r>
        <w:rPr>
          <w:rFonts w:eastAsia="Times New Roman"/>
          <w:color w:val="000000"/>
          <w:sz w:val="20"/>
          <w:szCs w:val="20"/>
        </w:rPr>
        <w:t>ns in these foreign currency exchange rates can have a significant impact on the individual financial statement components discussed below. The net effect of changes in foreign currency exchange rates on UGI International’s earnings before interest expense</w:t>
      </w:r>
      <w:r>
        <w:rPr>
          <w:rFonts w:eastAsia="Times New Roman"/>
          <w:color w:val="000000"/>
          <w:sz w:val="20"/>
          <w:szCs w:val="20"/>
        </w:rPr>
        <w:t xml:space="preserve"> and income taxes resulted in a net gain of $2 million in the 2022 three-month period. However, the impact of these changes is mitigated by the effects of forward foreign currency exchange contracts entered into over a multi-year period intended to substan</w:t>
      </w:r>
      <w:r>
        <w:rPr>
          <w:rFonts w:eastAsia="Times New Roman"/>
          <w:color w:val="000000"/>
          <w:sz w:val="20"/>
          <w:szCs w:val="20"/>
        </w:rPr>
        <w:t xml:space="preserve">tially offset this volatility. These forward foreign currency exchange contracts resulted in realized net gains of $2 million and realized net losses of $1 million in the 2022 and 2021 three-month periods, respectively. </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UGI International revenues and co</w:t>
      </w:r>
      <w:r>
        <w:rPr>
          <w:rFonts w:eastAsia="Times New Roman"/>
          <w:color w:val="000000"/>
          <w:sz w:val="20"/>
          <w:szCs w:val="20"/>
        </w:rPr>
        <w:t>st of sales increased $166 million and $189 million, respectively, during the 2022 three-month period compared to the prior-year period. Average wholesale prices for propane and butane during the 2022 three-month period in northwest Europe were approximate</w:t>
      </w:r>
      <w:r>
        <w:rPr>
          <w:rFonts w:eastAsia="Times New Roman"/>
          <w:color w:val="000000"/>
          <w:sz w:val="20"/>
          <w:szCs w:val="20"/>
        </w:rPr>
        <w:t>ly 65% and 103% higher, respectively, compared with the prior-year period. The increase in revenues and cost of sales principally reflects the impact of significant increases and volatility in natural gas and power prices on our energy marketing business a</w:t>
      </w:r>
      <w:r>
        <w:rPr>
          <w:rFonts w:eastAsia="Times New Roman"/>
          <w:color w:val="000000"/>
          <w:sz w:val="20"/>
          <w:szCs w:val="20"/>
        </w:rPr>
        <w:t>nd the effects of these higher average propane and butane selling prices and product costs compared to the prior-year period. These increases were partially offset by the translation effects of weaker foreign currencies (approximately $127 million and $102</w:t>
      </w:r>
      <w:r>
        <w:rPr>
          <w:rFonts w:eastAsia="Times New Roman"/>
          <w:color w:val="000000"/>
          <w:sz w:val="20"/>
          <w:szCs w:val="20"/>
        </w:rPr>
        <w:t xml:space="preserve"> million, respectively).</w:t>
      </w:r>
    </w:p>
    <w:p w:rsidR="00000000" w:rsidRDefault="00BE60E9">
      <w:pPr>
        <w:jc w:val="center"/>
        <w:divId w:val="1334721681"/>
        <w:rPr>
          <w:rFonts w:eastAsia="Times New Roman"/>
        </w:rPr>
      </w:pPr>
      <w:r>
        <w:rPr>
          <w:rFonts w:eastAsia="Times New Roman"/>
          <w:color w:val="000000"/>
          <w:sz w:val="20"/>
          <w:szCs w:val="20"/>
        </w:rPr>
        <w:t>40</w:t>
      </w:r>
    </w:p>
    <w:p w:rsidR="00000000" w:rsidRDefault="00BE60E9">
      <w:pPr>
        <w:rPr>
          <w:rFonts w:eastAsia="Times New Roman"/>
        </w:rPr>
      </w:pPr>
      <w:r>
        <w:rPr>
          <w:rFonts w:eastAsia="Times New Roman"/>
        </w:rPr>
        <w:pict>
          <v:rect id="_x0000_i1066" style="width:0;height:1.5pt" o:hralign="center" o:hrstd="t" o:hr="t" fillcolor="#a0a0a0" stroked="f"/>
        </w:pict>
      </w:r>
    </w:p>
    <w:p w:rsidR="00000000" w:rsidRDefault="00BE60E9">
      <w:pPr>
        <w:divId w:val="327559065"/>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779451146"/>
        <w:rPr>
          <w:rFonts w:eastAsia="Times New Roman"/>
        </w:rPr>
      </w:pPr>
      <w:r>
        <w:rPr>
          <w:rFonts w:eastAsia="Times New Roman"/>
          <w:b/>
          <w:bCs/>
          <w:color w:val="000000"/>
          <w:sz w:val="20"/>
          <w:szCs w:val="20"/>
        </w:rPr>
        <w:t>UGI CORPORATION AND SUBSIDIARIES</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 xml:space="preserve">UGI International total margin decreased $23 million during the 2022 three-month </w:t>
      </w:r>
      <w:r>
        <w:rPr>
          <w:rFonts w:eastAsia="Times New Roman"/>
          <w:color w:val="000000"/>
          <w:sz w:val="20"/>
          <w:szCs w:val="20"/>
        </w:rPr>
        <w:t>period primarily reflecting the translation effects of weaker foreign currencies (approximately $25 million), lower margin attributable to energy marketing activities and the effects of weather that was significantly warmer than the prior-year period. Thes</w:t>
      </w:r>
      <w:r>
        <w:rPr>
          <w:rFonts w:eastAsia="Times New Roman"/>
          <w:color w:val="000000"/>
          <w:sz w:val="20"/>
          <w:szCs w:val="20"/>
        </w:rPr>
        <w:t>e impacts were partially offset by strong margin management efforts within our LPG business implemented in response to the previously mentioned significant increases in commodity prices as compared to the prior-year period.</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UGI International operating in</w:t>
      </w:r>
      <w:r>
        <w:rPr>
          <w:rFonts w:eastAsia="Times New Roman"/>
          <w:color w:val="000000"/>
          <w:sz w:val="20"/>
          <w:szCs w:val="20"/>
        </w:rPr>
        <w:t>come and earnings before interest expense and income taxes decreased $18 million and $15 million, respectively, during the 2022 three-month period compared to the prior-year period. The decrease in operating income principally reflects the impact of the gl</w:t>
      </w:r>
      <w:r>
        <w:rPr>
          <w:rFonts w:eastAsia="Times New Roman"/>
          <w:color w:val="000000"/>
          <w:sz w:val="20"/>
          <w:szCs w:val="20"/>
        </w:rPr>
        <w:t>obal inflationary cost environment on our operating and administrative expenses. The net decrease in operating and administrative expenses compared to the prior-year period was driven by the effects of inflation on the underlying distribution, personnel an</w:t>
      </w:r>
      <w:r>
        <w:rPr>
          <w:rFonts w:eastAsia="Times New Roman"/>
          <w:color w:val="000000"/>
          <w:sz w:val="20"/>
          <w:szCs w:val="20"/>
        </w:rPr>
        <w:t xml:space="preserve">d maintenance costs offset by the translation effects of the weaker foreign currencies (approximately $24 million). The decrease in earnings before interest expense and income taxes in the 2022 three-month period largely reflects the decrease in operating </w:t>
      </w:r>
      <w:r>
        <w:rPr>
          <w:rFonts w:eastAsia="Times New Roman"/>
          <w:color w:val="000000"/>
          <w:sz w:val="20"/>
          <w:szCs w:val="20"/>
        </w:rPr>
        <w:t>income partially offset by higher realized gains on foreign currency exchange contracts entered into in order to reduce volatility in UGI International earnings resulting from the effects of changes in foreign currency exchange rates ($3 million).</w:t>
      </w:r>
    </w:p>
    <w:p w:rsidR="00000000" w:rsidRDefault="00BE60E9">
      <w:pPr>
        <w:jc w:val="both"/>
        <w:rPr>
          <w:rFonts w:eastAsia="Times New Roman"/>
        </w:rPr>
      </w:pPr>
    </w:p>
    <w:p w:rsidR="00000000" w:rsidRDefault="00BE60E9">
      <w:pPr>
        <w:jc w:val="both"/>
        <w:rPr>
          <w:rFonts w:eastAsia="Times New Roman"/>
        </w:rPr>
      </w:pPr>
      <w:r>
        <w:rPr>
          <w:rFonts w:eastAsia="Times New Roman"/>
          <w:b/>
          <w:bCs/>
          <w:i/>
          <w:iCs/>
          <w:color w:val="000000"/>
          <w:sz w:val="20"/>
          <w:szCs w:val="20"/>
        </w:rPr>
        <w:t>Midstr</w:t>
      </w:r>
      <w:r>
        <w:rPr>
          <w:rFonts w:eastAsia="Times New Roman"/>
          <w:b/>
          <w:bCs/>
          <w:i/>
          <w:iCs/>
          <w:color w:val="000000"/>
          <w:sz w:val="20"/>
          <w:szCs w:val="20"/>
        </w:rPr>
        <w:t>eam &amp; Marketing</w:t>
      </w:r>
    </w:p>
    <w:p w:rsidR="00000000" w:rsidRDefault="00BE60E9">
      <w:pPr>
        <w:jc w:val="both"/>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39"/>
        <w:gridCol w:w="3666"/>
        <w:gridCol w:w="38"/>
        <w:gridCol w:w="36"/>
        <w:gridCol w:w="36"/>
        <w:gridCol w:w="36"/>
        <w:gridCol w:w="120"/>
        <w:gridCol w:w="858"/>
        <w:gridCol w:w="36"/>
        <w:gridCol w:w="36"/>
        <w:gridCol w:w="36"/>
        <w:gridCol w:w="36"/>
        <w:gridCol w:w="120"/>
        <w:gridCol w:w="858"/>
        <w:gridCol w:w="36"/>
        <w:gridCol w:w="36"/>
        <w:gridCol w:w="36"/>
        <w:gridCol w:w="36"/>
        <w:gridCol w:w="121"/>
        <w:gridCol w:w="858"/>
        <w:gridCol w:w="37"/>
        <w:gridCol w:w="37"/>
        <w:gridCol w:w="37"/>
        <w:gridCol w:w="36"/>
        <w:gridCol w:w="36"/>
        <w:gridCol w:w="849"/>
        <w:gridCol w:w="187"/>
      </w:tblGrid>
      <w:tr w:rsidR="00000000">
        <w:tc>
          <w:tcPr>
            <w:tcW w:w="50" w:type="pct"/>
            <w:vAlign w:val="center"/>
            <w:hideMark/>
          </w:tcPr>
          <w:p w:rsidR="00000000" w:rsidRDefault="00BE60E9">
            <w:pPr>
              <w:jc w:val="both"/>
              <w:rPr>
                <w:rFonts w:eastAsia="Times New Roman"/>
              </w:rPr>
            </w:pPr>
          </w:p>
        </w:tc>
        <w:tc>
          <w:tcPr>
            <w:tcW w:w="225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8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8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8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8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For the three months ended June 30,</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Increase (Decrease)</w:t>
            </w:r>
          </w:p>
        </w:tc>
      </w:tr>
      <w:tr w:rsidR="00000000">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r>
      <w:tr w:rsidR="00000000">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 xml:space="preserve">Revenues </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525 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261 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264 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101 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89 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Operating income</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171 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Earnings before interest expense and income taxes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110 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bl>
    <w:p w:rsidR="00000000" w:rsidRDefault="00BE60E9">
      <w:pPr>
        <w:ind w:hanging="360"/>
        <w:jc w:val="both"/>
        <w:rPr>
          <w:rFonts w:eastAsia="Times New Roman"/>
        </w:rPr>
      </w:pPr>
      <w:r>
        <w:rPr>
          <w:rFonts w:eastAsia="Times New Roman"/>
          <w:color w:val="000000"/>
          <w:sz w:val="20"/>
          <w:szCs w:val="20"/>
        </w:rPr>
        <w:t>(a)Total margin represents revenues less cost of sales.</w:t>
      </w:r>
    </w:p>
    <w:p w:rsidR="00000000" w:rsidRDefault="00BE60E9">
      <w:pPr>
        <w:divId w:val="1178616420"/>
        <w:rPr>
          <w:rFonts w:eastAsia="Times New Roman"/>
        </w:rPr>
      </w:pPr>
    </w:p>
    <w:p w:rsidR="00000000" w:rsidRDefault="00BE60E9">
      <w:pPr>
        <w:jc w:val="both"/>
        <w:rPr>
          <w:rFonts w:eastAsia="Times New Roman"/>
        </w:rPr>
      </w:pPr>
      <w:r>
        <w:rPr>
          <w:rFonts w:eastAsia="Times New Roman"/>
          <w:color w:val="000000"/>
          <w:sz w:val="20"/>
          <w:szCs w:val="20"/>
        </w:rPr>
        <w:t>Average temperatures across Midstream &amp; Marketing’s energy marketing territory duri</w:t>
      </w:r>
      <w:r>
        <w:rPr>
          <w:rFonts w:eastAsia="Times New Roman"/>
          <w:color w:val="000000"/>
          <w:sz w:val="20"/>
          <w:szCs w:val="20"/>
        </w:rPr>
        <w:t>ng the 2022 three-month period were 5.2% warmer than normal and 5.8% warmer than the prior-year period.</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Midstream &amp; Marketing revenues and cost of sales for the 2022 three-month period increased $264 million and $240 million, respectively, compared to th</w:t>
      </w:r>
      <w:r>
        <w:rPr>
          <w:rFonts w:eastAsia="Times New Roman"/>
          <w:color w:val="000000"/>
          <w:sz w:val="20"/>
          <w:szCs w:val="20"/>
        </w:rPr>
        <w:t>e prior-year period. These increases were largely driven by natural gas marketing, including the effects of peaking and capacity management activities, which were impacted by significantly higher average natural gas prices compared to the prior-year period</w:t>
      </w:r>
      <w:r>
        <w:rPr>
          <w:rFonts w:eastAsia="Times New Roman"/>
          <w:color w:val="000000"/>
          <w:sz w:val="20"/>
          <w:szCs w:val="20"/>
        </w:rPr>
        <w:t xml:space="preserve">. As a result, revenues and cost of sales attributable to natural gas marketing activities increased $239 million and $236 million, respectively, during the 2022 three-month period. </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Midstream &amp; Marketing total margin increased $24 million in the 2022 th</w:t>
      </w:r>
      <w:r>
        <w:rPr>
          <w:rFonts w:eastAsia="Times New Roman"/>
          <w:color w:val="000000"/>
          <w:sz w:val="20"/>
          <w:szCs w:val="20"/>
        </w:rPr>
        <w:t>ree-month period largely reflecting higher margin attributable to natural gas marketing activities ($19 million) and incremental margin attributable to UGI Moraine East ($5 million). The increase in margin related to natural gas marketing activities largel</w:t>
      </w:r>
      <w:r>
        <w:rPr>
          <w:rFonts w:eastAsia="Times New Roman"/>
          <w:color w:val="000000"/>
          <w:sz w:val="20"/>
          <w:szCs w:val="20"/>
        </w:rPr>
        <w:t xml:space="preserve">y reflects the effects of capacity management including the positive impact of settlement timing of certain multi-year commodity storage hedge contracts during the 2022 three-month period. </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Midstream &amp; Marketing operating income and earnings before inter</w:t>
      </w:r>
      <w:r>
        <w:rPr>
          <w:rFonts w:eastAsia="Times New Roman"/>
          <w:color w:val="000000"/>
          <w:sz w:val="20"/>
          <w:szCs w:val="20"/>
        </w:rPr>
        <w:t>est expense and income taxes during the 2022 three-month period increased $24 million and $23 million, respectively, compared to the prior-year period. These improvements were largely attributable to the higher total margin including incremental contributi</w:t>
      </w:r>
      <w:r>
        <w:rPr>
          <w:rFonts w:eastAsia="Times New Roman"/>
          <w:color w:val="000000"/>
          <w:sz w:val="20"/>
          <w:szCs w:val="20"/>
        </w:rPr>
        <w:t xml:space="preserve">ons related to UGI Moraine East. </w:t>
      </w:r>
    </w:p>
    <w:p w:rsidR="00000000" w:rsidRDefault="00BE60E9">
      <w:pPr>
        <w:jc w:val="center"/>
        <w:divId w:val="536285092"/>
        <w:rPr>
          <w:rFonts w:eastAsia="Times New Roman"/>
        </w:rPr>
      </w:pPr>
      <w:r>
        <w:rPr>
          <w:rFonts w:eastAsia="Times New Roman"/>
          <w:color w:val="000000"/>
          <w:sz w:val="20"/>
          <w:szCs w:val="20"/>
        </w:rPr>
        <w:t>41</w:t>
      </w:r>
    </w:p>
    <w:p w:rsidR="00000000" w:rsidRDefault="00BE60E9">
      <w:pPr>
        <w:rPr>
          <w:rFonts w:eastAsia="Times New Roman"/>
        </w:rPr>
      </w:pPr>
      <w:r>
        <w:rPr>
          <w:rFonts w:eastAsia="Times New Roman"/>
        </w:rPr>
        <w:pict>
          <v:rect id="_x0000_i1067" style="width:0;height:1.5pt" o:hralign="center" o:hrstd="t" o:hr="t" fillcolor="#a0a0a0" stroked="f"/>
        </w:pict>
      </w:r>
    </w:p>
    <w:p w:rsidR="00000000" w:rsidRDefault="00BE60E9">
      <w:pPr>
        <w:divId w:val="641891040"/>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561788872"/>
        <w:rPr>
          <w:rFonts w:eastAsia="Times New Roman"/>
        </w:rPr>
      </w:pPr>
      <w:r>
        <w:rPr>
          <w:rFonts w:eastAsia="Times New Roman"/>
          <w:b/>
          <w:bCs/>
          <w:color w:val="000000"/>
          <w:sz w:val="20"/>
          <w:szCs w:val="20"/>
        </w:rPr>
        <w:t>UGI CORPORATION AND SUBSIDIARIES</w:t>
      </w:r>
    </w:p>
    <w:p w:rsidR="00000000" w:rsidRDefault="00BE60E9">
      <w:pPr>
        <w:divId w:val="374933800"/>
        <w:rPr>
          <w:rFonts w:eastAsia="Times New Roman"/>
        </w:rPr>
      </w:pPr>
    </w:p>
    <w:p w:rsidR="00000000" w:rsidRDefault="00BE60E9">
      <w:pPr>
        <w:divId w:val="1607035591"/>
        <w:rPr>
          <w:rFonts w:eastAsia="Times New Roman"/>
        </w:rPr>
      </w:pPr>
      <w:r>
        <w:rPr>
          <w:rFonts w:eastAsia="Times New Roman"/>
          <w:b/>
          <w:bCs/>
          <w:i/>
          <w:iCs/>
          <w:color w:val="000000"/>
          <w:sz w:val="20"/>
          <w:szCs w:val="20"/>
        </w:rPr>
        <w:t>Utilities</w:t>
      </w:r>
    </w:p>
    <w:p w:rsidR="00000000" w:rsidRDefault="00BE60E9">
      <w:pPr>
        <w:divId w:val="2077049603"/>
        <w:rPr>
          <w:rFonts w:eastAsia="Times New Roman"/>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4061"/>
        <w:gridCol w:w="38"/>
        <w:gridCol w:w="36"/>
        <w:gridCol w:w="36"/>
        <w:gridCol w:w="36"/>
        <w:gridCol w:w="120"/>
        <w:gridCol w:w="718"/>
        <w:gridCol w:w="187"/>
        <w:gridCol w:w="36"/>
        <w:gridCol w:w="36"/>
        <w:gridCol w:w="36"/>
        <w:gridCol w:w="120"/>
        <w:gridCol w:w="730"/>
        <w:gridCol w:w="187"/>
        <w:gridCol w:w="36"/>
        <w:gridCol w:w="36"/>
        <w:gridCol w:w="36"/>
        <w:gridCol w:w="121"/>
        <w:gridCol w:w="672"/>
        <w:gridCol w:w="36"/>
        <w:gridCol w:w="36"/>
        <w:gridCol w:w="36"/>
        <w:gridCol w:w="36"/>
        <w:gridCol w:w="40"/>
        <w:gridCol w:w="593"/>
        <w:gridCol w:w="187"/>
      </w:tblGrid>
      <w:tr w:rsidR="00000000">
        <w:trPr>
          <w:jc w:val="center"/>
        </w:trPr>
        <w:tc>
          <w:tcPr>
            <w:tcW w:w="50" w:type="pct"/>
            <w:vAlign w:val="center"/>
            <w:hideMark/>
          </w:tcPr>
          <w:p w:rsidR="00000000" w:rsidRDefault="00BE60E9">
            <w:pPr>
              <w:rPr>
                <w:rFonts w:eastAsia="Times New Roman"/>
              </w:rPr>
            </w:pPr>
          </w:p>
        </w:tc>
        <w:tc>
          <w:tcPr>
            <w:tcW w:w="252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3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38"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0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80"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For the three months ended June 30,</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Increase (Decrease)</w:t>
            </w:r>
          </w:p>
        </w:tc>
      </w:tr>
      <w:tr w:rsidR="00000000">
        <w:trPr>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274 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181 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93 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151 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113 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Operating and administrative expenses (a)</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79 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59 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34 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Operating income</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58 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Earnings before interest expense and income taxes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Gas Utility system throughput—bcf</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BE60E9">
            <w:pPr>
              <w:spacing w:after="100"/>
              <w:rPr>
                <w:rFonts w:eastAsia="Times New Roman"/>
              </w:rPr>
            </w:pPr>
            <w:r>
              <w:rPr>
                <w:rFonts w:eastAsia="Times New Roman"/>
                <w:color w:val="000000"/>
                <w:sz w:val="20"/>
                <w:szCs w:val="20"/>
              </w:rPr>
              <w:t>Core market</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BE60E9">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74 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62 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Electric Utility distribution sales - gwh</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220 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223 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Gas Utility heating degree days—% (warmer) colder than normal (b)</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(3.0)</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bl>
    <w:p w:rsidR="00000000" w:rsidRDefault="00BE60E9">
      <w:pPr>
        <w:ind w:hanging="360"/>
        <w:jc w:val="both"/>
        <w:rPr>
          <w:rFonts w:eastAsia="Times New Roman"/>
        </w:rPr>
      </w:pPr>
      <w:r>
        <w:rPr>
          <w:rFonts w:eastAsia="Times New Roman"/>
          <w:color w:val="000000"/>
          <w:sz w:val="20"/>
          <w:szCs w:val="20"/>
        </w:rPr>
        <w:t>(a)Total margin represents revenues less cost of sales and revenue-related taxes (i.e., gross receipts and business and occupation taxes) of $2 million and $1 million, respectively, during the 2022 and 2021 three-month periods. For fi</w:t>
      </w:r>
      <w:r>
        <w:rPr>
          <w:rFonts w:eastAsia="Times New Roman"/>
          <w:color w:val="000000"/>
          <w:sz w:val="20"/>
          <w:szCs w:val="20"/>
        </w:rPr>
        <w:t>nancial statement purposes, revenue-related taxes are included in “Operating and administrative expenses” on the Condensed Consolidated Statements of Income (but are excluded from operating and administrative expenses presented above).</w:t>
      </w:r>
    </w:p>
    <w:p w:rsidR="00000000" w:rsidRDefault="00BE60E9">
      <w:pPr>
        <w:ind w:hanging="360"/>
        <w:jc w:val="both"/>
        <w:rPr>
          <w:rFonts w:eastAsia="Times New Roman"/>
        </w:rPr>
      </w:pPr>
      <w:r>
        <w:rPr>
          <w:rFonts w:eastAsia="Times New Roman"/>
          <w:color w:val="000000"/>
          <w:sz w:val="20"/>
          <w:szCs w:val="20"/>
        </w:rPr>
        <w:t>(b)Deviation from av</w:t>
      </w:r>
      <w:r>
        <w:rPr>
          <w:rFonts w:eastAsia="Times New Roman"/>
          <w:color w:val="000000"/>
          <w:sz w:val="20"/>
          <w:szCs w:val="20"/>
        </w:rPr>
        <w:t>erage heating degree days is determined on a 10-year period utilizing volume-weighted weather data based on weather statistics provided by NOAA for airports located within Gas Utility’s service territories.</w:t>
      </w:r>
    </w:p>
    <w:p w:rsidR="00000000" w:rsidRDefault="00BE60E9">
      <w:pPr>
        <w:jc w:val="both"/>
        <w:rPr>
          <w:rFonts w:eastAsia="Times New Roman"/>
        </w:rPr>
      </w:pPr>
    </w:p>
    <w:p w:rsidR="00000000" w:rsidRDefault="00BE60E9">
      <w:pPr>
        <w:jc w:val="both"/>
        <w:divId w:val="1351689176"/>
        <w:rPr>
          <w:rFonts w:eastAsia="Times New Roman"/>
        </w:rPr>
      </w:pPr>
      <w:r>
        <w:rPr>
          <w:rFonts w:eastAsia="Times New Roman"/>
          <w:color w:val="000000"/>
          <w:sz w:val="20"/>
          <w:szCs w:val="20"/>
        </w:rPr>
        <w:t>Temperatures in Gas Utility’s service territori</w:t>
      </w:r>
      <w:r>
        <w:rPr>
          <w:rFonts w:eastAsia="Times New Roman"/>
          <w:color w:val="000000"/>
          <w:sz w:val="20"/>
          <w:szCs w:val="20"/>
        </w:rPr>
        <w:t>es during the 2022 three-month period were 3.0% warmer than normal and 11.0% warmer than the prior-year period. The increase in Gas Utility core market and total volumes during the 2022 three-month period are largely related to incremental volumes attribut</w:t>
      </w:r>
      <w:r>
        <w:rPr>
          <w:rFonts w:eastAsia="Times New Roman"/>
          <w:color w:val="000000"/>
          <w:sz w:val="20"/>
          <w:szCs w:val="20"/>
        </w:rPr>
        <w:t xml:space="preserve">able to the acquisition of Mountaineer. </w:t>
      </w:r>
    </w:p>
    <w:p w:rsidR="00000000" w:rsidRDefault="00BE60E9">
      <w:pPr>
        <w:jc w:val="both"/>
        <w:rPr>
          <w:rFonts w:eastAsia="Times New Roman"/>
        </w:rPr>
      </w:pPr>
      <w:r>
        <w:rPr>
          <w:rFonts w:eastAsia="Times New Roman"/>
          <w:color w:val="000000"/>
          <w:sz w:val="20"/>
          <w:szCs w:val="20"/>
        </w:rPr>
        <w:t xml:space="preserve">Utilities revenues increased $93 million in the 2022 three-month period reflecting an $84 million increase in Gas Utility revenues and a $9 million increase in Electric Utility revenues. The increase in Gas Utility </w:t>
      </w:r>
      <w:r>
        <w:rPr>
          <w:rFonts w:eastAsia="Times New Roman"/>
          <w:color w:val="000000"/>
          <w:sz w:val="20"/>
          <w:szCs w:val="20"/>
        </w:rPr>
        <w:t>revenues largely reflects incremental revenues attributable to Mountaineer ($39 million), higher PGC rates compared to the prior-year period, higher pricing on off-system sales and the effects of the increase in DSIC rates. The increase in Electric Utility</w:t>
      </w:r>
      <w:r>
        <w:rPr>
          <w:rFonts w:eastAsia="Times New Roman"/>
          <w:color w:val="000000"/>
          <w:sz w:val="20"/>
          <w:szCs w:val="20"/>
        </w:rPr>
        <w:t xml:space="preserve"> revenues during the 2022 three-month period reflects the increase in base rates that went into effect in November 2021 and higher DS rates compared to the prior-year period. </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Utilities cost of sales (including revenue-related taxes) increased $55 million compared to the prior-year period. The increase in Gas Utility cost of sales ($48 million) during the 2022 three-month period reflects incremental cost attributable to Mountain</w:t>
      </w:r>
      <w:r>
        <w:rPr>
          <w:rFonts w:eastAsia="Times New Roman"/>
          <w:color w:val="000000"/>
          <w:sz w:val="20"/>
          <w:szCs w:val="20"/>
        </w:rPr>
        <w:t>eer ($14 million), higher PGC rates compared to the prior-year period, and increased cost of sales associated with off-system sales. Electric Utility cost of sales increased during the 2022 three-month period largely reflecting the higher DS rates compared</w:t>
      </w:r>
      <w:r>
        <w:rPr>
          <w:rFonts w:eastAsia="Times New Roman"/>
          <w:color w:val="000000"/>
          <w:sz w:val="20"/>
          <w:szCs w:val="20"/>
        </w:rPr>
        <w:t xml:space="preserve"> to the prior-year period. </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 xml:space="preserve">Utilities total margin increased $38 million during the 2022 three-month period largely reflecting incremental margin attributable to Mountaineer ($25 million). Gas Utility’s total margin increase also includes higher natural </w:t>
      </w:r>
      <w:r>
        <w:rPr>
          <w:rFonts w:eastAsia="Times New Roman"/>
          <w:color w:val="000000"/>
          <w:sz w:val="20"/>
          <w:szCs w:val="20"/>
        </w:rPr>
        <w:t>gas margin attributable to the increase in DSIC rates and higher margin from large delivery service customers including the effects of customer growth compared to the prior-year period. Electric Utility margin increased $2 million largely attributable to t</w:t>
      </w:r>
      <w:r>
        <w:rPr>
          <w:rFonts w:eastAsia="Times New Roman"/>
          <w:color w:val="000000"/>
          <w:sz w:val="20"/>
          <w:szCs w:val="20"/>
        </w:rPr>
        <w:t xml:space="preserve">he increase in base rates compared to the prior-year period. </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Utilities operating income and earnings before interest expense and income taxes increased $14 million and $15 million, respectively, during the 2022 three-month period. These increases largel</w:t>
      </w:r>
      <w:r>
        <w:rPr>
          <w:rFonts w:eastAsia="Times New Roman"/>
          <w:color w:val="000000"/>
          <w:sz w:val="20"/>
          <w:szCs w:val="20"/>
        </w:rPr>
        <w:t>y reflect the previously mentioned increase in total margin partially offset by higher operating and administrative expenses ($20 million) and higher depreciation expense ($8 million) compared to the prior-year period, both principally related to increment</w:t>
      </w:r>
      <w:r>
        <w:rPr>
          <w:rFonts w:eastAsia="Times New Roman"/>
          <w:color w:val="000000"/>
          <w:sz w:val="20"/>
          <w:szCs w:val="20"/>
        </w:rPr>
        <w:t xml:space="preserve">al expenses attributable to Mountaineer. The higher depreciation expense compared to the prior-year period also includes the effects of continued distribution system capital expenditure activity. The increase in earnings before interest expense and income </w:t>
      </w:r>
      <w:r>
        <w:rPr>
          <w:rFonts w:eastAsia="Times New Roman"/>
          <w:color w:val="000000"/>
          <w:sz w:val="20"/>
          <w:szCs w:val="20"/>
        </w:rPr>
        <w:t>taxes also includes a higher non-service pension benefit compared to the prior-year period.</w:t>
      </w:r>
    </w:p>
    <w:p w:rsidR="00000000" w:rsidRDefault="00BE60E9">
      <w:pPr>
        <w:jc w:val="both"/>
        <w:rPr>
          <w:rFonts w:eastAsia="Times New Roman"/>
        </w:rPr>
      </w:pPr>
    </w:p>
    <w:p w:rsidR="00000000" w:rsidRDefault="00BE60E9">
      <w:pPr>
        <w:jc w:val="center"/>
        <w:divId w:val="870142213"/>
        <w:rPr>
          <w:rFonts w:eastAsia="Times New Roman"/>
        </w:rPr>
      </w:pPr>
      <w:r>
        <w:rPr>
          <w:rFonts w:eastAsia="Times New Roman"/>
          <w:color w:val="000000"/>
          <w:sz w:val="20"/>
          <w:szCs w:val="20"/>
        </w:rPr>
        <w:t>42</w:t>
      </w:r>
    </w:p>
    <w:p w:rsidR="00000000" w:rsidRDefault="00BE60E9">
      <w:pPr>
        <w:rPr>
          <w:rFonts w:eastAsia="Times New Roman"/>
        </w:rPr>
      </w:pPr>
      <w:r>
        <w:rPr>
          <w:rFonts w:eastAsia="Times New Roman"/>
        </w:rPr>
        <w:pict>
          <v:rect id="_x0000_i1068" style="width:0;height:1.5pt" o:hralign="center" o:hrstd="t" o:hr="t" fillcolor="#a0a0a0" stroked="f"/>
        </w:pict>
      </w:r>
    </w:p>
    <w:p w:rsidR="00000000" w:rsidRDefault="00BE60E9">
      <w:pPr>
        <w:divId w:val="1720469617"/>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1064370293"/>
        <w:rPr>
          <w:rFonts w:eastAsia="Times New Roman"/>
        </w:rPr>
      </w:pPr>
      <w:r>
        <w:rPr>
          <w:rFonts w:eastAsia="Times New Roman"/>
          <w:b/>
          <w:bCs/>
          <w:color w:val="000000"/>
          <w:sz w:val="20"/>
          <w:szCs w:val="20"/>
        </w:rPr>
        <w:t>UGI CORPORATION AND SUBSIDIARIES</w:t>
      </w:r>
    </w:p>
    <w:p w:rsidR="00000000" w:rsidRDefault="00BE60E9">
      <w:pPr>
        <w:jc w:val="both"/>
        <w:rPr>
          <w:rFonts w:eastAsia="Times New Roman"/>
        </w:rPr>
      </w:pPr>
      <w:r>
        <w:rPr>
          <w:rFonts w:eastAsia="Times New Roman"/>
          <w:b/>
          <w:bCs/>
          <w:i/>
          <w:iCs/>
          <w:color w:val="000000"/>
          <w:sz w:val="20"/>
          <w:szCs w:val="20"/>
        </w:rPr>
        <w:t>Interest Expe</w:t>
      </w:r>
      <w:r>
        <w:rPr>
          <w:rFonts w:eastAsia="Times New Roman"/>
          <w:b/>
          <w:bCs/>
          <w:i/>
          <w:iCs/>
          <w:color w:val="000000"/>
          <w:sz w:val="20"/>
          <w:szCs w:val="20"/>
        </w:rPr>
        <w:t>nse and Income Taxes</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Our consolidated interest expense during the 2022 three-month period was $82 million compared to $77 million during the 2021 three-month period. This increase largely reflects the effects of incremental long-term debt outstanding during the current period,</w:t>
      </w:r>
      <w:r>
        <w:rPr>
          <w:rFonts w:eastAsia="Times New Roman"/>
          <w:color w:val="000000"/>
          <w:sz w:val="20"/>
          <w:szCs w:val="20"/>
        </w:rPr>
        <w:t xml:space="preserve"> net of repayments, primarily related to the Mountaineer Acquisition and UGI Utilities’ issuance of senior notes during the second half of Fiscal 2021. </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The Company’s effective income tax rate for the 2022 three-month period largely reflects the impact o</w:t>
      </w:r>
      <w:r>
        <w:rPr>
          <w:rFonts w:eastAsia="Times New Roman"/>
          <w:color w:val="000000"/>
          <w:sz w:val="20"/>
          <w:szCs w:val="20"/>
        </w:rPr>
        <w:t>f discrete tax items on a small pre-tax loss during the prior year period. In addition, the absence of benefits under the CARES Act was largely offset by the net effects of a decrease in the concentration of foreign earnings reflecting foreign statutory ta</w:t>
      </w:r>
      <w:r>
        <w:rPr>
          <w:rFonts w:eastAsia="Times New Roman"/>
          <w:color w:val="000000"/>
          <w:sz w:val="20"/>
          <w:szCs w:val="20"/>
        </w:rPr>
        <w:t xml:space="preserve">x rates that exceed the U.S. statutory rate. </w:t>
      </w:r>
    </w:p>
    <w:p w:rsidR="00000000" w:rsidRDefault="00BE60E9">
      <w:pPr>
        <w:jc w:val="both"/>
        <w:rPr>
          <w:rFonts w:eastAsia="Times New Roman"/>
        </w:rPr>
      </w:pPr>
    </w:p>
    <w:p w:rsidR="00000000" w:rsidRDefault="00BE60E9">
      <w:pPr>
        <w:jc w:val="both"/>
        <w:divId w:val="12849686"/>
        <w:rPr>
          <w:rFonts w:eastAsia="Times New Roman"/>
        </w:rPr>
      </w:pPr>
      <w:r>
        <w:rPr>
          <w:rFonts w:eastAsia="Times New Roman"/>
          <w:color w:val="000000"/>
          <w:sz w:val="20"/>
          <w:szCs w:val="20"/>
        </w:rPr>
        <w:t>The Company continues to evaluate the elections available under current regulations and pending legislation. Accordingly, the impacts on the Company’s income tax provisions and taxes payable or refundable rel</w:t>
      </w:r>
      <w:r>
        <w:rPr>
          <w:rFonts w:eastAsia="Times New Roman"/>
          <w:color w:val="000000"/>
          <w:sz w:val="20"/>
          <w:szCs w:val="20"/>
        </w:rPr>
        <w:t>ated to these items are subject to change.</w:t>
      </w:r>
    </w:p>
    <w:p w:rsidR="00000000" w:rsidRDefault="00BE60E9">
      <w:pPr>
        <w:jc w:val="both"/>
        <w:divId w:val="1658342662"/>
        <w:rPr>
          <w:rFonts w:eastAsia="Times New Roman"/>
        </w:rPr>
      </w:pPr>
      <w:r>
        <w:rPr>
          <w:rFonts w:eastAsia="Times New Roman"/>
          <w:b/>
          <w:bCs/>
          <w:color w:val="000000"/>
          <w:sz w:val="20"/>
          <w:szCs w:val="20"/>
        </w:rPr>
        <w:t>2022 Nine-Month Period Compared with the 2021 Nine-Month Period</w:t>
      </w:r>
    </w:p>
    <w:p w:rsidR="00000000" w:rsidRDefault="00BE60E9">
      <w:pPr>
        <w:divId w:val="138958943"/>
        <w:rPr>
          <w:rFonts w:eastAsia="Times New Roman"/>
        </w:rPr>
      </w:pPr>
      <w:r>
        <w:rPr>
          <w:rFonts w:eastAsia="Times New Roman"/>
          <w:b/>
          <w:bCs/>
          <w:i/>
          <w:iCs/>
          <w:color w:val="000000"/>
          <w:sz w:val="20"/>
          <w:szCs w:val="20"/>
        </w:rPr>
        <w:t>AmeriGas Propane</w:t>
      </w:r>
    </w:p>
    <w:tbl>
      <w:tblPr>
        <w:tblW w:w="4992" w:type="pct"/>
        <w:tblCellMar>
          <w:top w:w="15" w:type="dxa"/>
          <w:left w:w="15" w:type="dxa"/>
          <w:bottom w:w="15" w:type="dxa"/>
          <w:right w:w="15" w:type="dxa"/>
        </w:tblCellMar>
        <w:tblLook w:val="04A0" w:firstRow="1" w:lastRow="0" w:firstColumn="1" w:lastColumn="0" w:noHBand="0" w:noVBand="1"/>
      </w:tblPr>
      <w:tblGrid>
        <w:gridCol w:w="40"/>
        <w:gridCol w:w="3731"/>
        <w:gridCol w:w="39"/>
        <w:gridCol w:w="36"/>
        <w:gridCol w:w="36"/>
        <w:gridCol w:w="36"/>
        <w:gridCol w:w="120"/>
        <w:gridCol w:w="802"/>
        <w:gridCol w:w="187"/>
        <w:gridCol w:w="36"/>
        <w:gridCol w:w="36"/>
        <w:gridCol w:w="36"/>
        <w:gridCol w:w="120"/>
        <w:gridCol w:w="802"/>
        <w:gridCol w:w="187"/>
        <w:gridCol w:w="36"/>
        <w:gridCol w:w="36"/>
        <w:gridCol w:w="36"/>
        <w:gridCol w:w="121"/>
        <w:gridCol w:w="682"/>
        <w:gridCol w:w="37"/>
        <w:gridCol w:w="37"/>
        <w:gridCol w:w="37"/>
        <w:gridCol w:w="36"/>
        <w:gridCol w:w="36"/>
        <w:gridCol w:w="768"/>
        <w:gridCol w:w="187"/>
      </w:tblGrid>
      <w:tr w:rsidR="00000000">
        <w:tc>
          <w:tcPr>
            <w:tcW w:w="50" w:type="pct"/>
            <w:vAlign w:val="center"/>
            <w:hideMark/>
          </w:tcPr>
          <w:p w:rsidR="00000000" w:rsidRDefault="00BE60E9">
            <w:pPr>
              <w:rPr>
                <w:rFonts w:eastAsia="Times New Roman"/>
              </w:rPr>
            </w:pPr>
          </w:p>
        </w:tc>
        <w:tc>
          <w:tcPr>
            <w:tcW w:w="2324"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8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8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08"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8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For the nine months ended June 30,</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Increase (Decrease)</w:t>
            </w:r>
          </w:p>
        </w:tc>
      </w:tr>
      <w:tr w:rsidR="00000000">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r>
      <w:tr w:rsidR="00000000">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2,423 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2,132 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291 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1,090 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1,162 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(72)</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684 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666 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Operating income/earnings before interest expense and income taxes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303 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391 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(88)</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Retail gallons sold (millions)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743 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815 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(72)</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Heating degree days—</w:t>
            </w:r>
            <w:r>
              <w:rPr>
                <w:rFonts w:eastAsia="Times New Roman"/>
                <w:color w:val="000000"/>
                <w:sz w:val="20"/>
                <w:szCs w:val="20"/>
              </w:rPr>
              <w:t>% warmer than normal (b)</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(0.8)</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bl>
    <w:p w:rsidR="00000000" w:rsidRDefault="00BE60E9">
      <w:pPr>
        <w:ind w:hanging="360"/>
        <w:jc w:val="both"/>
        <w:rPr>
          <w:rFonts w:eastAsia="Times New Roman"/>
        </w:rPr>
      </w:pPr>
      <w:r>
        <w:rPr>
          <w:rFonts w:eastAsia="Times New Roman"/>
          <w:color w:val="000000"/>
          <w:sz w:val="20"/>
          <w:szCs w:val="20"/>
        </w:rPr>
        <w:t>(a)Total margin represents total revenues less total cost of sales.</w:t>
      </w:r>
    </w:p>
    <w:p w:rsidR="00000000" w:rsidRDefault="00BE60E9">
      <w:pPr>
        <w:ind w:hanging="360"/>
        <w:jc w:val="both"/>
        <w:rPr>
          <w:rFonts w:eastAsia="Times New Roman"/>
        </w:rPr>
      </w:pPr>
      <w:r>
        <w:rPr>
          <w:rFonts w:eastAsia="Times New Roman"/>
          <w:color w:val="000000"/>
          <w:sz w:val="20"/>
          <w:szCs w:val="20"/>
        </w:rPr>
        <w:t>(b)Deviation from average heating degree days is determined</w:t>
      </w:r>
      <w:r>
        <w:rPr>
          <w:rFonts w:eastAsia="Times New Roman"/>
          <w:color w:val="000000"/>
          <w:sz w:val="20"/>
          <w:szCs w:val="20"/>
        </w:rPr>
        <w:t xml:space="preserve"> on a rolling 10-year period utilizing volume-weighted weather data based on weather statistics provided by NOAA for 344 regions in the United States, excluding Alaska and Hawaii.</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Average temperatures during the 2022 nine-month period were relatively con</w:t>
      </w:r>
      <w:r>
        <w:rPr>
          <w:rFonts w:eastAsia="Times New Roman"/>
          <w:color w:val="000000"/>
          <w:sz w:val="20"/>
          <w:szCs w:val="20"/>
        </w:rPr>
        <w:t>sistent with normal temperatures and temperatures during the prior-year period. Total retail gallons sold decreased 9% during the 2022 nine-month period reflecting the continued impact of customer service challenges that occurred in Fiscal 2021, staffing s</w:t>
      </w:r>
      <w:r>
        <w:rPr>
          <w:rFonts w:eastAsia="Times New Roman"/>
          <w:color w:val="000000"/>
          <w:sz w:val="20"/>
          <w:szCs w:val="20"/>
        </w:rPr>
        <w:t>hortages in key delivery related positions, increased price sensitivity in the higher commodity cost environment and the prior-year impact of COVID-19 on cylinder exchange and resale volumes.</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Average daily wholesale propane commodity prices during the 20</w:t>
      </w:r>
      <w:r>
        <w:rPr>
          <w:rFonts w:eastAsia="Times New Roman"/>
          <w:color w:val="000000"/>
          <w:sz w:val="20"/>
          <w:szCs w:val="20"/>
        </w:rPr>
        <w:t xml:space="preserve">22 nine-month period at Mont Belvieu, Texas, one of the major supply points in the U.S., were approximately 63% higher than such prices during the 2021 nine-month period. This significant increase in prices has impacted both total revenues and total costs </w:t>
      </w:r>
      <w:r>
        <w:rPr>
          <w:rFonts w:eastAsia="Times New Roman"/>
          <w:color w:val="000000"/>
          <w:sz w:val="20"/>
          <w:szCs w:val="20"/>
        </w:rPr>
        <w:t>of sales during the 2022 nine-month period. Total revenues increased $291 million during the 2022 nine-month period largely reflecting higher average propane selling prices ($418 million) and higher wholesale volumes sold ($27 million) compared to the prio</w:t>
      </w:r>
      <w:r>
        <w:rPr>
          <w:rFonts w:eastAsia="Times New Roman"/>
          <w:color w:val="000000"/>
          <w:sz w:val="20"/>
          <w:szCs w:val="20"/>
        </w:rPr>
        <w:t xml:space="preserve">r-year period. These positive impacts were partially offset by the effects of the previously mentioned decrease in retail propane volumes sold ($162 million). </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Total cost of sales increased $363 million during the 2022 nine-month period largely attributa</w:t>
      </w:r>
      <w:r>
        <w:rPr>
          <w:rFonts w:eastAsia="Times New Roman"/>
          <w:color w:val="000000"/>
          <w:sz w:val="20"/>
          <w:szCs w:val="20"/>
        </w:rPr>
        <w:t>ble to the higher average propane product costs ($405 million) and higher wholesale propane volumes sold ($25 million). These increases in cost of sales were partially offset by the decrease in retail propane volumes sold ($72 million). Total margin decrea</w:t>
      </w:r>
      <w:r>
        <w:rPr>
          <w:rFonts w:eastAsia="Times New Roman"/>
          <w:color w:val="000000"/>
          <w:sz w:val="20"/>
          <w:szCs w:val="20"/>
        </w:rPr>
        <w:t xml:space="preserve">sed $72 million in the 2022 nine-month period largely attributable to the lower retail propane volumes ($90 million) partially offset by higher average propane margins ($12 million). </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Operating income and earnings before interest expense and income taxes</w:t>
      </w:r>
      <w:r>
        <w:rPr>
          <w:rFonts w:eastAsia="Times New Roman"/>
          <w:color w:val="000000"/>
          <w:sz w:val="20"/>
          <w:szCs w:val="20"/>
        </w:rPr>
        <w:t xml:space="preserve"> decreased $88 million during the 2022 nine-month period primarily reflecting the decrease in total margin and higher operating and administrative expenses ($18 million) compared to the prior-year period. The increase in operating and administrative expens</w:t>
      </w:r>
      <w:r>
        <w:rPr>
          <w:rFonts w:eastAsia="Times New Roman"/>
          <w:color w:val="000000"/>
          <w:sz w:val="20"/>
          <w:szCs w:val="20"/>
        </w:rPr>
        <w:t>es was impacted by the inflationary cost environment and reflects, among other things, higher expenses associated with general insurance and claims paid ($15 million), bad debt reserves ($11 million), vehicle fuel ($10 million) and telecommunications ($7 m</w:t>
      </w:r>
      <w:r>
        <w:rPr>
          <w:rFonts w:eastAsia="Times New Roman"/>
          <w:color w:val="000000"/>
          <w:sz w:val="20"/>
          <w:szCs w:val="20"/>
        </w:rPr>
        <w:t xml:space="preserve">illion) compared to the prior-year </w:t>
      </w:r>
    </w:p>
    <w:p w:rsidR="00000000" w:rsidRDefault="00BE60E9">
      <w:pPr>
        <w:jc w:val="center"/>
        <w:divId w:val="1206210919"/>
        <w:rPr>
          <w:rFonts w:eastAsia="Times New Roman"/>
        </w:rPr>
      </w:pPr>
      <w:r>
        <w:rPr>
          <w:rFonts w:eastAsia="Times New Roman"/>
          <w:color w:val="000000"/>
          <w:sz w:val="20"/>
          <w:szCs w:val="20"/>
        </w:rPr>
        <w:t>43</w:t>
      </w:r>
    </w:p>
    <w:p w:rsidR="00000000" w:rsidRDefault="00BE60E9">
      <w:pPr>
        <w:rPr>
          <w:rFonts w:eastAsia="Times New Roman"/>
        </w:rPr>
      </w:pPr>
      <w:r>
        <w:rPr>
          <w:rFonts w:eastAsia="Times New Roman"/>
        </w:rPr>
        <w:pict>
          <v:rect id="_x0000_i1069" style="width:0;height:1.5pt" o:hralign="center" o:hrstd="t" o:hr="t" fillcolor="#a0a0a0" stroked="f"/>
        </w:pict>
      </w:r>
    </w:p>
    <w:p w:rsidR="00000000" w:rsidRDefault="00BE60E9">
      <w:pPr>
        <w:divId w:val="616136659"/>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2122603101"/>
        <w:rPr>
          <w:rFonts w:eastAsia="Times New Roman"/>
        </w:rPr>
      </w:pPr>
      <w:r>
        <w:rPr>
          <w:rFonts w:eastAsia="Times New Roman"/>
          <w:b/>
          <w:bCs/>
          <w:color w:val="000000"/>
          <w:sz w:val="20"/>
          <w:szCs w:val="20"/>
        </w:rPr>
        <w:t>UGI CORPORATION AND SUBSIDIARIES</w:t>
      </w:r>
    </w:p>
    <w:p w:rsidR="00000000" w:rsidRDefault="00BE60E9">
      <w:pPr>
        <w:jc w:val="both"/>
        <w:rPr>
          <w:rFonts w:eastAsia="Times New Roman"/>
        </w:rPr>
      </w:pPr>
      <w:r>
        <w:rPr>
          <w:rFonts w:eastAsia="Times New Roman"/>
          <w:color w:val="000000"/>
          <w:sz w:val="20"/>
          <w:szCs w:val="20"/>
        </w:rPr>
        <w:t>period. These increases were partially offset by lower expenses associa</w:t>
      </w:r>
      <w:r>
        <w:rPr>
          <w:rFonts w:eastAsia="Times New Roman"/>
          <w:color w:val="000000"/>
          <w:sz w:val="20"/>
          <w:szCs w:val="20"/>
        </w:rPr>
        <w:t>ted with employee compensation and benefits ($24 million) and vehicle leases ($5 million) compared to the prior-year period.</w:t>
      </w:r>
    </w:p>
    <w:p w:rsidR="00000000" w:rsidRDefault="00BE60E9">
      <w:pPr>
        <w:jc w:val="both"/>
        <w:rPr>
          <w:rFonts w:eastAsia="Times New Roman"/>
        </w:rPr>
      </w:pPr>
    </w:p>
    <w:p w:rsidR="00000000" w:rsidRDefault="00BE60E9">
      <w:pPr>
        <w:jc w:val="both"/>
        <w:rPr>
          <w:rFonts w:eastAsia="Times New Roman"/>
        </w:rPr>
      </w:pPr>
      <w:r>
        <w:rPr>
          <w:rFonts w:eastAsia="Times New Roman"/>
          <w:b/>
          <w:bCs/>
          <w:i/>
          <w:iCs/>
          <w:color w:val="000000"/>
          <w:sz w:val="20"/>
          <w:szCs w:val="20"/>
        </w:rPr>
        <w:t>UGI International</w:t>
      </w:r>
    </w:p>
    <w:tbl>
      <w:tblPr>
        <w:tblW w:w="5000" w:type="pct"/>
        <w:tblCellMar>
          <w:top w:w="15" w:type="dxa"/>
          <w:left w:w="15" w:type="dxa"/>
          <w:bottom w:w="15" w:type="dxa"/>
          <w:right w:w="15" w:type="dxa"/>
        </w:tblCellMar>
        <w:tblLook w:val="04A0" w:firstRow="1" w:lastRow="0" w:firstColumn="1" w:lastColumn="0" w:noHBand="0" w:noVBand="1"/>
      </w:tblPr>
      <w:tblGrid>
        <w:gridCol w:w="39"/>
        <w:gridCol w:w="3953"/>
        <w:gridCol w:w="38"/>
        <w:gridCol w:w="36"/>
        <w:gridCol w:w="36"/>
        <w:gridCol w:w="36"/>
        <w:gridCol w:w="120"/>
        <w:gridCol w:w="804"/>
        <w:gridCol w:w="187"/>
        <w:gridCol w:w="36"/>
        <w:gridCol w:w="36"/>
        <w:gridCol w:w="36"/>
        <w:gridCol w:w="120"/>
        <w:gridCol w:w="804"/>
        <w:gridCol w:w="187"/>
        <w:gridCol w:w="36"/>
        <w:gridCol w:w="36"/>
        <w:gridCol w:w="36"/>
        <w:gridCol w:w="120"/>
        <w:gridCol w:w="658"/>
        <w:gridCol w:w="36"/>
        <w:gridCol w:w="36"/>
        <w:gridCol w:w="36"/>
        <w:gridCol w:w="36"/>
        <w:gridCol w:w="38"/>
        <w:gridCol w:w="583"/>
        <w:gridCol w:w="187"/>
      </w:tblGrid>
      <w:tr w:rsidR="00000000">
        <w:trPr>
          <w:divId w:val="592277741"/>
        </w:trPr>
        <w:tc>
          <w:tcPr>
            <w:tcW w:w="50" w:type="pct"/>
            <w:vAlign w:val="center"/>
            <w:hideMark/>
          </w:tcPr>
          <w:p w:rsidR="00000000" w:rsidRDefault="00BE60E9">
            <w:pPr>
              <w:jc w:val="both"/>
              <w:rPr>
                <w:rFonts w:eastAsia="Times New Roman"/>
              </w:rPr>
            </w:pPr>
          </w:p>
        </w:tc>
        <w:tc>
          <w:tcPr>
            <w:tcW w:w="245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80"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80"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93"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7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rPr>
          <w:divId w:val="592277741"/>
        </w:trPr>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For the nine months ended June 30,</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Increase (Decrease)</w:t>
            </w:r>
          </w:p>
        </w:tc>
      </w:tr>
      <w:tr w:rsidR="00000000">
        <w:trPr>
          <w:divId w:val="592277741"/>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r>
      <w:tr w:rsidR="00000000">
        <w:trPr>
          <w:divId w:val="592277741"/>
        </w:trPr>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3,011 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2,106 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905 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rPr>
          <w:divId w:val="592277741"/>
        </w:trPr>
        <w:tc>
          <w:tcPr>
            <w:tcW w:w="0" w:type="auto"/>
            <w:gridSpan w:val="3"/>
            <w:shd w:val="clear" w:color="auto" w:fill="FFFF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744 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877 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(133)</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rPr>
          <w:divId w:val="592277741"/>
        </w:trPr>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466 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465 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rPr>
          <w:divId w:val="592277741"/>
        </w:trPr>
        <w:tc>
          <w:tcPr>
            <w:tcW w:w="0" w:type="auto"/>
            <w:gridSpan w:val="3"/>
            <w:shd w:val="clear" w:color="auto" w:fill="FFFF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 xml:space="preserve">Operating income </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211 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322 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(111)</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(34)</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rPr>
          <w:divId w:val="592277741"/>
        </w:trPr>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Earnings before interest expense and income taxes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228 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326 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(98)</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(30)</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rPr>
          <w:divId w:val="592277741"/>
        </w:trPr>
        <w:tc>
          <w:tcPr>
            <w:tcW w:w="0" w:type="auto"/>
            <w:gridSpan w:val="3"/>
            <w:shd w:val="clear" w:color="auto" w:fill="FFFF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LPG retail gallons sold (millions)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651 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644 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rPr>
          <w:divId w:val="592277741"/>
        </w:trPr>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Heating degree days—% (warmer) colder than normal (b)</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bl>
    <w:p w:rsidR="00000000" w:rsidRDefault="00BE60E9">
      <w:pPr>
        <w:ind w:hanging="360"/>
        <w:jc w:val="both"/>
        <w:rPr>
          <w:rFonts w:eastAsia="Times New Roman"/>
        </w:rPr>
      </w:pPr>
      <w:r>
        <w:rPr>
          <w:rFonts w:eastAsia="Times New Roman"/>
          <w:color w:val="000000"/>
          <w:sz w:val="20"/>
          <w:szCs w:val="20"/>
        </w:rPr>
        <w:t>(a)Total ma</w:t>
      </w:r>
      <w:r>
        <w:rPr>
          <w:rFonts w:eastAsia="Times New Roman"/>
          <w:color w:val="000000"/>
          <w:sz w:val="20"/>
          <w:szCs w:val="20"/>
        </w:rPr>
        <w:t>rgin represents revenues less cost of sales.</w:t>
      </w:r>
    </w:p>
    <w:p w:rsidR="00000000" w:rsidRDefault="00BE60E9">
      <w:pPr>
        <w:ind w:hanging="360"/>
        <w:jc w:val="both"/>
        <w:rPr>
          <w:rFonts w:eastAsia="Times New Roman"/>
        </w:rPr>
      </w:pPr>
      <w:r>
        <w:rPr>
          <w:rFonts w:eastAsia="Times New Roman"/>
          <w:color w:val="000000"/>
          <w:sz w:val="20"/>
          <w:szCs w:val="20"/>
        </w:rPr>
        <w:t>(b)Deviation from average heating degree days is determined on a rolling 10-year period utilizing volume-weighted weather data at locations in our UGI International service territories.</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Average temperatures du</w:t>
      </w:r>
      <w:r>
        <w:rPr>
          <w:rFonts w:eastAsia="Times New Roman"/>
          <w:color w:val="000000"/>
          <w:sz w:val="20"/>
          <w:szCs w:val="20"/>
        </w:rPr>
        <w:t xml:space="preserve">ring the 2022 nine-month period were 2.3% warmer than normal and 5.5% warmer than the prior-year period. Total LPG retail gallons sold during the 2022 nine-month period increased slightly compared to the prior-year period largely attributable to favorable </w:t>
      </w:r>
      <w:r>
        <w:rPr>
          <w:rFonts w:eastAsia="Times New Roman"/>
          <w:color w:val="000000"/>
          <w:sz w:val="20"/>
          <w:szCs w:val="20"/>
        </w:rPr>
        <w:t>crop drying campaigns and the recovery of certain bulk and autogas volumes that were negatively impacted by COVID-19.</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 xml:space="preserve">UGI International base-currency results are translated into USD based upon exchange rates experienced during the reporting periods. The </w:t>
      </w:r>
      <w:r>
        <w:rPr>
          <w:rFonts w:eastAsia="Times New Roman"/>
          <w:color w:val="000000"/>
          <w:sz w:val="20"/>
          <w:szCs w:val="20"/>
        </w:rPr>
        <w:t>functional currency of a significant portion of our UGI International results is the euro and, to a much lesser extent, the British pound sterling. During the 2022 and 2021 nine-month periods, the average unweighted euro-to-USD translation rates were appro</w:t>
      </w:r>
      <w:r>
        <w:rPr>
          <w:rFonts w:eastAsia="Times New Roman"/>
          <w:color w:val="000000"/>
          <w:sz w:val="20"/>
          <w:szCs w:val="20"/>
        </w:rPr>
        <w:t xml:space="preserve">ximately $1.11 and $1.20, respectively, and the average unweighted British pound sterling-to-USD translation rates were approximately $1.32 and $1.37, respectively. Fluctuations in these foreign currency exchange rates can have a significant impact on the </w:t>
      </w:r>
      <w:r>
        <w:rPr>
          <w:rFonts w:eastAsia="Times New Roman"/>
          <w:color w:val="000000"/>
          <w:sz w:val="20"/>
          <w:szCs w:val="20"/>
        </w:rPr>
        <w:t>individual financial statement components discussed below. The net effect of changes in foreign currency exchange rates on UGI International’s earnings before interest expense and income taxes resulted in a net loss of $9 million in the 2022 nine-month per</w:t>
      </w:r>
      <w:r>
        <w:rPr>
          <w:rFonts w:eastAsia="Times New Roman"/>
          <w:color w:val="000000"/>
          <w:sz w:val="20"/>
          <w:szCs w:val="20"/>
        </w:rPr>
        <w:t>iod. However, the impact of these changes is mitigated by the effects of forward foreign currency exchange contracts entered into over a multi-year period intended to substantially offset this volatility. These forward foreign currency exchange contracts r</w:t>
      </w:r>
      <w:r>
        <w:rPr>
          <w:rFonts w:eastAsia="Times New Roman"/>
          <w:color w:val="000000"/>
          <w:sz w:val="20"/>
          <w:szCs w:val="20"/>
        </w:rPr>
        <w:t>esulted in realized net gains of $12 million and $2 million in the 2022 and 2021 nine-month periods, respectively.</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UGI International revenues and cost of sales increased $905 million and $1,038 million, respectively, during the 2022 nine-month period com</w:t>
      </w:r>
      <w:r>
        <w:rPr>
          <w:rFonts w:eastAsia="Times New Roman"/>
          <w:color w:val="000000"/>
          <w:sz w:val="20"/>
          <w:szCs w:val="20"/>
        </w:rPr>
        <w:t>pared to the prior-year period. Average wholesale prices for propane and butane during the 2022 nine-month period in northwest Europe were approximately 73% and 98% higher, respectively, compared with the prior-year period. The increase in revenues and cos</w:t>
      </w:r>
      <w:r>
        <w:rPr>
          <w:rFonts w:eastAsia="Times New Roman"/>
          <w:color w:val="000000"/>
          <w:sz w:val="20"/>
          <w:szCs w:val="20"/>
        </w:rPr>
        <w:t xml:space="preserve">t of sales principally reflects the impact of significant increases and volatility in natural gas and power prices on our energy marketing business and the effects of these higher average propane and butane selling prices and product costs compared to the </w:t>
      </w:r>
      <w:r>
        <w:rPr>
          <w:rFonts w:eastAsia="Times New Roman"/>
          <w:color w:val="000000"/>
          <w:sz w:val="20"/>
          <w:szCs w:val="20"/>
        </w:rPr>
        <w:t>prior-year period. These increases were partially offset by the translation effects of weaker foreign currencies (approximately $252 million and $196 million, respectively).</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UGI International total margin decreased $133 million during the 2022 nine-month</w:t>
      </w:r>
      <w:r>
        <w:rPr>
          <w:rFonts w:eastAsia="Times New Roman"/>
          <w:color w:val="000000"/>
          <w:sz w:val="20"/>
          <w:szCs w:val="20"/>
        </w:rPr>
        <w:t xml:space="preserve"> period primarily reflecting lower total margin from our energy marketing business (approximately $80 million) and the translation effects of weaker foreign currencies (approximately $56 million). These factors were partially offset by higher total margin </w:t>
      </w:r>
      <w:r>
        <w:rPr>
          <w:rFonts w:eastAsia="Times New Roman"/>
          <w:color w:val="000000"/>
          <w:sz w:val="20"/>
          <w:szCs w:val="20"/>
        </w:rPr>
        <w:t>from our LPG business attributable to strong margin management efforts despite the effects of the previously mentioned higher product costs. The lower total margin from our energy marketing business is largely due to the impact of significant volatility in</w:t>
      </w:r>
      <w:r>
        <w:rPr>
          <w:rFonts w:eastAsia="Times New Roman"/>
          <w:color w:val="000000"/>
          <w:sz w:val="20"/>
          <w:szCs w:val="20"/>
        </w:rPr>
        <w:t xml:space="preserve"> commodity costs and its effects on the unit margins of certain customer contracts during the 2022 nine-month period. The effects of this volatility on such customer contracts were largely confined to the heating-season months of October through March.</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U</w:t>
      </w:r>
      <w:r>
        <w:rPr>
          <w:rFonts w:eastAsia="Times New Roman"/>
          <w:color w:val="000000"/>
          <w:sz w:val="20"/>
          <w:szCs w:val="20"/>
        </w:rPr>
        <w:t xml:space="preserve">GI International operating income and earnings before interest expense and income taxes decreased $111 million and $98 million, respectively, during the 2022 nine-month period compared to the prior-year period. The decrease in operating income principally </w:t>
      </w:r>
      <w:r>
        <w:rPr>
          <w:rFonts w:eastAsia="Times New Roman"/>
          <w:color w:val="000000"/>
          <w:sz w:val="20"/>
          <w:szCs w:val="20"/>
        </w:rPr>
        <w:t>reflects the previously mentioned decrease in total margin partially offset by higher gains associated with the sale of assets. The decrease in earnings before interest expense and income taxes in the 2022 nine-month period largely reflects the decrease in</w:t>
      </w:r>
      <w:r>
        <w:rPr>
          <w:rFonts w:eastAsia="Times New Roman"/>
          <w:color w:val="000000"/>
          <w:sz w:val="20"/>
          <w:szCs w:val="20"/>
        </w:rPr>
        <w:t xml:space="preserve"> operating income partially offset by higher realized gains on foreign currency exchange contracts entered into in </w:t>
      </w:r>
    </w:p>
    <w:p w:rsidR="00000000" w:rsidRDefault="00BE60E9">
      <w:pPr>
        <w:jc w:val="center"/>
        <w:divId w:val="1430734743"/>
        <w:rPr>
          <w:rFonts w:eastAsia="Times New Roman"/>
        </w:rPr>
      </w:pPr>
      <w:r>
        <w:rPr>
          <w:rFonts w:eastAsia="Times New Roman"/>
          <w:color w:val="000000"/>
          <w:sz w:val="20"/>
          <w:szCs w:val="20"/>
        </w:rPr>
        <w:t>44</w:t>
      </w:r>
    </w:p>
    <w:p w:rsidR="00000000" w:rsidRDefault="00BE60E9">
      <w:pPr>
        <w:rPr>
          <w:rFonts w:eastAsia="Times New Roman"/>
        </w:rPr>
      </w:pPr>
      <w:r>
        <w:rPr>
          <w:rFonts w:eastAsia="Times New Roman"/>
        </w:rPr>
        <w:pict>
          <v:rect id="_x0000_i1070" style="width:0;height:1.5pt" o:hralign="center" o:hrstd="t" o:hr="t" fillcolor="#a0a0a0" stroked="f"/>
        </w:pict>
      </w:r>
    </w:p>
    <w:p w:rsidR="00000000" w:rsidRDefault="00BE60E9">
      <w:pPr>
        <w:divId w:val="470751311"/>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667369277"/>
        <w:rPr>
          <w:rFonts w:eastAsia="Times New Roman"/>
        </w:rPr>
      </w:pPr>
      <w:r>
        <w:rPr>
          <w:rFonts w:eastAsia="Times New Roman"/>
          <w:b/>
          <w:bCs/>
          <w:color w:val="000000"/>
          <w:sz w:val="20"/>
          <w:szCs w:val="20"/>
        </w:rPr>
        <w:t>UGI CORPORATION AND SUBSIDIARIES</w:t>
      </w:r>
    </w:p>
    <w:p w:rsidR="00000000" w:rsidRDefault="00BE60E9">
      <w:pPr>
        <w:jc w:val="both"/>
        <w:rPr>
          <w:rFonts w:eastAsia="Times New Roman"/>
        </w:rPr>
      </w:pPr>
      <w:r>
        <w:rPr>
          <w:rFonts w:eastAsia="Times New Roman"/>
          <w:color w:val="000000"/>
          <w:sz w:val="20"/>
          <w:szCs w:val="20"/>
        </w:rPr>
        <w:t>order to reduce volatility in UGI International earnings resulting from the effects of changes in foreign currency exchange rates ($10 million).</w:t>
      </w:r>
    </w:p>
    <w:p w:rsidR="00000000" w:rsidRDefault="00BE60E9">
      <w:pPr>
        <w:jc w:val="both"/>
        <w:rPr>
          <w:rFonts w:eastAsia="Times New Roman"/>
        </w:rPr>
      </w:pPr>
    </w:p>
    <w:p w:rsidR="00000000" w:rsidRDefault="00BE60E9">
      <w:pPr>
        <w:jc w:val="both"/>
        <w:rPr>
          <w:rFonts w:eastAsia="Times New Roman"/>
        </w:rPr>
      </w:pPr>
      <w:r>
        <w:rPr>
          <w:rFonts w:eastAsia="Times New Roman"/>
          <w:b/>
          <w:bCs/>
          <w:i/>
          <w:iCs/>
          <w:color w:val="000000"/>
          <w:sz w:val="20"/>
          <w:szCs w:val="20"/>
        </w:rPr>
        <w:t>Midstream &amp; Marketing</w:t>
      </w:r>
    </w:p>
    <w:tbl>
      <w:tblPr>
        <w:tblW w:w="4992" w:type="pct"/>
        <w:tblCellMar>
          <w:top w:w="15" w:type="dxa"/>
          <w:left w:w="15" w:type="dxa"/>
          <w:bottom w:w="15" w:type="dxa"/>
          <w:right w:w="15" w:type="dxa"/>
        </w:tblCellMar>
        <w:tblLook w:val="04A0" w:firstRow="1" w:lastRow="0" w:firstColumn="1" w:lastColumn="0" w:noHBand="0" w:noVBand="1"/>
      </w:tblPr>
      <w:tblGrid>
        <w:gridCol w:w="39"/>
        <w:gridCol w:w="3666"/>
        <w:gridCol w:w="38"/>
        <w:gridCol w:w="36"/>
        <w:gridCol w:w="36"/>
        <w:gridCol w:w="36"/>
        <w:gridCol w:w="120"/>
        <w:gridCol w:w="858"/>
        <w:gridCol w:w="36"/>
        <w:gridCol w:w="36"/>
        <w:gridCol w:w="36"/>
        <w:gridCol w:w="36"/>
        <w:gridCol w:w="120"/>
        <w:gridCol w:w="858"/>
        <w:gridCol w:w="36"/>
        <w:gridCol w:w="36"/>
        <w:gridCol w:w="36"/>
        <w:gridCol w:w="36"/>
        <w:gridCol w:w="121"/>
        <w:gridCol w:w="858"/>
        <w:gridCol w:w="37"/>
        <w:gridCol w:w="37"/>
        <w:gridCol w:w="37"/>
        <w:gridCol w:w="36"/>
        <w:gridCol w:w="36"/>
        <w:gridCol w:w="849"/>
        <w:gridCol w:w="187"/>
      </w:tblGrid>
      <w:tr w:rsidR="00000000">
        <w:trPr>
          <w:divId w:val="1313215821"/>
        </w:trPr>
        <w:tc>
          <w:tcPr>
            <w:tcW w:w="50" w:type="pct"/>
            <w:vAlign w:val="center"/>
            <w:hideMark/>
          </w:tcPr>
          <w:p w:rsidR="00000000" w:rsidRDefault="00BE60E9">
            <w:pPr>
              <w:jc w:val="both"/>
              <w:rPr>
                <w:rFonts w:eastAsia="Times New Roman"/>
              </w:rPr>
            </w:pPr>
          </w:p>
        </w:tc>
        <w:tc>
          <w:tcPr>
            <w:tcW w:w="225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8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8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8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8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rPr>
          <w:divId w:val="1313215821"/>
        </w:trPr>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For the nine months ended June 30,</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Increase (Decrease)</w:t>
            </w:r>
          </w:p>
        </w:tc>
      </w:tr>
      <w:tr w:rsidR="00000000">
        <w:trPr>
          <w:divId w:val="1313215821"/>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r>
      <w:tr w:rsidR="00000000">
        <w:trPr>
          <w:divId w:val="1313215821"/>
        </w:trPr>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 xml:space="preserve">Revenues </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1,731 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1,086 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645 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59 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rPr>
          <w:divId w:val="1313215821"/>
        </w:trPr>
        <w:tc>
          <w:tcPr>
            <w:tcW w:w="0" w:type="auto"/>
            <w:gridSpan w:val="3"/>
            <w:shd w:val="clear" w:color="auto" w:fill="FFFF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342 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310 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rPr>
          <w:divId w:val="1313215821"/>
        </w:trPr>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88 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91 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rPr>
          <w:divId w:val="1313215821"/>
        </w:trPr>
        <w:tc>
          <w:tcPr>
            <w:tcW w:w="0" w:type="auto"/>
            <w:gridSpan w:val="3"/>
            <w:shd w:val="clear" w:color="auto" w:fill="FFFF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Operating income</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197 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156 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rPr>
          <w:divId w:val="1313215821"/>
        </w:trPr>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Earnings before interest expense and income taxes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216 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180 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bl>
    <w:p w:rsidR="00000000" w:rsidRDefault="00BE60E9">
      <w:pPr>
        <w:ind w:hanging="360"/>
        <w:jc w:val="both"/>
        <w:rPr>
          <w:rFonts w:eastAsia="Times New Roman"/>
        </w:rPr>
      </w:pPr>
      <w:r>
        <w:rPr>
          <w:rFonts w:eastAsia="Times New Roman"/>
          <w:color w:val="000000"/>
          <w:sz w:val="20"/>
          <w:szCs w:val="20"/>
        </w:rPr>
        <w:t>(a)Total margin represents revenues less cost of sales.</w:t>
      </w:r>
    </w:p>
    <w:p w:rsidR="00000000" w:rsidRDefault="00BE60E9">
      <w:pPr>
        <w:divId w:val="1096636420"/>
        <w:rPr>
          <w:rFonts w:eastAsia="Times New Roman"/>
        </w:rPr>
      </w:pPr>
    </w:p>
    <w:p w:rsidR="00000000" w:rsidRDefault="00BE60E9">
      <w:pPr>
        <w:jc w:val="both"/>
        <w:rPr>
          <w:rFonts w:eastAsia="Times New Roman"/>
        </w:rPr>
      </w:pPr>
      <w:r>
        <w:rPr>
          <w:rFonts w:eastAsia="Times New Roman"/>
          <w:color w:val="000000"/>
          <w:sz w:val="20"/>
          <w:szCs w:val="20"/>
        </w:rPr>
        <w:t>Average temperatures across Midstream &amp; Marketing’s energy marketing territory duri</w:t>
      </w:r>
      <w:r>
        <w:rPr>
          <w:rFonts w:eastAsia="Times New Roman"/>
          <w:color w:val="000000"/>
          <w:sz w:val="20"/>
          <w:szCs w:val="20"/>
        </w:rPr>
        <w:t>ng the 2022 nine-month period were 8.0% warmer than normal and 4.6% warmer than the prior-year period.</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 xml:space="preserve">Midstream &amp; Marketing revenues and cost of sales for the 2022 nine-month period increased $645 million and $613 million, respectively, compared to the </w:t>
      </w:r>
      <w:r>
        <w:rPr>
          <w:rFonts w:eastAsia="Times New Roman"/>
          <w:color w:val="000000"/>
          <w:sz w:val="20"/>
          <w:szCs w:val="20"/>
        </w:rPr>
        <w:t xml:space="preserve">prior-year period. These increases were largely driven by natural gas marketing, including the effects of peaking and capacity management activities, which were impacted by significantly higher average natural gas prices compared to the prior-year period, </w:t>
      </w:r>
      <w:r>
        <w:rPr>
          <w:rFonts w:eastAsia="Times New Roman"/>
          <w:color w:val="000000"/>
          <w:sz w:val="20"/>
          <w:szCs w:val="20"/>
        </w:rPr>
        <w:t>partially offset by lower volumes attributable to the warmer weather. As a result, natural gas marketing revenues and cost of sales increased $592 million and $596 million, respectively, during the 2022 nine-month period. Higher retail power and generation</w:t>
      </w:r>
      <w:r>
        <w:rPr>
          <w:rFonts w:eastAsia="Times New Roman"/>
          <w:color w:val="000000"/>
          <w:sz w:val="20"/>
          <w:szCs w:val="20"/>
        </w:rPr>
        <w:t xml:space="preserve"> revenues and cost of sales ($30 million and $26 million, respectively) also contributed to these increases during the 2022 nine-month period. </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Midstream &amp; Marketing total margin increased $32 million in the 2022 nine-month period reflecting higher margi</w:t>
      </w:r>
      <w:r>
        <w:rPr>
          <w:rFonts w:eastAsia="Times New Roman"/>
          <w:color w:val="000000"/>
          <w:sz w:val="20"/>
          <w:szCs w:val="20"/>
        </w:rPr>
        <w:t>n from peaking and capacity management activities ($14 million) and increased total margin from renewable energy marketing activities ($9 million) including the impact of increased volumes and average pricing related to environmental credits compared to th</w:t>
      </w:r>
      <w:r>
        <w:rPr>
          <w:rFonts w:eastAsia="Times New Roman"/>
          <w:color w:val="000000"/>
          <w:sz w:val="20"/>
          <w:szCs w:val="20"/>
        </w:rPr>
        <w:t xml:space="preserve">e prior-year period. Incremental margin attributable to UGI Moraine East ($9 million) also contributed to the improvement during the 2022 nine-month period. </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Midstream &amp; Marketing operating income and earnings before interest expense and income taxes dur</w:t>
      </w:r>
      <w:r>
        <w:rPr>
          <w:rFonts w:eastAsia="Times New Roman"/>
          <w:color w:val="000000"/>
          <w:sz w:val="20"/>
          <w:szCs w:val="20"/>
        </w:rPr>
        <w:t>ing the 2022 nine-month period increased $41 million and $36 million, respectively, compared to the prior-year period. The increase in operating income is largely attributable to the increase in total margin, the absence of a contingent consideration adjus</w:t>
      </w:r>
      <w:r>
        <w:rPr>
          <w:rFonts w:eastAsia="Times New Roman"/>
          <w:color w:val="000000"/>
          <w:sz w:val="20"/>
          <w:szCs w:val="20"/>
        </w:rPr>
        <w:t>tment related to the GHI acquisition in the prior-year period, and lower operating and administrative expenses. The increase in earnings before interest expense and income taxes principally reflects the increase in operating income partially offset by lowe</w:t>
      </w:r>
      <w:r>
        <w:rPr>
          <w:rFonts w:eastAsia="Times New Roman"/>
          <w:color w:val="000000"/>
          <w:sz w:val="20"/>
          <w:szCs w:val="20"/>
        </w:rPr>
        <w:t xml:space="preserve">r income from equity-method investments compared to the prior-year period. </w:t>
      </w:r>
    </w:p>
    <w:p w:rsidR="00000000" w:rsidRDefault="00BE60E9">
      <w:pPr>
        <w:jc w:val="both"/>
        <w:rPr>
          <w:rFonts w:eastAsia="Times New Roman"/>
        </w:rPr>
      </w:pPr>
    </w:p>
    <w:p w:rsidR="00000000" w:rsidRDefault="00BE60E9">
      <w:pPr>
        <w:jc w:val="both"/>
        <w:rPr>
          <w:rFonts w:eastAsia="Times New Roman"/>
        </w:rPr>
      </w:pPr>
      <w:r>
        <w:rPr>
          <w:rFonts w:eastAsia="Times New Roman"/>
          <w:b/>
          <w:bCs/>
          <w:i/>
          <w:iCs/>
          <w:color w:val="000000"/>
          <w:sz w:val="20"/>
          <w:szCs w:val="20"/>
        </w:rPr>
        <w:t>Utilities</w:t>
      </w:r>
    </w:p>
    <w:tbl>
      <w:tblPr>
        <w:tblW w:w="4985" w:type="pct"/>
        <w:tblCellMar>
          <w:top w:w="15" w:type="dxa"/>
          <w:left w:w="15" w:type="dxa"/>
          <w:bottom w:w="15" w:type="dxa"/>
          <w:right w:w="15" w:type="dxa"/>
        </w:tblCellMar>
        <w:tblLook w:val="04A0" w:firstRow="1" w:lastRow="0" w:firstColumn="1" w:lastColumn="0" w:noHBand="0" w:noVBand="1"/>
      </w:tblPr>
      <w:tblGrid>
        <w:gridCol w:w="39"/>
        <w:gridCol w:w="4061"/>
        <w:gridCol w:w="38"/>
        <w:gridCol w:w="36"/>
        <w:gridCol w:w="36"/>
        <w:gridCol w:w="36"/>
        <w:gridCol w:w="120"/>
        <w:gridCol w:w="718"/>
        <w:gridCol w:w="187"/>
        <w:gridCol w:w="36"/>
        <w:gridCol w:w="36"/>
        <w:gridCol w:w="36"/>
        <w:gridCol w:w="120"/>
        <w:gridCol w:w="731"/>
        <w:gridCol w:w="187"/>
        <w:gridCol w:w="36"/>
        <w:gridCol w:w="36"/>
        <w:gridCol w:w="36"/>
        <w:gridCol w:w="120"/>
        <w:gridCol w:w="672"/>
        <w:gridCol w:w="36"/>
        <w:gridCol w:w="36"/>
        <w:gridCol w:w="36"/>
        <w:gridCol w:w="36"/>
        <w:gridCol w:w="37"/>
        <w:gridCol w:w="596"/>
        <w:gridCol w:w="187"/>
      </w:tblGrid>
      <w:tr w:rsidR="00000000">
        <w:trPr>
          <w:divId w:val="79496914"/>
        </w:trPr>
        <w:tc>
          <w:tcPr>
            <w:tcW w:w="50" w:type="pct"/>
            <w:vAlign w:val="center"/>
            <w:hideMark/>
          </w:tcPr>
          <w:p w:rsidR="00000000" w:rsidRDefault="00BE60E9">
            <w:pPr>
              <w:jc w:val="both"/>
              <w:rPr>
                <w:rFonts w:eastAsia="Times New Roman"/>
              </w:rPr>
            </w:pPr>
          </w:p>
        </w:tc>
        <w:tc>
          <w:tcPr>
            <w:tcW w:w="252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3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38"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0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80"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rPr>
          <w:divId w:val="79496914"/>
        </w:trPr>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For the nine months ended June 30,</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Increase</w:t>
            </w:r>
          </w:p>
        </w:tc>
      </w:tr>
      <w:tr w:rsidR="00000000">
        <w:trPr>
          <w:divId w:val="79496914"/>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r>
      <w:tr w:rsidR="00000000">
        <w:trPr>
          <w:divId w:val="79496914"/>
        </w:trPr>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1,400 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923 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477 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rPr>
          <w:divId w:val="79496914"/>
        </w:trPr>
        <w:tc>
          <w:tcPr>
            <w:tcW w:w="0" w:type="auto"/>
            <w:gridSpan w:val="3"/>
            <w:shd w:val="clear" w:color="auto" w:fill="FFFF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681 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518 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163 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rPr>
          <w:divId w:val="79496914"/>
        </w:trPr>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Operating and administrative expenses (a)</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250 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186 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64 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34 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rPr>
          <w:divId w:val="79496914"/>
        </w:trPr>
        <w:tc>
          <w:tcPr>
            <w:tcW w:w="0" w:type="auto"/>
            <w:gridSpan w:val="3"/>
            <w:shd w:val="clear" w:color="auto" w:fill="FFFF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Operating income</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325 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243 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82 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rPr>
          <w:divId w:val="79496914"/>
        </w:trPr>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Earnings before interest expense and income taxes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332 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245 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87 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rPr>
          <w:divId w:val="79496914"/>
        </w:trPr>
        <w:tc>
          <w:tcPr>
            <w:tcW w:w="0" w:type="auto"/>
            <w:gridSpan w:val="3"/>
            <w:shd w:val="clear" w:color="auto" w:fill="FFFF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Gas Utility system throughput—bcf</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79496914"/>
        </w:trPr>
        <w:tc>
          <w:tcPr>
            <w:tcW w:w="0" w:type="auto"/>
            <w:gridSpan w:val="3"/>
            <w:shd w:val="clear" w:color="auto" w:fill="CCEEFF"/>
            <w:tcMar>
              <w:top w:w="30" w:type="dxa"/>
              <w:left w:w="380" w:type="dxa"/>
              <w:bottom w:w="30" w:type="dxa"/>
              <w:right w:w="20" w:type="dxa"/>
            </w:tcMar>
            <w:hideMark/>
          </w:tcPr>
          <w:p w:rsidR="00000000" w:rsidRDefault="00BE60E9">
            <w:pPr>
              <w:spacing w:after="100"/>
              <w:rPr>
                <w:rFonts w:eastAsia="Times New Roman"/>
              </w:rPr>
            </w:pPr>
            <w:r>
              <w:rPr>
                <w:rFonts w:eastAsia="Times New Roman"/>
                <w:color w:val="000000"/>
                <w:sz w:val="20"/>
                <w:szCs w:val="20"/>
              </w:rPr>
              <w:t>Core market</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94 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rPr>
          <w:divId w:val="79496914"/>
        </w:trPr>
        <w:tc>
          <w:tcPr>
            <w:tcW w:w="0" w:type="auto"/>
            <w:gridSpan w:val="3"/>
            <w:shd w:val="clear" w:color="auto" w:fill="FFFFFF"/>
            <w:tcMar>
              <w:top w:w="30" w:type="dxa"/>
              <w:left w:w="380" w:type="dxa"/>
              <w:bottom w:w="30" w:type="dxa"/>
              <w:right w:w="20" w:type="dxa"/>
            </w:tcMar>
            <w:hideMark/>
          </w:tcPr>
          <w:p w:rsidR="00000000" w:rsidRDefault="00BE60E9">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290 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245 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rPr>
          <w:divId w:val="79496914"/>
        </w:trPr>
        <w:tc>
          <w:tcPr>
            <w:tcW w:w="0" w:type="auto"/>
            <w:gridSpan w:val="3"/>
            <w:shd w:val="clear" w:color="auto" w:fill="CCEEFF"/>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Electric Utility distribution sales - gwh</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746 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743 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r>
      <w:tr w:rsidR="00000000">
        <w:trPr>
          <w:divId w:val="79496914"/>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Gas Utility heating degree days—% warmer than normal (b)</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(7.6)</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(7.3)</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bl>
    <w:p w:rsidR="00000000" w:rsidRDefault="00BE60E9">
      <w:pPr>
        <w:ind w:hanging="360"/>
        <w:jc w:val="both"/>
        <w:rPr>
          <w:rFonts w:eastAsia="Times New Roman"/>
        </w:rPr>
      </w:pPr>
      <w:r>
        <w:rPr>
          <w:rFonts w:eastAsia="Times New Roman"/>
          <w:color w:val="000000"/>
          <w:sz w:val="20"/>
          <w:szCs w:val="20"/>
        </w:rPr>
        <w:t>(a)Total margin represents revenues less cost of sales and revenue-related taxes (i.e., gross receipts and business and occup</w:t>
      </w:r>
      <w:r>
        <w:rPr>
          <w:rFonts w:eastAsia="Times New Roman"/>
          <w:color w:val="000000"/>
          <w:sz w:val="20"/>
          <w:szCs w:val="20"/>
        </w:rPr>
        <w:t xml:space="preserve">ation taxes) of $18 million and $4 million, respectively, during the 2022 and 2021 nine-month periods. For financial </w:t>
      </w:r>
    </w:p>
    <w:p w:rsidR="00000000" w:rsidRDefault="00BE60E9">
      <w:pPr>
        <w:jc w:val="center"/>
        <w:divId w:val="680858820"/>
        <w:rPr>
          <w:rFonts w:eastAsia="Times New Roman"/>
        </w:rPr>
      </w:pPr>
      <w:r>
        <w:rPr>
          <w:rFonts w:eastAsia="Times New Roman"/>
          <w:color w:val="000000"/>
          <w:sz w:val="20"/>
          <w:szCs w:val="20"/>
        </w:rPr>
        <w:t>45</w:t>
      </w:r>
    </w:p>
    <w:p w:rsidR="00000000" w:rsidRDefault="00BE60E9">
      <w:pPr>
        <w:rPr>
          <w:rFonts w:eastAsia="Times New Roman"/>
        </w:rPr>
      </w:pPr>
      <w:r>
        <w:rPr>
          <w:rFonts w:eastAsia="Times New Roman"/>
        </w:rPr>
        <w:pict>
          <v:rect id="_x0000_i1071" style="width:0;height:1.5pt" o:hralign="center" o:hrstd="t" o:hr="t" fillcolor="#a0a0a0" stroked="f"/>
        </w:pict>
      </w:r>
    </w:p>
    <w:p w:rsidR="00000000" w:rsidRDefault="00BE60E9">
      <w:pPr>
        <w:divId w:val="523637852"/>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203834705"/>
        <w:rPr>
          <w:rFonts w:eastAsia="Times New Roman"/>
        </w:rPr>
      </w:pPr>
      <w:r>
        <w:rPr>
          <w:rFonts w:eastAsia="Times New Roman"/>
          <w:b/>
          <w:bCs/>
          <w:color w:val="000000"/>
          <w:sz w:val="20"/>
          <w:szCs w:val="20"/>
        </w:rPr>
        <w:t>UGI CORPORATION AND SUBSIDIARIES</w:t>
      </w:r>
    </w:p>
    <w:p w:rsidR="00000000" w:rsidRDefault="00BE60E9">
      <w:pPr>
        <w:jc w:val="both"/>
        <w:rPr>
          <w:rFonts w:eastAsia="Times New Roman"/>
        </w:rPr>
      </w:pPr>
      <w:r>
        <w:rPr>
          <w:rFonts w:eastAsia="Times New Roman"/>
          <w:color w:val="000000"/>
          <w:sz w:val="20"/>
          <w:szCs w:val="20"/>
        </w:rPr>
        <w:t xml:space="preserve">statement purposes, revenue-related taxes are included in “Operating and administrative expenses” </w:t>
      </w:r>
      <w:r>
        <w:rPr>
          <w:rFonts w:eastAsia="Times New Roman"/>
          <w:color w:val="000000"/>
          <w:sz w:val="20"/>
          <w:szCs w:val="20"/>
        </w:rPr>
        <w:t>on the Condensed Consolidated Statements of Income (but are excluded from operating and administrative expenses presented above).</w:t>
      </w:r>
    </w:p>
    <w:p w:rsidR="00000000" w:rsidRDefault="00BE60E9">
      <w:pPr>
        <w:ind w:hanging="360"/>
        <w:jc w:val="both"/>
        <w:rPr>
          <w:rFonts w:eastAsia="Times New Roman"/>
        </w:rPr>
      </w:pPr>
      <w:r>
        <w:rPr>
          <w:rFonts w:eastAsia="Times New Roman"/>
          <w:color w:val="000000"/>
          <w:sz w:val="20"/>
          <w:szCs w:val="20"/>
        </w:rPr>
        <w:t>(b)Deviation from average heating degree days is determined on a 10-year period utilizing volume-weighted weather data based o</w:t>
      </w:r>
      <w:r>
        <w:rPr>
          <w:rFonts w:eastAsia="Times New Roman"/>
          <w:color w:val="000000"/>
          <w:sz w:val="20"/>
          <w:szCs w:val="20"/>
        </w:rPr>
        <w:t>n weather statistics provided by NOAA for airports located within Gas Utility’s service territories.</w:t>
      </w:r>
    </w:p>
    <w:p w:rsidR="00000000" w:rsidRDefault="00BE60E9">
      <w:pPr>
        <w:jc w:val="both"/>
        <w:rPr>
          <w:rFonts w:eastAsia="Times New Roman"/>
        </w:rPr>
      </w:pPr>
    </w:p>
    <w:p w:rsidR="00000000" w:rsidRDefault="00BE60E9">
      <w:pPr>
        <w:jc w:val="both"/>
        <w:divId w:val="1429471388"/>
        <w:rPr>
          <w:rFonts w:eastAsia="Times New Roman"/>
        </w:rPr>
      </w:pPr>
      <w:r>
        <w:rPr>
          <w:rFonts w:eastAsia="Times New Roman"/>
          <w:color w:val="000000"/>
          <w:sz w:val="20"/>
          <w:szCs w:val="20"/>
        </w:rPr>
        <w:t>Temperatures in Gas Utility’s service territories during the 2022 nine-month period were 7.6% warmer than normal and slightly warmer compared to the prio</w:t>
      </w:r>
      <w:r>
        <w:rPr>
          <w:rFonts w:eastAsia="Times New Roman"/>
          <w:color w:val="000000"/>
          <w:sz w:val="20"/>
          <w:szCs w:val="20"/>
        </w:rPr>
        <w:t xml:space="preserve">r-year period. The increase in Gas Utility core market and total volumes during the 2022 nine-month period is largely related to incremental volumes attributable to the acquisition of Mountaineer. </w:t>
      </w:r>
    </w:p>
    <w:p w:rsidR="00000000" w:rsidRDefault="00BE60E9">
      <w:pPr>
        <w:jc w:val="both"/>
        <w:rPr>
          <w:rFonts w:eastAsia="Times New Roman"/>
        </w:rPr>
      </w:pPr>
      <w:r>
        <w:rPr>
          <w:rFonts w:eastAsia="Times New Roman"/>
          <w:color w:val="000000"/>
          <w:sz w:val="20"/>
          <w:szCs w:val="20"/>
        </w:rPr>
        <w:t>Utilities revenues increased $477 million in the 2022 nine</w:t>
      </w:r>
      <w:r>
        <w:rPr>
          <w:rFonts w:eastAsia="Times New Roman"/>
          <w:color w:val="000000"/>
          <w:sz w:val="20"/>
          <w:szCs w:val="20"/>
        </w:rPr>
        <w:t xml:space="preserve">-month period reflecting a $454 million increase in Gas Utility revenues and a $23 million increase in Electric Utility revenues. The increase in Gas Utility revenues largely reflects incremental revenues attributable to Mountaineer ($230 million), higher </w:t>
      </w:r>
      <w:r>
        <w:rPr>
          <w:rFonts w:eastAsia="Times New Roman"/>
          <w:color w:val="000000"/>
          <w:sz w:val="20"/>
          <w:szCs w:val="20"/>
        </w:rPr>
        <w:t>PGC rates compared to the prior-year period, higher pricing on off-system sales, increased DSIC rates, and the effects of the increase in base rates that went into effect during Fiscal 2021. The increase in Electric Utility revenues during the 2022 nine-mo</w:t>
      </w:r>
      <w:r>
        <w:rPr>
          <w:rFonts w:eastAsia="Times New Roman"/>
          <w:color w:val="000000"/>
          <w:sz w:val="20"/>
          <w:szCs w:val="20"/>
        </w:rPr>
        <w:t xml:space="preserve">nth period reflects the increase in base rates that went into effect in November 2021 and higher DS rates compared to the prior-year period. </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Utilities cost of sales (including revenue-related taxes) increased $314 million in the 2022 nine-month period p</w:t>
      </w:r>
      <w:r>
        <w:rPr>
          <w:rFonts w:eastAsia="Times New Roman"/>
          <w:color w:val="000000"/>
          <w:sz w:val="20"/>
          <w:szCs w:val="20"/>
        </w:rPr>
        <w:t>rimarily attributable to Gas Utility ($298 million) which reflects incremental cost attributable to Mountaineer ($120 million), higher PGC rates compared to the prior-year period, and increased cost of sales associated with off-system sales. Electric Utili</w:t>
      </w:r>
      <w:r>
        <w:rPr>
          <w:rFonts w:eastAsia="Times New Roman"/>
          <w:color w:val="000000"/>
          <w:sz w:val="20"/>
          <w:szCs w:val="20"/>
        </w:rPr>
        <w:t xml:space="preserve">ty cost of sales increased during the 2022 nine-month period largely reflecting the higher DS rates compared to the prior-year period. </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 xml:space="preserve">Utilities total margin increased $163 million during the 2022 nine-month period largely reflecting incremental margin </w:t>
      </w:r>
      <w:r>
        <w:rPr>
          <w:rFonts w:eastAsia="Times New Roman"/>
          <w:color w:val="000000"/>
          <w:sz w:val="20"/>
          <w:szCs w:val="20"/>
        </w:rPr>
        <w:t>attributable to Mountaineer ($110 million). Gas Utility’s total margin increase also includes higher natural gas margin attributable to an increase in DSIC rates, the positive impacts of the increase in base rates, and higher margin from large delivery ser</w:t>
      </w:r>
      <w:r>
        <w:rPr>
          <w:rFonts w:eastAsia="Times New Roman"/>
          <w:color w:val="000000"/>
          <w:sz w:val="20"/>
          <w:szCs w:val="20"/>
        </w:rPr>
        <w:t xml:space="preserve">vice customers including the effects of customer growth compared to the prior-year period. Electric Utility margin increased $7 million largely attributable to the increase in base rates compared to the prior-year period. </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 xml:space="preserve">Utilities operating income and </w:t>
      </w:r>
      <w:r>
        <w:rPr>
          <w:rFonts w:eastAsia="Times New Roman"/>
          <w:color w:val="000000"/>
          <w:sz w:val="20"/>
          <w:szCs w:val="20"/>
        </w:rPr>
        <w:t>earnings before interest expense and income taxes increased $82 million and $87 million, respectively, during the 2022 nine-month period. These increases largely reflect the previously mentioned increase in total margin partially offset by higher operating</w:t>
      </w:r>
      <w:r>
        <w:rPr>
          <w:rFonts w:eastAsia="Times New Roman"/>
          <w:color w:val="000000"/>
          <w:sz w:val="20"/>
          <w:szCs w:val="20"/>
        </w:rPr>
        <w:t xml:space="preserve"> and administrative expenses ($64 million) and higher depreciation expense ($21 million) compared to the prior-year period, both principally related to incremental expenses attributable to Mountaineer. The higher depreciation expense compared to the prior-</w:t>
      </w:r>
      <w:r>
        <w:rPr>
          <w:rFonts w:eastAsia="Times New Roman"/>
          <w:color w:val="000000"/>
          <w:sz w:val="20"/>
          <w:szCs w:val="20"/>
        </w:rPr>
        <w:t>year period also includes the effects of continued distribution system capital expenditure activity. The increase in earnings before interest expense and income taxes also includes a higher non-service pension benefit ($4 million) compared to the prior-yea</w:t>
      </w:r>
      <w:r>
        <w:rPr>
          <w:rFonts w:eastAsia="Times New Roman"/>
          <w:color w:val="000000"/>
          <w:sz w:val="20"/>
          <w:szCs w:val="20"/>
        </w:rPr>
        <w:t xml:space="preserve">r period. </w:t>
      </w:r>
    </w:p>
    <w:p w:rsidR="00000000" w:rsidRDefault="00BE60E9">
      <w:pPr>
        <w:jc w:val="both"/>
        <w:rPr>
          <w:rFonts w:eastAsia="Times New Roman"/>
        </w:rPr>
      </w:pPr>
    </w:p>
    <w:p w:rsidR="00000000" w:rsidRDefault="00BE60E9">
      <w:pPr>
        <w:jc w:val="both"/>
        <w:rPr>
          <w:rFonts w:eastAsia="Times New Roman"/>
        </w:rPr>
      </w:pPr>
      <w:r>
        <w:rPr>
          <w:rFonts w:eastAsia="Times New Roman"/>
          <w:b/>
          <w:bCs/>
          <w:i/>
          <w:iCs/>
          <w:color w:val="000000"/>
          <w:sz w:val="20"/>
          <w:szCs w:val="20"/>
        </w:rPr>
        <w:t>Interest Expense and Income Taxes</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Our consolidated interest expense during the 2022 nine-month period was $245 million compared to $233 million during the 2021 nine-month period. This increase reflects the effects of incremental long-term de</w:t>
      </w:r>
      <w:r>
        <w:rPr>
          <w:rFonts w:eastAsia="Times New Roman"/>
          <w:color w:val="000000"/>
          <w:sz w:val="20"/>
          <w:szCs w:val="20"/>
        </w:rPr>
        <w:t>bt outstanding during the current period, net of repayments, primarily related to the Mountaineer Acquisition and UGI Utilities’ issuance of senior notes during the second half of Fiscal 2021, and higher average short-term borrowings outstanding compared t</w:t>
      </w:r>
      <w:r>
        <w:rPr>
          <w:rFonts w:eastAsia="Times New Roman"/>
          <w:color w:val="000000"/>
          <w:sz w:val="20"/>
          <w:szCs w:val="20"/>
        </w:rPr>
        <w:t>o the prior-year period.</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The Company’s effective income tax rate for the 2022 nine-month period was relatively consistent with the prior-year period. The absence of benefits from the prior year related to an election made in connection with a tax law cha</w:t>
      </w:r>
      <w:r>
        <w:rPr>
          <w:rFonts w:eastAsia="Times New Roman"/>
          <w:color w:val="000000"/>
          <w:sz w:val="20"/>
          <w:szCs w:val="20"/>
        </w:rPr>
        <w:t xml:space="preserve">nge in Italy and under the CARES Act were largely offset by the net effects of a decrease in the concentration of foreign earnings reflecting foreign statutory tax rates that exceed the U.S. statutory rate. </w:t>
      </w:r>
    </w:p>
    <w:p w:rsidR="00000000" w:rsidRDefault="00BE60E9">
      <w:pPr>
        <w:jc w:val="both"/>
        <w:rPr>
          <w:rFonts w:eastAsia="Times New Roman"/>
        </w:rPr>
      </w:pPr>
    </w:p>
    <w:p w:rsidR="00000000" w:rsidRDefault="00BE60E9">
      <w:pPr>
        <w:jc w:val="both"/>
        <w:divId w:val="1486387685"/>
        <w:rPr>
          <w:rFonts w:eastAsia="Times New Roman"/>
        </w:rPr>
      </w:pPr>
      <w:r>
        <w:rPr>
          <w:rFonts w:eastAsia="Times New Roman"/>
          <w:color w:val="000000"/>
          <w:sz w:val="20"/>
          <w:szCs w:val="20"/>
        </w:rPr>
        <w:t>The Company continues to evaluate the election</w:t>
      </w:r>
      <w:r>
        <w:rPr>
          <w:rFonts w:eastAsia="Times New Roman"/>
          <w:color w:val="000000"/>
          <w:sz w:val="20"/>
          <w:szCs w:val="20"/>
        </w:rPr>
        <w:t>s available under current regulations and pending legislation. Accordingly, the impacts on the Company’s income tax provisions and taxes payable or refundable related to these items are subject to change.</w:t>
      </w:r>
    </w:p>
    <w:p w:rsidR="00000000" w:rsidRDefault="00BE60E9">
      <w:pPr>
        <w:jc w:val="center"/>
        <w:rPr>
          <w:rFonts w:eastAsia="Times New Roman"/>
        </w:rPr>
      </w:pPr>
    </w:p>
    <w:p w:rsidR="00000000" w:rsidRDefault="00BE60E9">
      <w:pPr>
        <w:jc w:val="center"/>
        <w:rPr>
          <w:rFonts w:eastAsia="Times New Roman"/>
        </w:rPr>
      </w:pPr>
      <w:r>
        <w:rPr>
          <w:rFonts w:eastAsia="Times New Roman"/>
          <w:b/>
          <w:bCs/>
          <w:color w:val="000000"/>
          <w:sz w:val="20"/>
          <w:szCs w:val="20"/>
          <w:u w:val="single"/>
        </w:rPr>
        <w:t>FINANCIAL CONDITION AND LIQUIDITY</w:t>
      </w:r>
    </w:p>
    <w:p w:rsidR="00000000" w:rsidRDefault="00BE60E9">
      <w:pPr>
        <w:jc w:val="center"/>
        <w:rPr>
          <w:rFonts w:eastAsia="Times New Roman"/>
        </w:rPr>
      </w:pPr>
    </w:p>
    <w:p w:rsidR="00000000" w:rsidRDefault="00BE60E9">
      <w:pPr>
        <w:jc w:val="both"/>
        <w:rPr>
          <w:rFonts w:eastAsia="Times New Roman"/>
        </w:rPr>
      </w:pPr>
      <w:r>
        <w:rPr>
          <w:rFonts w:eastAsia="Times New Roman"/>
          <w:color w:val="000000"/>
          <w:sz w:val="20"/>
          <w:szCs w:val="20"/>
        </w:rPr>
        <w:t>The Company e</w:t>
      </w:r>
      <w:r>
        <w:rPr>
          <w:rFonts w:eastAsia="Times New Roman"/>
          <w:color w:val="000000"/>
          <w:sz w:val="20"/>
          <w:szCs w:val="20"/>
        </w:rPr>
        <w:t>xpects to have sufficient liquidity, including cash on hand and available borrowing capacity, to continue to support long-term commitments and ongoing operations despite uncertainties associated with the COVID-19 pandemic, the inflationary cost environment</w:t>
      </w:r>
      <w:r>
        <w:rPr>
          <w:rFonts w:eastAsia="Times New Roman"/>
          <w:color w:val="000000"/>
          <w:sz w:val="20"/>
          <w:szCs w:val="20"/>
        </w:rPr>
        <w:t xml:space="preserve"> and ongoing commodity price volatility. Our total available liquidity balance, comprising cash and cash equivalents and available borrowing capacity on our revolving credit facilities, totaled approximately $2.1 billion and $2.2 billion at June 30, 2022 a</w:t>
      </w:r>
      <w:r>
        <w:rPr>
          <w:rFonts w:eastAsia="Times New Roman"/>
          <w:color w:val="000000"/>
          <w:sz w:val="20"/>
          <w:szCs w:val="20"/>
        </w:rPr>
        <w:t>nd September 30, 2021, respectively. Our total available liquidity at June 30, 2022 was affected, in part, by $659 million of cash collateral received from derivative counterparties resulting from the impact of rising commodity prices and an accumulation o</w:t>
      </w:r>
      <w:r>
        <w:rPr>
          <w:rFonts w:eastAsia="Times New Roman"/>
          <w:color w:val="000000"/>
          <w:sz w:val="20"/>
          <w:szCs w:val="20"/>
        </w:rPr>
        <w:t xml:space="preserve">f derivative assets associated with our commodity derivative instruments. The Company does not </w:t>
      </w:r>
    </w:p>
    <w:p w:rsidR="00000000" w:rsidRDefault="00BE60E9">
      <w:pPr>
        <w:jc w:val="center"/>
        <w:divId w:val="1754274474"/>
        <w:rPr>
          <w:rFonts w:eastAsia="Times New Roman"/>
        </w:rPr>
      </w:pPr>
      <w:r>
        <w:rPr>
          <w:rFonts w:eastAsia="Times New Roman"/>
          <w:color w:val="000000"/>
          <w:sz w:val="20"/>
          <w:szCs w:val="20"/>
        </w:rPr>
        <w:t>46</w:t>
      </w:r>
    </w:p>
    <w:p w:rsidR="00000000" w:rsidRDefault="00BE60E9">
      <w:pPr>
        <w:rPr>
          <w:rFonts w:eastAsia="Times New Roman"/>
        </w:rPr>
      </w:pPr>
      <w:r>
        <w:rPr>
          <w:rFonts w:eastAsia="Times New Roman"/>
        </w:rPr>
        <w:pict>
          <v:rect id="_x0000_i1072" style="width:0;height:1.5pt" o:hralign="center" o:hrstd="t" o:hr="t" fillcolor="#a0a0a0" stroked="f"/>
        </w:pict>
      </w:r>
    </w:p>
    <w:p w:rsidR="00000000" w:rsidRDefault="00BE60E9">
      <w:pPr>
        <w:divId w:val="426586251"/>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1673097830"/>
        <w:rPr>
          <w:rFonts w:eastAsia="Times New Roman"/>
        </w:rPr>
      </w:pPr>
      <w:r>
        <w:rPr>
          <w:rFonts w:eastAsia="Times New Roman"/>
          <w:b/>
          <w:bCs/>
          <w:color w:val="000000"/>
          <w:sz w:val="20"/>
          <w:szCs w:val="20"/>
        </w:rPr>
        <w:t>UGI CORPORATION AND SUBSIDIARIES</w:t>
      </w:r>
    </w:p>
    <w:p w:rsidR="00000000" w:rsidRDefault="00BE60E9">
      <w:pPr>
        <w:jc w:val="both"/>
        <w:rPr>
          <w:rFonts w:eastAsia="Times New Roman"/>
        </w:rPr>
      </w:pPr>
      <w:r>
        <w:rPr>
          <w:rFonts w:eastAsia="Times New Roman"/>
          <w:color w:val="000000"/>
          <w:sz w:val="20"/>
          <w:szCs w:val="20"/>
        </w:rPr>
        <w:t>have any near-term senior note or term loan maturities. The Company cannot predict the duration or magnitude that the COVID-19 pandemic and ongoing commodity price volatility will have on its liquidity, debt covenants, fina</w:t>
      </w:r>
      <w:r>
        <w:rPr>
          <w:rFonts w:eastAsia="Times New Roman"/>
          <w:color w:val="000000"/>
          <w:sz w:val="20"/>
          <w:szCs w:val="20"/>
        </w:rPr>
        <w:t>ncial condition or the timing of capital expenditures. UGI and its subsidiaries were in compliance with all debt covenants as of June 30, 2022.</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 xml:space="preserve">We depend on both internal and external sources of liquidity to provide funds for working capital and to fund </w:t>
      </w:r>
      <w:r>
        <w:rPr>
          <w:rFonts w:eastAsia="Times New Roman"/>
          <w:color w:val="000000"/>
          <w:sz w:val="20"/>
          <w:szCs w:val="20"/>
        </w:rPr>
        <w:t xml:space="preserve">capital requirements. Our short-term cash requirements not met by cash from operations are generally satisfied with borrowings under credit facilities and, in the case of Midstream &amp; Marketing, also from a Receivables Facility. Long-term cash requirements </w:t>
      </w:r>
      <w:r>
        <w:rPr>
          <w:rFonts w:eastAsia="Times New Roman"/>
          <w:color w:val="000000"/>
          <w:sz w:val="20"/>
          <w:szCs w:val="20"/>
        </w:rPr>
        <w:t>are generally met through the issuance of long-term debt or equity securities. We believe that each of our business units has sufficient liquidity in the forms of cash and cash equivalents on hand; cash expected to be generated from operations; credit faci</w:t>
      </w:r>
      <w:r>
        <w:rPr>
          <w:rFonts w:eastAsia="Times New Roman"/>
          <w:color w:val="000000"/>
          <w:sz w:val="20"/>
          <w:szCs w:val="20"/>
        </w:rPr>
        <w:t xml:space="preserve">lity and Receivables Facility borrowing capacity; and the ability to obtain long-term financing to meet anticipated contractual and projected cash commitments. Issuances of debt and equity securities in the capital markets and additional credit facilities </w:t>
      </w:r>
      <w:r>
        <w:rPr>
          <w:rFonts w:eastAsia="Times New Roman"/>
          <w:color w:val="000000"/>
          <w:sz w:val="20"/>
          <w:szCs w:val="20"/>
        </w:rPr>
        <w:t>may not, however, be available to us on acceptable terms.</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The primary sources of UGI’s cash and cash equivalents are the dividends and other cash payments made to UGI or its corporate subsidiaries by its principal business units. Our cash and cash equiva</w:t>
      </w:r>
      <w:r>
        <w:rPr>
          <w:rFonts w:eastAsia="Times New Roman"/>
          <w:color w:val="000000"/>
          <w:sz w:val="20"/>
          <w:szCs w:val="20"/>
        </w:rPr>
        <w:t>lents totaled $670 million at June 30, 2022, compared with $855 million at September 30, 2021. The decrease in cash and cash equivalents since September 30, 2021 is primarily attributable to commodity price volatility experienced in the 2022 nine-month per</w:t>
      </w:r>
      <w:r>
        <w:rPr>
          <w:rFonts w:eastAsia="Times New Roman"/>
          <w:color w:val="000000"/>
          <w:sz w:val="20"/>
          <w:szCs w:val="20"/>
        </w:rPr>
        <w:t xml:space="preserve">iod and the seasonality of our business as further described in “Cash Flows” below. Excluding cash and cash equivalents that reside at UGI’s operating subsidiaries, at June 30, 2022 and September 30, 2021, UGI had $175 million and $172 million of cash and </w:t>
      </w:r>
      <w:r>
        <w:rPr>
          <w:rFonts w:eastAsia="Times New Roman"/>
          <w:color w:val="000000"/>
          <w:sz w:val="20"/>
          <w:szCs w:val="20"/>
        </w:rPr>
        <w:t>cash equivalents, respectively. Such cash is available to pay dividends on UGI Common Stock, to make quarterly payments on outstanding Purchase Contracts and for investment purposes.</w:t>
      </w:r>
    </w:p>
    <w:p w:rsidR="00000000" w:rsidRDefault="00BE60E9">
      <w:pPr>
        <w:jc w:val="both"/>
        <w:rPr>
          <w:rFonts w:eastAsia="Times New Roman"/>
        </w:rPr>
      </w:pPr>
    </w:p>
    <w:p w:rsidR="00000000" w:rsidRDefault="00BE60E9">
      <w:pPr>
        <w:jc w:val="both"/>
        <w:rPr>
          <w:rFonts w:eastAsia="Times New Roman"/>
        </w:rPr>
      </w:pPr>
      <w:r>
        <w:rPr>
          <w:rFonts w:eastAsia="Times New Roman"/>
          <w:b/>
          <w:bCs/>
          <w:color w:val="000000"/>
          <w:sz w:val="20"/>
          <w:szCs w:val="20"/>
        </w:rPr>
        <w:t>Long-term Debt and Credit Facilities</w:t>
      </w:r>
    </w:p>
    <w:p w:rsidR="00000000" w:rsidRDefault="00BE60E9">
      <w:pPr>
        <w:jc w:val="both"/>
        <w:rPr>
          <w:rFonts w:eastAsia="Times New Roman"/>
        </w:rPr>
      </w:pPr>
    </w:p>
    <w:p w:rsidR="00000000" w:rsidRDefault="00BE60E9">
      <w:pPr>
        <w:jc w:val="both"/>
        <w:rPr>
          <w:rFonts w:eastAsia="Times New Roman"/>
        </w:rPr>
      </w:pPr>
      <w:r>
        <w:rPr>
          <w:rFonts w:eastAsia="Times New Roman"/>
          <w:b/>
          <w:bCs/>
          <w:i/>
          <w:iCs/>
          <w:color w:val="000000"/>
          <w:sz w:val="20"/>
          <w:szCs w:val="20"/>
        </w:rPr>
        <w:t>Long-term Debt</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The Company’s d</w:t>
      </w:r>
      <w:r>
        <w:rPr>
          <w:rFonts w:eastAsia="Times New Roman"/>
          <w:color w:val="000000"/>
          <w:sz w:val="20"/>
          <w:szCs w:val="20"/>
        </w:rPr>
        <w:t>ebt outstanding at June 30, 2022 and September 30, 2021, comprises the following: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53"/>
        <w:gridCol w:w="1656"/>
        <w:gridCol w:w="38"/>
        <w:gridCol w:w="121"/>
        <w:gridCol w:w="762"/>
        <w:gridCol w:w="36"/>
        <w:gridCol w:w="36"/>
        <w:gridCol w:w="36"/>
        <w:gridCol w:w="36"/>
        <w:gridCol w:w="121"/>
        <w:gridCol w:w="960"/>
        <w:gridCol w:w="36"/>
        <w:gridCol w:w="36"/>
        <w:gridCol w:w="36"/>
        <w:gridCol w:w="36"/>
        <w:gridCol w:w="121"/>
        <w:gridCol w:w="821"/>
        <w:gridCol w:w="36"/>
        <w:gridCol w:w="36"/>
        <w:gridCol w:w="36"/>
        <w:gridCol w:w="36"/>
        <w:gridCol w:w="121"/>
        <w:gridCol w:w="603"/>
        <w:gridCol w:w="36"/>
        <w:gridCol w:w="36"/>
        <w:gridCol w:w="36"/>
        <w:gridCol w:w="36"/>
        <w:gridCol w:w="120"/>
        <w:gridCol w:w="350"/>
        <w:gridCol w:w="36"/>
        <w:gridCol w:w="36"/>
        <w:gridCol w:w="36"/>
        <w:gridCol w:w="36"/>
        <w:gridCol w:w="120"/>
        <w:gridCol w:w="500"/>
        <w:gridCol w:w="36"/>
        <w:gridCol w:w="36"/>
        <w:gridCol w:w="36"/>
        <w:gridCol w:w="36"/>
        <w:gridCol w:w="121"/>
        <w:gridCol w:w="818"/>
        <w:gridCol w:w="36"/>
      </w:tblGrid>
      <w:tr w:rsidR="00000000">
        <w:trPr>
          <w:divId w:val="650407875"/>
          <w:jc w:val="center"/>
        </w:trPr>
        <w:tc>
          <w:tcPr>
            <w:tcW w:w="50" w:type="pct"/>
            <w:vAlign w:val="center"/>
            <w:hideMark/>
          </w:tcPr>
          <w:p w:rsidR="00000000" w:rsidRDefault="00BE60E9">
            <w:pPr>
              <w:jc w:val="both"/>
              <w:rPr>
                <w:rFonts w:eastAsia="Times New Roman"/>
              </w:rPr>
            </w:pPr>
          </w:p>
        </w:tc>
        <w:tc>
          <w:tcPr>
            <w:tcW w:w="120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20"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2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2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0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303"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383"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8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rPr>
          <w:divId w:val="650407875"/>
          <w:jc w:val="center"/>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June 30, 2022</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September 30, 2021</w:t>
            </w:r>
          </w:p>
        </w:tc>
      </w:tr>
      <w:tr w:rsidR="00000000">
        <w:trPr>
          <w:divId w:val="650407875"/>
          <w:jc w:val="center"/>
        </w:trPr>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(Millions of dollars)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AmeriGas Propane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UGI International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Midstream &amp; Marketing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Utilities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Corp &amp; 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Total</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Total</w:t>
            </w:r>
          </w:p>
        </w:tc>
      </w:tr>
      <w:tr w:rsidR="00BE60E9">
        <w:trPr>
          <w:divId w:val="650407875"/>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Short-term borrowings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650407875"/>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650407875"/>
          <w:jc w:val="center"/>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Long-term debt (including current maturities):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BE60E9">
        <w:trPr>
          <w:divId w:val="650407875"/>
          <w:jc w:val="center"/>
        </w:trPr>
        <w:tc>
          <w:tcPr>
            <w:tcW w:w="0" w:type="auto"/>
            <w:gridSpan w:val="3"/>
            <w:shd w:val="clear" w:color="auto" w:fill="FFFFFF"/>
            <w:tcMar>
              <w:top w:w="30" w:type="dxa"/>
              <w:left w:w="24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Senior notes</w:t>
            </w: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2,575 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419 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1,290 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4,284 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4,270 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650407875"/>
          <w:jc w:val="center"/>
        </w:trPr>
        <w:tc>
          <w:tcPr>
            <w:tcW w:w="0" w:type="auto"/>
            <w:gridSpan w:val="3"/>
            <w:shd w:val="clear" w:color="auto" w:fill="CCEEFF"/>
            <w:tcMar>
              <w:top w:w="30" w:type="dxa"/>
              <w:left w:w="24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Term loans</w:t>
            </w: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315 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679 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137 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765 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1,896 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1,938 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650407875"/>
          <w:jc w:val="center"/>
        </w:trPr>
        <w:tc>
          <w:tcPr>
            <w:tcW w:w="0" w:type="auto"/>
            <w:gridSpan w:val="3"/>
            <w:shd w:val="clear" w:color="auto" w:fill="FFFFFF"/>
            <w:tcMar>
              <w:top w:w="30" w:type="dxa"/>
              <w:left w:w="24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Other long-term debt</w:t>
            </w: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236 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303 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283 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650407875"/>
          <w:jc w:val="center"/>
        </w:trPr>
        <w:tc>
          <w:tcPr>
            <w:tcW w:w="0" w:type="auto"/>
            <w:gridSpan w:val="3"/>
            <w:shd w:val="clear" w:color="auto" w:fill="CCEEFF"/>
            <w:tcMar>
              <w:top w:w="30" w:type="dxa"/>
              <w:left w:w="24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Unamortized debt issuance costs</w:t>
            </w: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(37)</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(42)</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BE60E9">
        <w:trPr>
          <w:divId w:val="650407875"/>
          <w:jc w:val="center"/>
        </w:trPr>
        <w:tc>
          <w:tcPr>
            <w:tcW w:w="0" w:type="auto"/>
            <w:gridSpan w:val="3"/>
            <w:shd w:val="clear" w:color="auto" w:fill="FFFFFF"/>
            <w:tcMar>
              <w:top w:w="30" w:type="dxa"/>
              <w:left w:w="24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Total long-term debt</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2,562 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729 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712 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1,446 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997 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6,446 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6,449 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BE60E9">
        <w:trPr>
          <w:divId w:val="650407875"/>
          <w:jc w:val="center"/>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Total debt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2,612 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730 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712 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1,671 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997 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6,722 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6,816 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bl>
    <w:p w:rsidR="00000000" w:rsidRDefault="00BE60E9">
      <w:pPr>
        <w:jc w:val="both"/>
        <w:rPr>
          <w:rFonts w:eastAsia="Times New Roman"/>
        </w:rPr>
      </w:pPr>
    </w:p>
    <w:p w:rsidR="00000000" w:rsidRDefault="00BE60E9">
      <w:pPr>
        <w:jc w:val="both"/>
        <w:rPr>
          <w:rFonts w:eastAsia="Times New Roman"/>
        </w:rPr>
      </w:pPr>
      <w:r>
        <w:rPr>
          <w:rFonts w:eastAsia="Times New Roman"/>
          <w:b/>
          <w:bCs/>
          <w:i/>
          <w:iCs/>
          <w:color w:val="000000"/>
          <w:sz w:val="20"/>
          <w:szCs w:val="20"/>
        </w:rPr>
        <w:t>Credit Facilities</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 xml:space="preserve">Additional information related to the Company’s credit agreements can be found in Item 7, “Management’s Discussion and Analysis of Financial Condition and Results of Operations,” and Note 6 to Consolidated Financial Statements in the Company’s 2021 Annual </w:t>
      </w:r>
      <w:r>
        <w:rPr>
          <w:rFonts w:eastAsia="Times New Roman"/>
          <w:color w:val="000000"/>
          <w:sz w:val="20"/>
          <w:szCs w:val="20"/>
        </w:rPr>
        <w:t>Report.</w:t>
      </w:r>
    </w:p>
    <w:p w:rsidR="00000000" w:rsidRDefault="00BE60E9">
      <w:pPr>
        <w:jc w:val="both"/>
        <w:rPr>
          <w:rFonts w:eastAsia="Times New Roman"/>
        </w:rPr>
      </w:pPr>
    </w:p>
    <w:p w:rsidR="00000000" w:rsidRDefault="00BE60E9">
      <w:pPr>
        <w:jc w:val="center"/>
        <w:divId w:val="653144327"/>
        <w:rPr>
          <w:rFonts w:eastAsia="Times New Roman"/>
        </w:rPr>
      </w:pPr>
      <w:r>
        <w:rPr>
          <w:rFonts w:eastAsia="Times New Roman"/>
          <w:color w:val="000000"/>
          <w:sz w:val="20"/>
          <w:szCs w:val="20"/>
        </w:rPr>
        <w:t>47</w:t>
      </w:r>
    </w:p>
    <w:p w:rsidR="00000000" w:rsidRDefault="00BE60E9">
      <w:pPr>
        <w:rPr>
          <w:rFonts w:eastAsia="Times New Roman"/>
        </w:rPr>
      </w:pPr>
      <w:r>
        <w:rPr>
          <w:rFonts w:eastAsia="Times New Roman"/>
        </w:rPr>
        <w:pict>
          <v:rect id="_x0000_i1073" style="width:0;height:1.5pt" o:hralign="center" o:hrstd="t" o:hr="t" fillcolor="#a0a0a0" stroked="f"/>
        </w:pict>
      </w:r>
    </w:p>
    <w:p w:rsidR="00000000" w:rsidRDefault="00BE60E9">
      <w:pPr>
        <w:divId w:val="1010914674"/>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137496562"/>
        <w:rPr>
          <w:rFonts w:eastAsia="Times New Roman"/>
        </w:rPr>
      </w:pPr>
      <w:r>
        <w:rPr>
          <w:rFonts w:eastAsia="Times New Roman"/>
          <w:b/>
          <w:bCs/>
          <w:color w:val="000000"/>
          <w:sz w:val="20"/>
          <w:szCs w:val="20"/>
        </w:rPr>
        <w:t>UGI CORPORATION AND SUBSIDIARIES</w:t>
      </w:r>
    </w:p>
    <w:p w:rsidR="00000000" w:rsidRDefault="00BE60E9">
      <w:pPr>
        <w:jc w:val="both"/>
        <w:rPr>
          <w:rFonts w:eastAsia="Times New Roman"/>
        </w:rPr>
      </w:pPr>
      <w:r>
        <w:rPr>
          <w:rFonts w:eastAsia="Times New Roman"/>
          <w:color w:val="000000"/>
          <w:sz w:val="20"/>
          <w:szCs w:val="20"/>
        </w:rPr>
        <w:t>Information about the Company’</w:t>
      </w:r>
      <w:r>
        <w:rPr>
          <w:rFonts w:eastAsia="Times New Roman"/>
          <w:color w:val="000000"/>
          <w:sz w:val="20"/>
          <w:szCs w:val="20"/>
        </w:rPr>
        <w:t>s principal credit agreements (excluding the Receivables Facility discussed below) as of June 30, 2022 and 2021, is presented in the table below.</w:t>
      </w:r>
    </w:p>
    <w:tbl>
      <w:tblPr>
        <w:tblW w:w="4992" w:type="pct"/>
        <w:tblCellMar>
          <w:top w:w="15" w:type="dxa"/>
          <w:left w:w="15" w:type="dxa"/>
          <w:bottom w:w="15" w:type="dxa"/>
          <w:right w:w="15" w:type="dxa"/>
        </w:tblCellMar>
        <w:tblLook w:val="04A0" w:firstRow="1" w:lastRow="0" w:firstColumn="1" w:lastColumn="0" w:noHBand="0" w:noVBand="1"/>
      </w:tblPr>
      <w:tblGrid>
        <w:gridCol w:w="39"/>
        <w:gridCol w:w="3871"/>
        <w:gridCol w:w="38"/>
        <w:gridCol w:w="36"/>
        <w:gridCol w:w="36"/>
        <w:gridCol w:w="36"/>
        <w:gridCol w:w="121"/>
        <w:gridCol w:w="820"/>
        <w:gridCol w:w="36"/>
        <w:gridCol w:w="36"/>
        <w:gridCol w:w="36"/>
        <w:gridCol w:w="36"/>
        <w:gridCol w:w="121"/>
        <w:gridCol w:w="837"/>
        <w:gridCol w:w="36"/>
        <w:gridCol w:w="36"/>
        <w:gridCol w:w="36"/>
        <w:gridCol w:w="36"/>
        <w:gridCol w:w="121"/>
        <w:gridCol w:w="837"/>
        <w:gridCol w:w="36"/>
        <w:gridCol w:w="36"/>
        <w:gridCol w:w="36"/>
        <w:gridCol w:w="36"/>
        <w:gridCol w:w="121"/>
        <w:gridCol w:w="791"/>
        <w:gridCol w:w="36"/>
      </w:tblGrid>
      <w:tr w:rsidR="00000000">
        <w:trPr>
          <w:divId w:val="1504201121"/>
        </w:trPr>
        <w:tc>
          <w:tcPr>
            <w:tcW w:w="50" w:type="pct"/>
            <w:vAlign w:val="center"/>
            <w:hideMark/>
          </w:tcPr>
          <w:p w:rsidR="00000000" w:rsidRDefault="00BE60E9">
            <w:pPr>
              <w:jc w:val="both"/>
              <w:rPr>
                <w:rFonts w:eastAsia="Times New Roman"/>
              </w:rPr>
            </w:pPr>
          </w:p>
        </w:tc>
        <w:tc>
          <w:tcPr>
            <w:tcW w:w="2368"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5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5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5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5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rPr>
          <w:divId w:val="1504201121"/>
        </w:trPr>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(Currency in millions)</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Total Capacity</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Borrowings Outstanding</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Letters of Credit and Guarantees Outstanding</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Available Borrowing Capacity</w:t>
            </w:r>
          </w:p>
        </w:tc>
      </w:tr>
      <w:tr w:rsidR="00000000">
        <w:trPr>
          <w:divId w:val="150420112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20"/>
                <w:szCs w:val="20"/>
              </w:rPr>
              <w:t>As of June 30, 2022</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504201121"/>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AmeriGas OLP</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600 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547 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04201121"/>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UGI International, LLC (a)</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04201121"/>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Energy Services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260 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260 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04201121"/>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UGI Utilities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350 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170 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180 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04201121"/>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Mountaineer</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04201121"/>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UGI Corporation (b)</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230 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70 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04201121"/>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20"/>
                <w:szCs w:val="20"/>
              </w:rPr>
              <w:t>As of June 30, 2021</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1504201121"/>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AmeriGas OLP</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600 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107 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433 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04201121"/>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UGI International, LLC (a)</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04201121"/>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Energy Services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260 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260 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04201121"/>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UGI Utilities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350 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250 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1504201121"/>
        </w:trPr>
        <w:tc>
          <w:tcPr>
            <w:tcW w:w="0" w:type="auto"/>
            <w:gridSpan w:val="3"/>
            <w:vAlign w:val="center"/>
            <w:hideMark/>
          </w:tcPr>
          <w:p w:rsidR="00000000" w:rsidRDefault="00BE60E9">
            <w:pPr>
              <w:spacing w:after="100"/>
              <w:jc w:val="right"/>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c>
          <w:tcPr>
            <w:tcW w:w="0" w:type="auto"/>
            <w:gridSpan w:val="3"/>
            <w:vAlign w:val="center"/>
            <w:hideMark/>
          </w:tcPr>
          <w:p w:rsidR="00000000" w:rsidRDefault="00BE60E9">
            <w:pPr>
              <w:spacing w:after="100"/>
              <w:rPr>
                <w:rFonts w:eastAsia="Times New Roman"/>
                <w:sz w:val="20"/>
                <w:szCs w:val="20"/>
              </w:rPr>
            </w:pPr>
          </w:p>
        </w:tc>
      </w:tr>
      <w:tr w:rsidR="00000000">
        <w:trPr>
          <w:divId w:val="1504201121"/>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UGI Corporation (b)</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285 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bl>
    <w:p w:rsidR="00000000" w:rsidRDefault="00BE60E9">
      <w:pPr>
        <w:ind w:hanging="360"/>
        <w:jc w:val="both"/>
        <w:rPr>
          <w:rFonts w:eastAsia="Times New Roman"/>
        </w:rPr>
      </w:pPr>
      <w:r>
        <w:rPr>
          <w:rFonts w:eastAsia="Times New Roman"/>
          <w:color w:val="000000"/>
          <w:sz w:val="20"/>
          <w:szCs w:val="20"/>
        </w:rPr>
        <w:t>(a)Permits UGI International, LLC to borrow in euros or USD.</w:t>
      </w:r>
    </w:p>
    <w:p w:rsidR="00000000" w:rsidRDefault="00BE60E9">
      <w:pPr>
        <w:ind w:hanging="360"/>
        <w:jc w:val="both"/>
        <w:rPr>
          <w:rFonts w:eastAsia="Times New Roman"/>
        </w:rPr>
      </w:pPr>
      <w:r>
        <w:rPr>
          <w:rFonts w:eastAsia="Times New Roman"/>
          <w:color w:val="000000"/>
          <w:sz w:val="20"/>
          <w:szCs w:val="20"/>
        </w:rPr>
        <w:t>(b)Borrowings outstanding have been classified as “Long-term</w:t>
      </w:r>
      <w:r>
        <w:rPr>
          <w:rFonts w:eastAsia="Times New Roman"/>
          <w:color w:val="000000"/>
          <w:sz w:val="20"/>
          <w:szCs w:val="20"/>
        </w:rPr>
        <w:t xml:space="preserve"> debt” on the Condensed Consolidated Balance Sheets. In July 2021, the Company repaid $15 million of such borrowings and classified these repayments as “Current maturities of long-term debt” on the June 30, 2021 Condensed Consolidated Balance Sheet.</w:t>
      </w:r>
    </w:p>
    <w:p w:rsidR="00000000" w:rsidRDefault="00BE60E9">
      <w:pPr>
        <w:divId w:val="1436558031"/>
        <w:rPr>
          <w:rFonts w:eastAsia="Times New Roman"/>
        </w:rPr>
      </w:pPr>
    </w:p>
    <w:p w:rsidR="00000000" w:rsidRDefault="00BE60E9">
      <w:pPr>
        <w:jc w:val="both"/>
        <w:rPr>
          <w:rFonts w:eastAsia="Times New Roman"/>
        </w:rPr>
      </w:pPr>
      <w:r>
        <w:rPr>
          <w:rFonts w:eastAsia="Times New Roman"/>
          <w:color w:val="000000"/>
          <w:sz w:val="20"/>
          <w:szCs w:val="20"/>
        </w:rPr>
        <w:t xml:space="preserve">The </w:t>
      </w:r>
      <w:r>
        <w:rPr>
          <w:rFonts w:eastAsia="Times New Roman"/>
          <w:color w:val="000000"/>
          <w:sz w:val="20"/>
          <w:szCs w:val="20"/>
        </w:rPr>
        <w:t>average daily and peak short-term borrowings under the Company’s principal credit agreements are as follows:</w:t>
      </w:r>
    </w:p>
    <w:tbl>
      <w:tblPr>
        <w:tblW w:w="4992" w:type="pct"/>
        <w:tblCellMar>
          <w:top w:w="15" w:type="dxa"/>
          <w:left w:w="15" w:type="dxa"/>
          <w:bottom w:w="15" w:type="dxa"/>
          <w:right w:w="15" w:type="dxa"/>
        </w:tblCellMar>
        <w:tblLook w:val="04A0" w:firstRow="1" w:lastRow="0" w:firstColumn="1" w:lastColumn="0" w:noHBand="0" w:noVBand="1"/>
      </w:tblPr>
      <w:tblGrid>
        <w:gridCol w:w="39"/>
        <w:gridCol w:w="3871"/>
        <w:gridCol w:w="38"/>
        <w:gridCol w:w="36"/>
        <w:gridCol w:w="36"/>
        <w:gridCol w:w="36"/>
        <w:gridCol w:w="121"/>
        <w:gridCol w:w="820"/>
        <w:gridCol w:w="37"/>
        <w:gridCol w:w="36"/>
        <w:gridCol w:w="36"/>
        <w:gridCol w:w="36"/>
        <w:gridCol w:w="120"/>
        <w:gridCol w:w="821"/>
        <w:gridCol w:w="36"/>
        <w:gridCol w:w="36"/>
        <w:gridCol w:w="36"/>
        <w:gridCol w:w="36"/>
        <w:gridCol w:w="121"/>
        <w:gridCol w:w="822"/>
        <w:gridCol w:w="37"/>
        <w:gridCol w:w="36"/>
        <w:gridCol w:w="36"/>
        <w:gridCol w:w="36"/>
        <w:gridCol w:w="120"/>
        <w:gridCol w:w="822"/>
        <w:gridCol w:w="36"/>
      </w:tblGrid>
      <w:tr w:rsidR="00000000">
        <w:trPr>
          <w:divId w:val="926577223"/>
        </w:trPr>
        <w:tc>
          <w:tcPr>
            <w:tcW w:w="50" w:type="pct"/>
            <w:vAlign w:val="center"/>
            <w:hideMark/>
          </w:tcPr>
          <w:p w:rsidR="00000000" w:rsidRDefault="00BE60E9">
            <w:pPr>
              <w:jc w:val="both"/>
              <w:rPr>
                <w:rFonts w:eastAsia="Times New Roman"/>
              </w:rPr>
            </w:pPr>
          </w:p>
        </w:tc>
        <w:tc>
          <w:tcPr>
            <w:tcW w:w="2368"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5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5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5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5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rPr>
          <w:divId w:val="926577223"/>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BE60E9">
            <w:pPr>
              <w:spacing w:after="100"/>
              <w:jc w:val="center"/>
              <w:rPr>
                <w:rFonts w:eastAsia="Times New Roman"/>
              </w:rPr>
            </w:pPr>
            <w:r>
              <w:rPr>
                <w:rFonts w:eastAsia="Times New Roman"/>
                <w:color w:val="000000"/>
                <w:sz w:val="18"/>
                <w:szCs w:val="18"/>
              </w:rPr>
              <w:t xml:space="preserve">For the nine months ended </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BE60E9">
            <w:pPr>
              <w:spacing w:after="100"/>
              <w:jc w:val="center"/>
              <w:rPr>
                <w:rFonts w:eastAsia="Times New Roman"/>
              </w:rPr>
            </w:pPr>
            <w:r>
              <w:rPr>
                <w:rFonts w:eastAsia="Times New Roman"/>
                <w:color w:val="000000"/>
                <w:sz w:val="18"/>
                <w:szCs w:val="18"/>
              </w:rPr>
              <w:t xml:space="preserve">For the nine months ended </w:t>
            </w:r>
          </w:p>
        </w:tc>
      </w:tr>
      <w:tr w:rsidR="00000000">
        <w:trPr>
          <w:divId w:val="926577223"/>
        </w:trPr>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BE60E9">
            <w:pPr>
              <w:spacing w:after="100"/>
              <w:jc w:val="center"/>
              <w:rPr>
                <w:rFonts w:eastAsia="Times New Roman"/>
              </w:rPr>
            </w:pPr>
            <w:r>
              <w:rPr>
                <w:rFonts w:eastAsia="Times New Roman"/>
                <w:color w:val="000000"/>
                <w:sz w:val="18"/>
                <w:szCs w:val="18"/>
              </w:rPr>
              <w:t>June 30, 2022</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BE60E9">
            <w:pPr>
              <w:spacing w:after="100"/>
              <w:jc w:val="center"/>
              <w:rPr>
                <w:rFonts w:eastAsia="Times New Roman"/>
              </w:rPr>
            </w:pPr>
            <w:r>
              <w:rPr>
                <w:rFonts w:eastAsia="Times New Roman"/>
                <w:color w:val="000000"/>
                <w:sz w:val="18"/>
                <w:szCs w:val="18"/>
              </w:rPr>
              <w:t>June 30, 2021</w:t>
            </w:r>
          </w:p>
        </w:tc>
      </w:tr>
      <w:tr w:rsidR="00000000">
        <w:trPr>
          <w:divId w:val="926577223"/>
        </w:trPr>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18"/>
                <w:szCs w:val="18"/>
              </w:rPr>
              <w:t>(Millions of dollars or euros)</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Average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Peak</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Average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18"/>
                <w:szCs w:val="18"/>
              </w:rPr>
              <w:t>Peak</w:t>
            </w:r>
          </w:p>
        </w:tc>
      </w:tr>
      <w:tr w:rsidR="00000000">
        <w:trPr>
          <w:divId w:val="926577223"/>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AmeriGas OLP</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926577223"/>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UGI International, LLC</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250 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926577223"/>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Energy Services</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926577223"/>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UGI Utilities</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178 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270 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206 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279 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926577223"/>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Mountaineer</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80 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rPr>
          <w:divId w:val="926577223"/>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UGI Corporation</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181 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288 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243 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bl>
    <w:p w:rsidR="00000000" w:rsidRDefault="00BE60E9">
      <w:pPr>
        <w:jc w:val="both"/>
        <w:rPr>
          <w:rFonts w:eastAsia="Times New Roman"/>
        </w:rPr>
      </w:pPr>
    </w:p>
    <w:p w:rsidR="00000000" w:rsidRDefault="00BE60E9">
      <w:pPr>
        <w:jc w:val="both"/>
        <w:rPr>
          <w:rFonts w:eastAsia="Times New Roman"/>
        </w:rPr>
      </w:pPr>
      <w:r>
        <w:rPr>
          <w:rFonts w:eastAsia="Times New Roman"/>
          <w:b/>
          <w:bCs/>
          <w:i/>
          <w:iCs/>
          <w:color w:val="000000"/>
          <w:sz w:val="20"/>
          <w:szCs w:val="20"/>
        </w:rPr>
        <w:t xml:space="preserve">Receivables Facility. </w:t>
      </w:r>
      <w:r>
        <w:rPr>
          <w:rFonts w:eastAsia="Times New Roman"/>
          <w:color w:val="000000"/>
          <w:sz w:val="20"/>
          <w:szCs w:val="20"/>
        </w:rPr>
        <w:t xml:space="preserve">Energy Services has a Receivables Facility with an issuer of receivables-backed commercial paper </w:t>
      </w:r>
      <w:r>
        <w:rPr>
          <w:rFonts w:eastAsia="Times New Roman"/>
          <w:color w:val="000000"/>
          <w:sz w:val="20"/>
          <w:szCs w:val="20"/>
        </w:rPr>
        <w:t>currently scheduled to expire in October 21, 2022. At June 30, 2022, the outstanding balance of ESFC trade receivables was $88 million, none of which were sold to the bank. At June 30, 2021, the outstanding balance of ESFC trade receivables was $48 million</w:t>
      </w:r>
      <w:r>
        <w:rPr>
          <w:rFonts w:eastAsia="Times New Roman"/>
          <w:color w:val="000000"/>
          <w:sz w:val="20"/>
          <w:szCs w:val="20"/>
        </w:rPr>
        <w:t>, none of which was sold to the bank. Amounts sold to the bank are reflected as “Short-term borrowings” on the Condensed Consolidated Balance Sheets. During the nine months ended June 30, 2022 and 2021, peak sales of receivables were $98 million and $87 mi</w:t>
      </w:r>
      <w:r>
        <w:rPr>
          <w:rFonts w:eastAsia="Times New Roman"/>
          <w:color w:val="000000"/>
          <w:sz w:val="20"/>
          <w:szCs w:val="20"/>
        </w:rPr>
        <w:t>llion, respectively, and average daily amounts sold were $2 million and $27 million, respectively.</w:t>
      </w:r>
    </w:p>
    <w:p w:rsidR="00000000" w:rsidRDefault="00BE60E9">
      <w:pPr>
        <w:divId w:val="1012416472"/>
        <w:rPr>
          <w:rFonts w:eastAsia="Times New Roman"/>
        </w:rPr>
      </w:pPr>
    </w:p>
    <w:p w:rsidR="00000000" w:rsidRDefault="00BE60E9">
      <w:pPr>
        <w:jc w:val="both"/>
        <w:rPr>
          <w:rFonts w:eastAsia="Times New Roman"/>
        </w:rPr>
      </w:pPr>
      <w:r>
        <w:rPr>
          <w:rFonts w:eastAsia="Times New Roman"/>
          <w:b/>
          <w:bCs/>
          <w:color w:val="000000"/>
          <w:sz w:val="20"/>
          <w:szCs w:val="20"/>
        </w:rPr>
        <w:t xml:space="preserve">Significant Financing Activities </w:t>
      </w:r>
    </w:p>
    <w:p w:rsidR="00000000" w:rsidRDefault="00BE60E9">
      <w:pPr>
        <w:jc w:val="both"/>
        <w:rPr>
          <w:rFonts w:eastAsia="Times New Roman"/>
        </w:rPr>
      </w:pPr>
    </w:p>
    <w:p w:rsidR="00000000" w:rsidRDefault="00BE60E9">
      <w:pPr>
        <w:jc w:val="both"/>
        <w:rPr>
          <w:rFonts w:eastAsia="Times New Roman"/>
        </w:rPr>
      </w:pPr>
      <w:r>
        <w:rPr>
          <w:rFonts w:eastAsia="Times New Roman"/>
          <w:b/>
          <w:bCs/>
          <w:i/>
          <w:iCs/>
          <w:color w:val="000000"/>
          <w:sz w:val="20"/>
          <w:szCs w:val="20"/>
        </w:rPr>
        <w:t xml:space="preserve">UGI Utilities. </w:t>
      </w:r>
      <w:r>
        <w:rPr>
          <w:rFonts w:eastAsia="Times New Roman"/>
          <w:color w:val="000000"/>
          <w:sz w:val="20"/>
          <w:szCs w:val="20"/>
        </w:rPr>
        <w:t>On July 12, 2022, UGI Utilities amended the existing Utilities Term Loan. The amendment extended the mat</w:t>
      </w:r>
      <w:r>
        <w:rPr>
          <w:rFonts w:eastAsia="Times New Roman"/>
          <w:color w:val="000000"/>
          <w:sz w:val="20"/>
          <w:szCs w:val="20"/>
        </w:rPr>
        <w:t>urity date of the loan from October 2022 to July 2027, among other things. The current amount outstanding under the Utilities Term Loan remains unchanged and is payable in quarterly installments of $2 million, with the balance of the principal being due an</w:t>
      </w:r>
      <w:r>
        <w:rPr>
          <w:rFonts w:eastAsia="Times New Roman"/>
          <w:color w:val="000000"/>
          <w:sz w:val="20"/>
          <w:szCs w:val="20"/>
        </w:rPr>
        <w:t>d payable in full at maturity. We have entered into a forward-starting interest rate swap that will generally fix the underlying market-based interest rate on this variable-rate loan through June 2026.</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 xml:space="preserve">On June 30, 2022, UGI Utilities entered into a note </w:t>
      </w:r>
      <w:r>
        <w:rPr>
          <w:rFonts w:eastAsia="Times New Roman"/>
          <w:color w:val="000000"/>
          <w:sz w:val="20"/>
          <w:szCs w:val="20"/>
        </w:rPr>
        <w:t xml:space="preserve">purchase agreement which provides for the private placement of (1) $90 million aggregate principal amount of 4.75% Senior Notes due July 15, 2032 and (2) $85 million aggregate principal amount of </w:t>
      </w:r>
    </w:p>
    <w:p w:rsidR="00000000" w:rsidRDefault="00BE60E9">
      <w:pPr>
        <w:jc w:val="center"/>
        <w:divId w:val="1460685592"/>
        <w:rPr>
          <w:rFonts w:eastAsia="Times New Roman"/>
        </w:rPr>
      </w:pPr>
      <w:r>
        <w:rPr>
          <w:rFonts w:eastAsia="Times New Roman"/>
          <w:color w:val="000000"/>
          <w:sz w:val="20"/>
          <w:szCs w:val="20"/>
        </w:rPr>
        <w:t>48</w:t>
      </w:r>
    </w:p>
    <w:p w:rsidR="00000000" w:rsidRDefault="00BE60E9">
      <w:pPr>
        <w:rPr>
          <w:rFonts w:eastAsia="Times New Roman"/>
        </w:rPr>
      </w:pPr>
      <w:r>
        <w:rPr>
          <w:rFonts w:eastAsia="Times New Roman"/>
        </w:rPr>
        <w:pict>
          <v:rect id="_x0000_i1074" style="width:0;height:1.5pt" o:hralign="center" o:hrstd="t" o:hr="t" fillcolor="#a0a0a0" stroked="f"/>
        </w:pict>
      </w:r>
    </w:p>
    <w:p w:rsidR="00000000" w:rsidRDefault="00BE60E9">
      <w:pPr>
        <w:divId w:val="1997999082"/>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763307642"/>
        <w:rPr>
          <w:rFonts w:eastAsia="Times New Roman"/>
        </w:rPr>
      </w:pPr>
      <w:r>
        <w:rPr>
          <w:rFonts w:eastAsia="Times New Roman"/>
          <w:b/>
          <w:bCs/>
          <w:color w:val="000000"/>
          <w:sz w:val="20"/>
          <w:szCs w:val="20"/>
        </w:rPr>
        <w:t>UGI CORPORATION AND SUBSIDIARIES</w:t>
      </w:r>
    </w:p>
    <w:p w:rsidR="00000000" w:rsidRDefault="00BE60E9">
      <w:pPr>
        <w:jc w:val="both"/>
        <w:rPr>
          <w:rFonts w:eastAsia="Times New Roman"/>
        </w:rPr>
      </w:pPr>
      <w:r>
        <w:rPr>
          <w:rFonts w:eastAsia="Times New Roman"/>
          <w:color w:val="000000"/>
          <w:sz w:val="20"/>
          <w:szCs w:val="20"/>
        </w:rPr>
        <w:t>4.99% Senior Notes due September 15, 2052. On July 15, 2022, UGI Utilities issued $90 million aggregate principal amount of 4.75% Senior Notes pursuant to the note pur</w:t>
      </w:r>
      <w:r>
        <w:rPr>
          <w:rFonts w:eastAsia="Times New Roman"/>
          <w:color w:val="000000"/>
          <w:sz w:val="20"/>
          <w:szCs w:val="20"/>
        </w:rPr>
        <w:t>chase agreement. The net proceeds from the issuance of the 4.75% Senior Notes were used to reduce short-term borrowings and for general corporate purposes. The 4.99% Senior Notes are expected to be issued on or before September 15, 2022. UGI Utilities expe</w:t>
      </w:r>
      <w:r>
        <w:rPr>
          <w:rFonts w:eastAsia="Times New Roman"/>
          <w:color w:val="000000"/>
          <w:sz w:val="20"/>
          <w:szCs w:val="20"/>
        </w:rPr>
        <w:t>cts to use the net proceeds from the issuance of the 4.99% Senior Notes to reduce short-term borrowings and for general corporate purposes.</w:t>
      </w:r>
    </w:p>
    <w:p w:rsidR="00000000" w:rsidRDefault="00BE60E9">
      <w:pPr>
        <w:jc w:val="both"/>
        <w:rPr>
          <w:rFonts w:eastAsia="Times New Roman"/>
        </w:rPr>
      </w:pPr>
    </w:p>
    <w:p w:rsidR="00000000" w:rsidRDefault="00BE60E9">
      <w:pPr>
        <w:jc w:val="both"/>
        <w:rPr>
          <w:rFonts w:eastAsia="Times New Roman"/>
        </w:rPr>
      </w:pPr>
      <w:r>
        <w:rPr>
          <w:rFonts w:eastAsia="Times New Roman"/>
          <w:b/>
          <w:bCs/>
          <w:i/>
          <w:iCs/>
          <w:color w:val="000000"/>
          <w:sz w:val="20"/>
          <w:szCs w:val="20"/>
        </w:rPr>
        <w:t>Mountaineer.</w:t>
      </w:r>
      <w:r>
        <w:rPr>
          <w:rFonts w:eastAsia="Times New Roman"/>
          <w:color w:val="000000"/>
          <w:sz w:val="20"/>
          <w:szCs w:val="20"/>
        </w:rPr>
        <w:t xml:space="preserve"> On June 30, 2022, Mountaineer entered into a note purchase agreement which provides for the private p</w:t>
      </w:r>
      <w:r>
        <w:rPr>
          <w:rFonts w:eastAsia="Times New Roman"/>
          <w:color w:val="000000"/>
          <w:sz w:val="20"/>
          <w:szCs w:val="20"/>
        </w:rPr>
        <w:t>lacement of $40 million aggregate principal amount of 4.49% Senior Notes due August 16, 2052. The 4.49% Senior Notes are expected to be issued on or before August 16, 2022. Mountaineer expects to use the net proceeds from the issuance of the 4.49% Senior N</w:t>
      </w:r>
      <w:r>
        <w:rPr>
          <w:rFonts w:eastAsia="Times New Roman"/>
          <w:color w:val="000000"/>
          <w:sz w:val="20"/>
          <w:szCs w:val="20"/>
        </w:rPr>
        <w:t>otes to reduce short-term borrowings and for general corporate purposes</w:t>
      </w:r>
      <w:r>
        <w:rPr>
          <w:rFonts w:ascii="Calibri" w:eastAsia="Times New Roman" w:hAnsi="Calibri" w:cs="Calibri"/>
          <w:color w:val="000000"/>
          <w:sz w:val="20"/>
          <w:szCs w:val="20"/>
        </w:rPr>
        <w:t xml:space="preserve">. </w:t>
      </w:r>
    </w:p>
    <w:p w:rsidR="00000000" w:rsidRDefault="00BE60E9">
      <w:pPr>
        <w:jc w:val="both"/>
        <w:rPr>
          <w:rFonts w:eastAsia="Times New Roman"/>
        </w:rPr>
      </w:pPr>
    </w:p>
    <w:p w:rsidR="00000000" w:rsidRDefault="00BE60E9">
      <w:pPr>
        <w:jc w:val="both"/>
        <w:rPr>
          <w:rFonts w:eastAsia="Times New Roman"/>
        </w:rPr>
      </w:pPr>
      <w:r>
        <w:rPr>
          <w:rFonts w:eastAsia="Times New Roman"/>
          <w:b/>
          <w:bCs/>
          <w:i/>
          <w:iCs/>
          <w:color w:val="000000"/>
          <w:sz w:val="20"/>
          <w:szCs w:val="20"/>
        </w:rPr>
        <w:t xml:space="preserve">UGI International. </w:t>
      </w:r>
      <w:r>
        <w:rPr>
          <w:rFonts w:eastAsia="Times New Roman"/>
          <w:color w:val="000000"/>
          <w:sz w:val="20"/>
          <w:szCs w:val="20"/>
        </w:rPr>
        <w:t>On December 7, 2021, UGI International, LLC issued, in an underwritten private placement, €400 million principal amount of the UGI International 2.50% Senior Notes due December 1, 2029. The UGI International 2.50% Senior Notes rank equal in right of paymen</w:t>
      </w:r>
      <w:r>
        <w:rPr>
          <w:rFonts w:eastAsia="Times New Roman"/>
          <w:color w:val="000000"/>
          <w:sz w:val="20"/>
          <w:szCs w:val="20"/>
        </w:rPr>
        <w:t>t with indebtedness issued under the UGI International Credit Facilities Agreement. The net proceeds from the UGI International 2.50% Senior Notes were used (1) to repay all of the UGI International 3.25% Senior Notes due November 1, 2025 and associated fe</w:t>
      </w:r>
      <w:r>
        <w:rPr>
          <w:rFonts w:eastAsia="Times New Roman"/>
          <w:color w:val="000000"/>
          <w:sz w:val="20"/>
          <w:szCs w:val="20"/>
        </w:rPr>
        <w:t>es and expenses and (2) for general corporate purposes.</w:t>
      </w:r>
    </w:p>
    <w:p w:rsidR="00000000" w:rsidRDefault="00BE60E9">
      <w:pPr>
        <w:jc w:val="both"/>
        <w:rPr>
          <w:rFonts w:eastAsia="Times New Roman"/>
        </w:rPr>
      </w:pPr>
    </w:p>
    <w:p w:rsidR="00000000" w:rsidRDefault="00BE60E9">
      <w:pPr>
        <w:jc w:val="both"/>
        <w:rPr>
          <w:rFonts w:eastAsia="Times New Roman"/>
        </w:rPr>
      </w:pPr>
      <w:r>
        <w:rPr>
          <w:rFonts w:eastAsia="Times New Roman"/>
          <w:b/>
          <w:bCs/>
          <w:color w:val="000000"/>
          <w:sz w:val="20"/>
          <w:szCs w:val="20"/>
        </w:rPr>
        <w:t>Dividends and Repurchases of Common Stock</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On November 18, 2021, UGI’s Board of Directors declared a cash dividend equal to $0.345 per common share. The dividend was paid on January 1, 2022, to sha</w:t>
      </w:r>
      <w:r>
        <w:rPr>
          <w:rFonts w:eastAsia="Times New Roman"/>
          <w:color w:val="000000"/>
          <w:sz w:val="20"/>
          <w:szCs w:val="20"/>
        </w:rPr>
        <w:t>reholders of record on December 15, 2021. On February 2, 2022, UGI’s Board of Directors declared a quarterly dividend of $0.345 per common share. The dividend was paid on April 1, 2022, to shareholders of record on March 15, 2022. On May 4, 2022, UGI’s Boa</w:t>
      </w:r>
      <w:r>
        <w:rPr>
          <w:rFonts w:eastAsia="Times New Roman"/>
          <w:color w:val="000000"/>
          <w:sz w:val="20"/>
          <w:szCs w:val="20"/>
        </w:rPr>
        <w:t>rd of Directors approved an increase in the quarterly dividend rate on UGI Common Stock to $0.36 per common share, or $1.44 on an annual basis. The new dividend rate reflected an approximate 4% increase from the previous quarterly rate of $0.345. The divid</w:t>
      </w:r>
      <w:r>
        <w:rPr>
          <w:rFonts w:eastAsia="Times New Roman"/>
          <w:color w:val="000000"/>
          <w:sz w:val="20"/>
          <w:szCs w:val="20"/>
        </w:rPr>
        <w:t>end was paid on July 1, 2022, to shareholders of record on June 15, 2022. On August 3, 2022, UGI’s Board of Directors declared a quarterly dividend of $0.36 per common share. The dividend is payable October 1, 2022, to shareholders of record on September 1</w:t>
      </w:r>
      <w:r>
        <w:rPr>
          <w:rFonts w:eastAsia="Times New Roman"/>
          <w:color w:val="000000"/>
          <w:sz w:val="20"/>
          <w:szCs w:val="20"/>
        </w:rPr>
        <w:t>5, 2022.</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On February 2, 2022, UGI’s Board of Directors authorized an extension of an existing share repurchase program for up to 8 million shares of UGI Common Stock for an additional four-year period, expiring in February 2026. Pursuant to such authoriz</w:t>
      </w:r>
      <w:r>
        <w:rPr>
          <w:rFonts w:eastAsia="Times New Roman"/>
          <w:color w:val="000000"/>
          <w:sz w:val="20"/>
          <w:szCs w:val="20"/>
        </w:rPr>
        <w:t>ation, during the three and nine months ended June 30, 2022, the Company purchased 0.9 million shares on the open market at a total purchase price of $38 million.</w:t>
      </w:r>
    </w:p>
    <w:p w:rsidR="00000000" w:rsidRDefault="00BE60E9">
      <w:pPr>
        <w:jc w:val="both"/>
        <w:rPr>
          <w:rFonts w:eastAsia="Times New Roman"/>
        </w:rPr>
      </w:pPr>
    </w:p>
    <w:p w:rsidR="00000000" w:rsidRDefault="00BE60E9">
      <w:pPr>
        <w:jc w:val="both"/>
        <w:rPr>
          <w:rFonts w:eastAsia="Times New Roman"/>
        </w:rPr>
      </w:pPr>
      <w:r>
        <w:rPr>
          <w:rFonts w:eastAsia="Times New Roman"/>
          <w:b/>
          <w:bCs/>
          <w:color w:val="000000"/>
          <w:sz w:val="20"/>
          <w:szCs w:val="20"/>
        </w:rPr>
        <w:t xml:space="preserve">Cash Flows </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Due to the seasonal nature of the Company’s businesses, cash flows from operating activities are generally strongest during the second and third fiscal quarters when customers pay for natural gas, LPG, electricity and other energy products and services con</w:t>
      </w:r>
      <w:r>
        <w:rPr>
          <w:rFonts w:eastAsia="Times New Roman"/>
          <w:color w:val="000000"/>
          <w:sz w:val="20"/>
          <w:szCs w:val="20"/>
        </w:rPr>
        <w:t>sumed during the peak heating season months. Conversely, operating cash flows are generally at their lowest levels during the fourth and first fiscal quarters when the Company’s investment in working capital, principally inventories and accounts receivable</w:t>
      </w:r>
      <w:r>
        <w:rPr>
          <w:rFonts w:eastAsia="Times New Roman"/>
          <w:color w:val="000000"/>
          <w:sz w:val="20"/>
          <w:szCs w:val="20"/>
        </w:rPr>
        <w:t>, is generally greatest.</w:t>
      </w:r>
    </w:p>
    <w:p w:rsidR="00000000" w:rsidRDefault="00BE60E9">
      <w:pPr>
        <w:jc w:val="both"/>
        <w:rPr>
          <w:rFonts w:eastAsia="Times New Roman"/>
        </w:rPr>
      </w:pPr>
    </w:p>
    <w:p w:rsidR="00000000" w:rsidRDefault="00BE60E9">
      <w:pPr>
        <w:jc w:val="both"/>
        <w:rPr>
          <w:rFonts w:eastAsia="Times New Roman"/>
        </w:rPr>
      </w:pPr>
      <w:r>
        <w:rPr>
          <w:rFonts w:eastAsia="Times New Roman"/>
          <w:b/>
          <w:bCs/>
          <w:i/>
          <w:iCs/>
          <w:color w:val="000000"/>
          <w:sz w:val="20"/>
          <w:szCs w:val="20"/>
        </w:rPr>
        <w:t>Operating Activities.</w:t>
      </w:r>
      <w:r>
        <w:rPr>
          <w:rFonts w:eastAsia="Times New Roman"/>
          <w:i/>
          <w:iCs/>
          <w:color w:val="000000"/>
          <w:sz w:val="20"/>
          <w:szCs w:val="20"/>
        </w:rPr>
        <w:t xml:space="preserve"> </w:t>
      </w:r>
      <w:r>
        <w:rPr>
          <w:rFonts w:eastAsia="Times New Roman"/>
          <w:color w:val="000000"/>
          <w:sz w:val="20"/>
          <w:szCs w:val="20"/>
        </w:rPr>
        <w:t>Year-to-year variations in our cash flows from operating activities can be significantly affected by changes in operating working capital especially during periods with significant changes in energy commodit</w:t>
      </w:r>
      <w:r>
        <w:rPr>
          <w:rFonts w:eastAsia="Times New Roman"/>
          <w:color w:val="000000"/>
          <w:sz w:val="20"/>
          <w:szCs w:val="20"/>
        </w:rPr>
        <w:t>y prices. Cash flow provided by operating activities was $848 million in the 2022 nine-month period compared to $1,047 million in the 2021 nine-month period. Cash flow from operating activities before changes in operating working capital was $1,114 million</w:t>
      </w:r>
      <w:r>
        <w:rPr>
          <w:rFonts w:eastAsia="Times New Roman"/>
          <w:color w:val="000000"/>
          <w:sz w:val="20"/>
          <w:szCs w:val="20"/>
        </w:rPr>
        <w:t xml:space="preserve"> in the 2022 nine-month period compared to $1,179 million in the 2021 nine-month period. The lower cash flow from operating activities before changes in working capital reflects, in large part, lower operating results at AmeriGas Propane and UGI Internatio</w:t>
      </w:r>
      <w:r>
        <w:rPr>
          <w:rFonts w:eastAsia="Times New Roman"/>
          <w:color w:val="000000"/>
          <w:sz w:val="20"/>
          <w:szCs w:val="20"/>
        </w:rPr>
        <w:t>nal. Cash used to fund changes in operating working capital totaled $266 million in the 2022 nine-month period compared to $132 million in the 2021 nine-month period. Changes in operating working capital during the 2022 nine-month period reflect, among oth</w:t>
      </w:r>
      <w:r>
        <w:rPr>
          <w:rFonts w:eastAsia="Times New Roman"/>
          <w:color w:val="000000"/>
          <w:sz w:val="20"/>
          <w:szCs w:val="20"/>
        </w:rPr>
        <w:t>er things, increases in cash used to fund accounts receivable, accounts payable and other current liabilities. These increases in cash used to fund changes in working capital were partially offset by cash inflows associated with income taxes receivable, in</w:t>
      </w:r>
      <w:r>
        <w:rPr>
          <w:rFonts w:eastAsia="Times New Roman"/>
          <w:color w:val="000000"/>
          <w:sz w:val="20"/>
          <w:szCs w:val="20"/>
        </w:rPr>
        <w:t xml:space="preserve">ventories and other current assets. Additionally, the 2022 nine-month period includes $181 million of incremental cash collateral received from derivative counterparties as compared to $112 million of incremental cash collateral received in the prior-year </w:t>
      </w:r>
      <w:r>
        <w:rPr>
          <w:rFonts w:eastAsia="Times New Roman"/>
          <w:color w:val="000000"/>
          <w:sz w:val="20"/>
          <w:szCs w:val="20"/>
        </w:rPr>
        <w:t>period. The impact of commodity price volatility and increasing supply chain costs are pervasive throughout these changes in working capital.</w:t>
      </w:r>
    </w:p>
    <w:p w:rsidR="00000000" w:rsidRDefault="00BE60E9">
      <w:pPr>
        <w:jc w:val="both"/>
        <w:rPr>
          <w:rFonts w:eastAsia="Times New Roman"/>
        </w:rPr>
      </w:pPr>
    </w:p>
    <w:p w:rsidR="00000000" w:rsidRDefault="00BE60E9">
      <w:pPr>
        <w:jc w:val="both"/>
        <w:rPr>
          <w:rFonts w:eastAsia="Times New Roman"/>
        </w:rPr>
      </w:pPr>
      <w:r>
        <w:rPr>
          <w:rFonts w:eastAsia="Times New Roman"/>
          <w:b/>
          <w:bCs/>
          <w:i/>
          <w:iCs/>
          <w:color w:val="000000"/>
          <w:sz w:val="20"/>
          <w:szCs w:val="20"/>
        </w:rPr>
        <w:t>Investing Activities.</w:t>
      </w:r>
      <w:r>
        <w:rPr>
          <w:rFonts w:eastAsia="Times New Roman"/>
          <w:i/>
          <w:iCs/>
          <w:color w:val="000000"/>
          <w:sz w:val="20"/>
          <w:szCs w:val="20"/>
        </w:rPr>
        <w:t xml:space="preserve"> </w:t>
      </w:r>
      <w:r>
        <w:rPr>
          <w:rFonts w:eastAsia="Times New Roman"/>
          <w:color w:val="000000"/>
          <w:sz w:val="20"/>
          <w:szCs w:val="20"/>
        </w:rPr>
        <w:t>Investing activity cash flow is principally affected by cash expenditures for property, pl</w:t>
      </w:r>
      <w:r>
        <w:rPr>
          <w:rFonts w:eastAsia="Times New Roman"/>
          <w:color w:val="000000"/>
          <w:sz w:val="20"/>
          <w:szCs w:val="20"/>
        </w:rPr>
        <w:t>ant and equipment; cash paid for acquisitions of businesses and assets; investments in investees; and proceeds from sales of assets and businesses. Cash flow used by investing activities was $717 million in the 2022 nine-month period compared to $505 milli</w:t>
      </w:r>
      <w:r>
        <w:rPr>
          <w:rFonts w:eastAsia="Times New Roman"/>
          <w:color w:val="000000"/>
          <w:sz w:val="20"/>
          <w:szCs w:val="20"/>
        </w:rPr>
        <w:t xml:space="preserve">on in the 2021 </w:t>
      </w:r>
    </w:p>
    <w:p w:rsidR="00000000" w:rsidRDefault="00BE60E9">
      <w:pPr>
        <w:jc w:val="center"/>
        <w:divId w:val="467431077"/>
        <w:rPr>
          <w:rFonts w:eastAsia="Times New Roman"/>
        </w:rPr>
      </w:pPr>
      <w:r>
        <w:rPr>
          <w:rFonts w:eastAsia="Times New Roman"/>
          <w:color w:val="000000"/>
          <w:sz w:val="20"/>
          <w:szCs w:val="20"/>
        </w:rPr>
        <w:t>49</w:t>
      </w:r>
    </w:p>
    <w:p w:rsidR="00000000" w:rsidRDefault="00BE60E9">
      <w:pPr>
        <w:rPr>
          <w:rFonts w:eastAsia="Times New Roman"/>
        </w:rPr>
      </w:pPr>
      <w:r>
        <w:rPr>
          <w:rFonts w:eastAsia="Times New Roman"/>
        </w:rPr>
        <w:pict>
          <v:rect id="_x0000_i1075" style="width:0;height:1.5pt" o:hralign="center" o:hrstd="t" o:hr="t" fillcolor="#a0a0a0" stroked="f"/>
        </w:pict>
      </w:r>
    </w:p>
    <w:p w:rsidR="00000000" w:rsidRDefault="00BE60E9">
      <w:pPr>
        <w:divId w:val="80413895"/>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1642269033"/>
        <w:rPr>
          <w:rFonts w:eastAsia="Times New Roman"/>
        </w:rPr>
      </w:pPr>
      <w:r>
        <w:rPr>
          <w:rFonts w:eastAsia="Times New Roman"/>
          <w:b/>
          <w:bCs/>
          <w:color w:val="000000"/>
          <w:sz w:val="20"/>
          <w:szCs w:val="20"/>
        </w:rPr>
        <w:t>UGI CORPORATION AND SUBSIDIARIES</w:t>
      </w:r>
    </w:p>
    <w:p w:rsidR="00000000" w:rsidRDefault="00BE60E9">
      <w:pPr>
        <w:jc w:val="both"/>
        <w:rPr>
          <w:rFonts w:eastAsia="Times New Roman"/>
        </w:rPr>
      </w:pPr>
      <w:r>
        <w:rPr>
          <w:rFonts w:eastAsia="Times New Roman"/>
          <w:color w:val="000000"/>
          <w:sz w:val="20"/>
          <w:szCs w:val="20"/>
        </w:rPr>
        <w:t>nine-month period. Cash expenditures for property, plant and equipment were $551 million in</w:t>
      </w:r>
      <w:r>
        <w:rPr>
          <w:rFonts w:eastAsia="Times New Roman"/>
          <w:color w:val="000000"/>
          <w:sz w:val="20"/>
          <w:szCs w:val="20"/>
        </w:rPr>
        <w:t xml:space="preserve"> the 2022 nine-month period compared with $460 million in the 2021 nine-month period. Cash used for acquisitions of businesses and assets reflects the Stonehenge Acquisition in the 2022 nine-month period and UGI International’s acquisition of two LPG retai</w:t>
      </w:r>
      <w:r>
        <w:rPr>
          <w:rFonts w:eastAsia="Times New Roman"/>
          <w:color w:val="000000"/>
          <w:sz w:val="20"/>
          <w:szCs w:val="20"/>
        </w:rPr>
        <w:t>l businesses in Europe in the 2021 nine-month period. Investments in equity method investments include our investments in renewables businesses during the 2022 nine-month period and in Pine Run during the 2021 nine-month period. Cash inflows associated wit</w:t>
      </w:r>
      <w:r>
        <w:rPr>
          <w:rFonts w:eastAsia="Times New Roman"/>
          <w:color w:val="000000"/>
          <w:sz w:val="20"/>
          <w:szCs w:val="20"/>
        </w:rPr>
        <w:t>h investing activities during the 2022 nine-month period includes cash received from the settlement of certain forward foreign currency contracts previously designated at a net investment hedges.</w:t>
      </w:r>
    </w:p>
    <w:p w:rsidR="00000000" w:rsidRDefault="00BE60E9">
      <w:pPr>
        <w:jc w:val="both"/>
        <w:rPr>
          <w:rFonts w:eastAsia="Times New Roman"/>
        </w:rPr>
      </w:pPr>
    </w:p>
    <w:p w:rsidR="00000000" w:rsidRDefault="00BE60E9">
      <w:pPr>
        <w:jc w:val="both"/>
        <w:rPr>
          <w:rFonts w:eastAsia="Times New Roman"/>
        </w:rPr>
      </w:pPr>
      <w:r>
        <w:rPr>
          <w:rFonts w:eastAsia="Times New Roman"/>
          <w:b/>
          <w:bCs/>
          <w:i/>
          <w:iCs/>
          <w:color w:val="000000"/>
          <w:sz w:val="20"/>
          <w:szCs w:val="20"/>
        </w:rPr>
        <w:t>Financing Activities.</w:t>
      </w:r>
      <w:r>
        <w:rPr>
          <w:rFonts w:eastAsia="Times New Roman"/>
          <w:color w:val="000000"/>
          <w:sz w:val="20"/>
          <w:szCs w:val="20"/>
        </w:rPr>
        <w:t xml:space="preserve"> Changes in cash flow from financing </w:t>
      </w:r>
      <w:r>
        <w:rPr>
          <w:rFonts w:eastAsia="Times New Roman"/>
          <w:color w:val="000000"/>
          <w:sz w:val="20"/>
          <w:szCs w:val="20"/>
        </w:rPr>
        <w:t>activities are primarily due to issuances and repayments of long-term debt; net short-term borrowings/repayments; dividends on UGI Common Stock; quarterly payments on outstanding Purchase Contracts; and issuances and repurchases of equity instruments.</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Ca</w:t>
      </w:r>
      <w:r>
        <w:rPr>
          <w:rFonts w:eastAsia="Times New Roman"/>
          <w:color w:val="000000"/>
          <w:sz w:val="20"/>
          <w:szCs w:val="20"/>
        </w:rPr>
        <w:t>sh flow used to fund financing activities was $290 million in the 2022 nine-month period compared to $321 million in the 2021 nine-month period. The lower cash flow used to fund financing activities was due in part to the absence of proceeds from the issua</w:t>
      </w:r>
      <w:r>
        <w:rPr>
          <w:rFonts w:eastAsia="Times New Roman"/>
          <w:color w:val="000000"/>
          <w:sz w:val="20"/>
          <w:szCs w:val="20"/>
        </w:rPr>
        <w:t>nce of Equity Units in the prior-year period, payments made on the associated Purchase Contracts during the 2022 nine-month period and the repurchase of UGI Common Stock for $38 million. These outflows were offset by an increase long-term debt associated w</w:t>
      </w:r>
      <w:r>
        <w:rPr>
          <w:rFonts w:eastAsia="Times New Roman"/>
          <w:color w:val="000000"/>
          <w:sz w:val="20"/>
          <w:szCs w:val="20"/>
        </w:rPr>
        <w:t xml:space="preserve">ith a refinancing of Senior Notes at UGI International and lower repayments on our revolving credit facilities during the 2022 nine-month period. </w:t>
      </w:r>
    </w:p>
    <w:p w:rsidR="00000000" w:rsidRDefault="00BE60E9">
      <w:pPr>
        <w:jc w:val="both"/>
        <w:rPr>
          <w:rFonts w:eastAsia="Times New Roman"/>
        </w:rPr>
      </w:pPr>
    </w:p>
    <w:p w:rsidR="00000000" w:rsidRDefault="00BE60E9">
      <w:pPr>
        <w:jc w:val="both"/>
        <w:rPr>
          <w:rFonts w:eastAsia="Times New Roman"/>
        </w:rPr>
      </w:pPr>
      <w:r>
        <w:rPr>
          <w:rFonts w:eastAsia="Times New Roman"/>
          <w:b/>
          <w:bCs/>
          <w:color w:val="000000"/>
          <w:sz w:val="20"/>
          <w:szCs w:val="20"/>
        </w:rPr>
        <w:t>UTILITY REGULATORY MATTERS</w:t>
      </w:r>
    </w:p>
    <w:p w:rsidR="00000000" w:rsidRDefault="00BE60E9">
      <w:pPr>
        <w:jc w:val="both"/>
        <w:rPr>
          <w:rFonts w:eastAsia="Times New Roman"/>
        </w:rPr>
      </w:pPr>
    </w:p>
    <w:p w:rsidR="00000000" w:rsidRDefault="00BE60E9">
      <w:pPr>
        <w:jc w:val="both"/>
        <w:rPr>
          <w:rFonts w:eastAsia="Times New Roman"/>
        </w:rPr>
      </w:pPr>
      <w:r>
        <w:rPr>
          <w:rFonts w:eastAsia="Times New Roman"/>
          <w:b/>
          <w:bCs/>
          <w:i/>
          <w:iCs/>
          <w:color w:val="000000"/>
          <w:sz w:val="20"/>
          <w:szCs w:val="20"/>
        </w:rPr>
        <w:t>Base Rate Filings.</w:t>
      </w:r>
      <w:r>
        <w:rPr>
          <w:rFonts w:eastAsia="Times New Roman"/>
          <w:color w:val="000000"/>
          <w:sz w:val="20"/>
          <w:szCs w:val="20"/>
        </w:rPr>
        <w:t> On January 28, 2022, PA Gas Utility filed a request with th</w:t>
      </w:r>
      <w:r>
        <w:rPr>
          <w:rFonts w:eastAsia="Times New Roman"/>
          <w:color w:val="000000"/>
          <w:sz w:val="20"/>
          <w:szCs w:val="20"/>
        </w:rPr>
        <w:t>e PAPUC to increase its base operating revenues for residential, commercial and industrial customers by $83 million annually. The increased revenues would fund ongoing system improvements and operations necessary to maintain safe and reliable natural gas s</w:t>
      </w:r>
      <w:r>
        <w:rPr>
          <w:rFonts w:eastAsia="Times New Roman"/>
          <w:color w:val="000000"/>
          <w:sz w:val="20"/>
          <w:szCs w:val="20"/>
        </w:rPr>
        <w:t xml:space="preserve">ervice and continue to fund programs designed to promote and reward customers’ efforts to increase efficient use of natural gas. On June 24, 2022, a Joint Petition for Approval of Settlement of all issues supported by all active parties was filed with the </w:t>
      </w:r>
      <w:r>
        <w:rPr>
          <w:rFonts w:eastAsia="Times New Roman"/>
          <w:color w:val="000000"/>
          <w:sz w:val="20"/>
          <w:szCs w:val="20"/>
        </w:rPr>
        <w:t>PAPUC providing for a $49 million annual base distribution rate increase for PA Gas Utility, through a phased approach, with $38 million beginning October 29, 2022 and an additional $11 million beginning October 1, 2023. In accordance with the terms of the</w:t>
      </w:r>
      <w:r>
        <w:rPr>
          <w:rFonts w:eastAsia="Times New Roman"/>
          <w:color w:val="000000"/>
          <w:sz w:val="20"/>
          <w:szCs w:val="20"/>
        </w:rPr>
        <w:t xml:space="preserve"> Joint Petition, PA Gas Utility will not be permitted to file a rate case prior to January 1, 2024. Also, in accordance with the terms of the Joint Petition, PA Gas Utility is authorized to implement a weather normalization adjustment rider as a 5-year pil</w:t>
      </w:r>
      <w:r>
        <w:rPr>
          <w:rFonts w:eastAsia="Times New Roman"/>
          <w:color w:val="000000"/>
          <w:sz w:val="20"/>
          <w:szCs w:val="20"/>
        </w:rPr>
        <w:t xml:space="preserve">ot program beginning on the effective date of the new rates. Under this rider, customer billings for distribution services will be adjusted to reflect normal weather conditions if weather deviates more than 3% from normal. Additionally, under the terms of </w:t>
      </w:r>
      <w:r>
        <w:rPr>
          <w:rFonts w:eastAsia="Times New Roman"/>
          <w:color w:val="000000"/>
          <w:sz w:val="20"/>
          <w:szCs w:val="20"/>
        </w:rPr>
        <w:t>the Joint Petition, PA Gas Utility will be authorized to implement a DSIC once its total property, plant and equipment less accumulated depreciation reaches $3,368 million. The Joint Petition was approved by a PAPUC administrative law judge on July 28, 202</w:t>
      </w:r>
      <w:r>
        <w:rPr>
          <w:rFonts w:eastAsia="Times New Roman"/>
          <w:color w:val="000000"/>
          <w:sz w:val="20"/>
          <w:szCs w:val="20"/>
        </w:rPr>
        <w:t>2, and is further subject to receipt of an order from the PAPUC approving the settlement. The Company cannot predict the timing or the ultimate outcome of the rate case review process.</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On February 8, 2021, Electric Utility filed a rate request with the P</w:t>
      </w:r>
      <w:r>
        <w:rPr>
          <w:rFonts w:eastAsia="Times New Roman"/>
          <w:color w:val="000000"/>
          <w:sz w:val="20"/>
          <w:szCs w:val="20"/>
        </w:rPr>
        <w:t>APUC to increase its annual base distribution revenues by $9 million. On October 28, 2021, the PAPUC issued a final order approving a settlement that permitted Electric Utility, effective November 9, 2021, to increase its base distribution revenues by $6 m</w:t>
      </w:r>
      <w:r>
        <w:rPr>
          <w:rFonts w:eastAsia="Times New Roman"/>
          <w:color w:val="000000"/>
          <w:sz w:val="20"/>
          <w:szCs w:val="20"/>
        </w:rPr>
        <w:t>illion.</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On January 28, 2020, PA Gas Utility filed a request with the PAPUC to increase its annual base distribution operating revenues by $75 million annually. On October 8, 2020, the PAPUC issued a final Order approving a settlement that permitted PA Ga</w:t>
      </w:r>
      <w:r>
        <w:rPr>
          <w:rFonts w:eastAsia="Times New Roman"/>
          <w:color w:val="000000"/>
          <w:sz w:val="20"/>
          <w:szCs w:val="20"/>
        </w:rPr>
        <w:t>s Utility to increase its annual base distribution rates by $20 million through a phased approach, with $10 million beginning January 1, 2021 and an additional $10 million beginning July 1, 2021. Additionally, PA Gas Utility was authorized to implement a D</w:t>
      </w:r>
      <w:r>
        <w:rPr>
          <w:rFonts w:eastAsia="Times New Roman"/>
          <w:color w:val="000000"/>
          <w:sz w:val="20"/>
          <w:szCs w:val="20"/>
        </w:rPr>
        <w:t>SIC once PA Gas Utility total property, plant and equipment less accumulated depreciation reached $2,875 million. This threshold was achieved in December 2020, and PA Gas Utility implemented a DSIC effective April 1, 2021. The PAPUC’s final Order also incl</w:t>
      </w:r>
      <w:r>
        <w:rPr>
          <w:rFonts w:eastAsia="Times New Roman"/>
          <w:color w:val="000000"/>
          <w:sz w:val="20"/>
          <w:szCs w:val="20"/>
        </w:rPr>
        <w:t>uded enhanced COVID-19 customer assistance measures, including the establishment of an Emergency Relief Program for a defined set of payment troubled customers (“ERP”). Additionally, the PAPUC’s final order permitted PA Gas Utility to establish a regulator</w:t>
      </w:r>
      <w:r>
        <w:rPr>
          <w:rFonts w:eastAsia="Times New Roman"/>
          <w:color w:val="000000"/>
          <w:sz w:val="20"/>
          <w:szCs w:val="20"/>
        </w:rPr>
        <w:t>y asset for certain incremental expenses attributable to the ongoing COVID-19 pandemic, most notably expenses related to the ERP and uncollectible accounts expense, through the effective date of rates in the next PA Gas Utility base rate case, to be recove</w:t>
      </w:r>
      <w:r>
        <w:rPr>
          <w:rFonts w:eastAsia="Times New Roman"/>
          <w:color w:val="000000"/>
          <w:sz w:val="20"/>
          <w:szCs w:val="20"/>
        </w:rPr>
        <w:t>red and amortized over a 10-year period. In accordance with the terms of the final Order, PA Gas Utility was not permitted to file a rate case prior to January 1, 2022.</w:t>
      </w:r>
    </w:p>
    <w:p w:rsidR="00000000" w:rsidRDefault="00BE60E9">
      <w:pPr>
        <w:jc w:val="both"/>
        <w:rPr>
          <w:rFonts w:eastAsia="Times New Roman"/>
        </w:rPr>
      </w:pPr>
    </w:p>
    <w:p w:rsidR="00000000" w:rsidRDefault="00BE60E9">
      <w:pPr>
        <w:jc w:val="both"/>
        <w:rPr>
          <w:rFonts w:eastAsia="Times New Roman"/>
        </w:rPr>
      </w:pPr>
    </w:p>
    <w:p w:rsidR="00000000" w:rsidRDefault="00BE60E9">
      <w:pPr>
        <w:jc w:val="both"/>
        <w:rPr>
          <w:rFonts w:eastAsia="Times New Roman"/>
        </w:rPr>
      </w:pPr>
    </w:p>
    <w:p w:rsidR="00000000" w:rsidRDefault="00BE60E9">
      <w:pPr>
        <w:jc w:val="center"/>
        <w:divId w:val="347366738"/>
        <w:rPr>
          <w:rFonts w:eastAsia="Times New Roman"/>
        </w:rPr>
      </w:pPr>
      <w:r>
        <w:rPr>
          <w:rFonts w:eastAsia="Times New Roman"/>
          <w:color w:val="000000"/>
          <w:sz w:val="20"/>
          <w:szCs w:val="20"/>
        </w:rPr>
        <w:t>50</w:t>
      </w:r>
    </w:p>
    <w:p w:rsidR="00000000" w:rsidRDefault="00BE60E9">
      <w:pPr>
        <w:rPr>
          <w:rFonts w:eastAsia="Times New Roman"/>
        </w:rPr>
      </w:pPr>
      <w:r>
        <w:rPr>
          <w:rFonts w:eastAsia="Times New Roman"/>
        </w:rPr>
        <w:pict>
          <v:rect id="_x0000_i1076" style="width:0;height:1.5pt" o:hralign="center" o:hrstd="t" o:hr="t" fillcolor="#a0a0a0" stroked="f"/>
        </w:pict>
      </w:r>
    </w:p>
    <w:p w:rsidR="00000000" w:rsidRDefault="00BE60E9">
      <w:pPr>
        <w:divId w:val="1208882579"/>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1168401713"/>
        <w:rPr>
          <w:rFonts w:eastAsia="Times New Roman"/>
        </w:rPr>
      </w:pPr>
      <w:r>
        <w:rPr>
          <w:rFonts w:eastAsia="Times New Roman"/>
          <w:b/>
          <w:bCs/>
          <w:color w:val="000000"/>
          <w:sz w:val="20"/>
          <w:szCs w:val="20"/>
        </w:rPr>
        <w:t>UGI CORPORATION AND SUBSIDIARIES</w:t>
      </w:r>
    </w:p>
    <w:p w:rsidR="00000000" w:rsidRDefault="00BE60E9">
      <w:pPr>
        <w:divId w:val="917132093"/>
        <w:rPr>
          <w:rFonts w:eastAsia="Times New Roman"/>
        </w:rPr>
      </w:pPr>
      <w:r>
        <w:rPr>
          <w:rFonts w:eastAsia="Times New Roman"/>
          <w:b/>
          <w:bCs/>
          <w:color w:val="000000"/>
          <w:sz w:val="20"/>
          <w:szCs w:val="20"/>
        </w:rPr>
        <w:t>ITEM 3. QUANTITATIVE AND QUALITATIVE DISCLOSURES ABOUT MARKET RISK</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Our primary market risk exposures are (1) commodity price risk; (2) interest rate risk; and (3) foreign currency exchange rate risk. Although we use derivative financial and commodity instruments to reduce market price risk associated with forecasted trans</w:t>
      </w:r>
      <w:r>
        <w:rPr>
          <w:rFonts w:eastAsia="Times New Roman"/>
          <w:color w:val="000000"/>
          <w:sz w:val="20"/>
          <w:szCs w:val="20"/>
        </w:rPr>
        <w:t>actions, we do not use derivative financial and commodity instruments for speculative or trading purposes.</w:t>
      </w:r>
    </w:p>
    <w:p w:rsidR="00000000" w:rsidRDefault="00BE60E9">
      <w:pPr>
        <w:divId w:val="2123645136"/>
        <w:rPr>
          <w:rFonts w:eastAsia="Times New Roman"/>
        </w:rPr>
      </w:pPr>
    </w:p>
    <w:p w:rsidR="00000000" w:rsidRDefault="00BE60E9">
      <w:pPr>
        <w:jc w:val="both"/>
        <w:divId w:val="258761173"/>
        <w:rPr>
          <w:rFonts w:eastAsia="Times New Roman"/>
        </w:rPr>
      </w:pPr>
      <w:r>
        <w:rPr>
          <w:rFonts w:eastAsia="Times New Roman"/>
          <w:b/>
          <w:bCs/>
          <w:color w:val="000000"/>
          <w:sz w:val="20"/>
          <w:szCs w:val="20"/>
        </w:rPr>
        <w:t>Commodity Price Risk</w:t>
      </w:r>
    </w:p>
    <w:p w:rsidR="00000000" w:rsidRDefault="00BE60E9">
      <w:pPr>
        <w:jc w:val="both"/>
        <w:rPr>
          <w:rFonts w:eastAsia="Times New Roman"/>
        </w:rPr>
      </w:pPr>
      <w:r>
        <w:rPr>
          <w:rFonts w:eastAsia="Times New Roman"/>
          <w:color w:val="000000"/>
          <w:sz w:val="20"/>
          <w:szCs w:val="20"/>
        </w:rPr>
        <w:t>The risk associated with fluctuations in the prices the Partnership and our UGI International operations pay for LPG is princi</w:t>
      </w:r>
      <w:r>
        <w:rPr>
          <w:rFonts w:eastAsia="Times New Roman"/>
          <w:color w:val="000000"/>
          <w:sz w:val="20"/>
          <w:szCs w:val="20"/>
        </w:rPr>
        <w:t>pally a result of market forces reflecting changes in supply and demand for LPG and other energy commodities. Their profitability is sensitive to changes in LPG supply costs. Increases in supply costs are generally passed on to customers. The Partnership a</w:t>
      </w:r>
      <w:r>
        <w:rPr>
          <w:rFonts w:eastAsia="Times New Roman"/>
          <w:color w:val="000000"/>
          <w:sz w:val="20"/>
          <w:szCs w:val="20"/>
        </w:rPr>
        <w:t>nd UGI International may not, however, always be able to pass through product cost increases fully or on a timely basis, particularly when product costs rise rapidly. In order to reduce the volatility of LPG market price risk, the Partnership uses contract</w:t>
      </w:r>
      <w:r>
        <w:rPr>
          <w:rFonts w:eastAsia="Times New Roman"/>
          <w:color w:val="000000"/>
          <w:sz w:val="20"/>
          <w:szCs w:val="20"/>
        </w:rPr>
        <w:t>s for the forward purchase or sale of propane, propane fixed-price supply agreements and over-the-counter derivative commodity instruments including price swap and option contracts. Our UGI International operations use over-the-counter derivative commodity</w:t>
      </w:r>
      <w:r>
        <w:rPr>
          <w:rFonts w:eastAsia="Times New Roman"/>
          <w:color w:val="000000"/>
          <w:sz w:val="20"/>
          <w:szCs w:val="20"/>
        </w:rPr>
        <w:t xml:space="preserve"> instruments and may from time to time enter into other derivative contracts, similar to those used by the Partnership, to reduce market risk associated with a portion of their LPG purchases. Over-the-counter derivative commodity instruments used to econom</w:t>
      </w:r>
      <w:r>
        <w:rPr>
          <w:rFonts w:eastAsia="Times New Roman"/>
          <w:color w:val="000000"/>
          <w:sz w:val="20"/>
          <w:szCs w:val="20"/>
        </w:rPr>
        <w:t xml:space="preserve">ically hedge forecasted purchases of LPG are generally settled at expiration of the contract. </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UGI Utilities’ tariffs contain clauses that permit recovery of all prudently incurred costs of natural gas it sells to its retail core-market customers, includ</w:t>
      </w:r>
      <w:r>
        <w:rPr>
          <w:rFonts w:eastAsia="Times New Roman"/>
          <w:color w:val="000000"/>
          <w:sz w:val="20"/>
          <w:szCs w:val="20"/>
        </w:rPr>
        <w:t>ing the cost of financial instruments used to hedge purchased gas costs. The recovery clauses provide for periodic adjustments for the difference between the total amounts actually billed to customers through PGC rates and the recoverable costs incurred. B</w:t>
      </w:r>
      <w:r>
        <w:rPr>
          <w:rFonts w:eastAsia="Times New Roman"/>
          <w:color w:val="000000"/>
          <w:sz w:val="20"/>
          <w:szCs w:val="20"/>
        </w:rPr>
        <w:t>ecause of this ratemaking mechanism, there is limited commodity price risk associated with our Utilities operations. PA Gas Utility uses derivative financial instruments, including natural gas futures and option contracts traded on the NYMEX, to reduce vol</w:t>
      </w:r>
      <w:r>
        <w:rPr>
          <w:rFonts w:eastAsia="Times New Roman"/>
          <w:color w:val="000000"/>
          <w:sz w:val="20"/>
          <w:szCs w:val="20"/>
        </w:rPr>
        <w:t xml:space="preserve">atility in the cost of gas it purchases for its retail core-market customers. The cost of these derivative financial instruments, net of any associated gains or losses, is included in PA Gas Utility's PGC recovery mechanism. </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In order to manage market pr</w:t>
      </w:r>
      <w:r>
        <w:rPr>
          <w:rFonts w:eastAsia="Times New Roman"/>
          <w:color w:val="000000"/>
          <w:sz w:val="20"/>
          <w:szCs w:val="20"/>
        </w:rPr>
        <w:t>ice risk relating to substantially all of Midstream &amp; Marketing’s fixed-price sale contracts for physical natural gas and electricity, Midstream &amp; Marketing enters into NYMEX, ICE and over-the-counter natural gas and electricity futures and option contract</w:t>
      </w:r>
      <w:r>
        <w:rPr>
          <w:rFonts w:eastAsia="Times New Roman"/>
          <w:color w:val="000000"/>
          <w:sz w:val="20"/>
          <w:szCs w:val="20"/>
        </w:rPr>
        <w:t>s, and natural gas basis swap contracts or enters into fixed-price supply arrangements. Midstream &amp; Marketing also uses NYMEX and over-the-counter electricity futures contracts to economically hedge a portion of its anticipated sales of electricity from it</w:t>
      </w:r>
      <w:r>
        <w:rPr>
          <w:rFonts w:eastAsia="Times New Roman"/>
          <w:color w:val="000000"/>
          <w:sz w:val="20"/>
          <w:szCs w:val="20"/>
        </w:rPr>
        <w:t>s electricity generation facilities. Although Midstream &amp; Marketing’s fixed-price supply arrangements mitigate most risks associated with its fixed-price sales contracts, should any of the suppliers under these arrangements fail to perform, increases, if a</w:t>
      </w:r>
      <w:r>
        <w:rPr>
          <w:rFonts w:eastAsia="Times New Roman"/>
          <w:color w:val="000000"/>
          <w:sz w:val="20"/>
          <w:szCs w:val="20"/>
        </w:rPr>
        <w:t>ny, in the cost of replacement natural gas or electricity would adversely impact Midstream &amp; Marketing’s results. In order to reduce this risk of supplier nonperformance, Midstream &amp; Marketing has diversified its purchases across a number of suppliers. UGI</w:t>
      </w:r>
      <w:r>
        <w:rPr>
          <w:rFonts w:eastAsia="Times New Roman"/>
          <w:color w:val="000000"/>
          <w:sz w:val="20"/>
          <w:szCs w:val="20"/>
        </w:rPr>
        <w:t xml:space="preserve"> International’s natural gas and electricity marketing businesses also use natural gas and electricity futures and forward contracts to economically hedge market risk associated with a substantial portion of anticipated volumes under fixed-price sales and </w:t>
      </w:r>
      <w:r>
        <w:rPr>
          <w:rFonts w:eastAsia="Times New Roman"/>
          <w:color w:val="000000"/>
          <w:sz w:val="20"/>
          <w:szCs w:val="20"/>
        </w:rPr>
        <w:t>purchase contracts.</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Midstream &amp; Marketing has entered into fixed-price sales agreements for a portion of the electricity expected to be generated by its electric generation assets. In the event that these generation assets would not be able to produce al</w:t>
      </w:r>
      <w:r>
        <w:rPr>
          <w:rFonts w:eastAsia="Times New Roman"/>
          <w:color w:val="000000"/>
          <w:sz w:val="20"/>
          <w:szCs w:val="20"/>
        </w:rPr>
        <w:t>l of the electricity needed to supply electricity under these agreements, Midstream &amp; Marketing would be required to purchase electricity on the spot market or under contract with other electricity suppliers. Accordingly, increases in the cost of replaceme</w:t>
      </w:r>
      <w:r>
        <w:rPr>
          <w:rFonts w:eastAsia="Times New Roman"/>
          <w:color w:val="000000"/>
          <w:sz w:val="20"/>
          <w:szCs w:val="20"/>
        </w:rPr>
        <w:t>nt power could negatively impact Midstream &amp; Marketing’s results.</w:t>
      </w:r>
    </w:p>
    <w:p w:rsidR="00000000" w:rsidRDefault="00BE60E9">
      <w:pPr>
        <w:jc w:val="both"/>
        <w:rPr>
          <w:rFonts w:eastAsia="Times New Roman"/>
        </w:rPr>
      </w:pPr>
    </w:p>
    <w:p w:rsidR="00000000" w:rsidRDefault="00BE60E9">
      <w:pPr>
        <w:jc w:val="both"/>
        <w:divId w:val="1195073583"/>
        <w:rPr>
          <w:rFonts w:eastAsia="Times New Roman"/>
        </w:rPr>
      </w:pPr>
      <w:r>
        <w:rPr>
          <w:rFonts w:eastAsia="Times New Roman"/>
          <w:b/>
          <w:bCs/>
          <w:color w:val="000000"/>
          <w:sz w:val="20"/>
          <w:szCs w:val="20"/>
        </w:rPr>
        <w:t>Interest Rate Risk</w:t>
      </w:r>
    </w:p>
    <w:p w:rsidR="00000000" w:rsidRDefault="00BE60E9">
      <w:pPr>
        <w:jc w:val="both"/>
        <w:rPr>
          <w:rFonts w:eastAsia="Times New Roman"/>
        </w:rPr>
      </w:pPr>
      <w:r>
        <w:rPr>
          <w:rFonts w:eastAsia="Times New Roman"/>
          <w:color w:val="000000"/>
          <w:sz w:val="20"/>
          <w:szCs w:val="20"/>
        </w:rPr>
        <w:t>We have both fixed-rate and variable-rate debt. Changes in interest rates impact the cash flows of variable-rate debt but generally do not impact their fair value. Conve</w:t>
      </w:r>
      <w:r>
        <w:rPr>
          <w:rFonts w:eastAsia="Times New Roman"/>
          <w:color w:val="000000"/>
          <w:sz w:val="20"/>
          <w:szCs w:val="20"/>
        </w:rPr>
        <w:t>rsely, changes in interest rates impact the fair value of fixed-rate debt but do not impact their cash flows.</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Our variable-rate debt at June 30, 2022, includes revolving credit facility borrowings and variable-rate term loans at UGI International, UGI Ut</w:t>
      </w:r>
      <w:r>
        <w:rPr>
          <w:rFonts w:eastAsia="Times New Roman"/>
          <w:color w:val="000000"/>
          <w:sz w:val="20"/>
          <w:szCs w:val="20"/>
        </w:rPr>
        <w:t>ilities, Energy Services and UGI Corporation. These debt agreements have interest rates that are generally indexed to short-term market interest rates. We have entered into pay-fixed, receive-variable interest rate swap agreements on all or a significant p</w:t>
      </w:r>
      <w:r>
        <w:rPr>
          <w:rFonts w:eastAsia="Times New Roman"/>
          <w:color w:val="000000"/>
          <w:sz w:val="20"/>
          <w:szCs w:val="20"/>
        </w:rPr>
        <w:t>ortion of the term loans’ principal balances and all or a significant portion of the term loans’ tenor. We have designated these interest rate swaps as cash flow hedges. At June 30, 2022, combined borrowings outstanding under variable-rate debt agreements,</w:t>
      </w:r>
      <w:r>
        <w:rPr>
          <w:rFonts w:eastAsia="Times New Roman"/>
          <w:color w:val="000000"/>
          <w:sz w:val="20"/>
          <w:szCs w:val="20"/>
        </w:rPr>
        <w:t xml:space="preserve"> excluding the previously mentioned effectively fixed-rate debt, totaled $636 million. </w:t>
      </w:r>
    </w:p>
    <w:p w:rsidR="00000000" w:rsidRDefault="00BE60E9">
      <w:pPr>
        <w:jc w:val="both"/>
        <w:rPr>
          <w:rFonts w:eastAsia="Times New Roman"/>
        </w:rPr>
      </w:pPr>
    </w:p>
    <w:p w:rsidR="00000000" w:rsidRDefault="00BE60E9">
      <w:pPr>
        <w:jc w:val="center"/>
        <w:divId w:val="526337076"/>
        <w:rPr>
          <w:rFonts w:eastAsia="Times New Roman"/>
        </w:rPr>
      </w:pPr>
      <w:r>
        <w:rPr>
          <w:rFonts w:eastAsia="Times New Roman"/>
          <w:color w:val="000000"/>
          <w:sz w:val="20"/>
          <w:szCs w:val="20"/>
        </w:rPr>
        <w:t>51</w:t>
      </w:r>
    </w:p>
    <w:p w:rsidR="00000000" w:rsidRDefault="00BE60E9">
      <w:pPr>
        <w:rPr>
          <w:rFonts w:eastAsia="Times New Roman"/>
        </w:rPr>
      </w:pPr>
      <w:r>
        <w:rPr>
          <w:rFonts w:eastAsia="Times New Roman"/>
        </w:rPr>
        <w:pict>
          <v:rect id="_x0000_i1077" style="width:0;height:1.5pt" o:hralign="center" o:hrstd="t" o:hr="t" fillcolor="#a0a0a0" stroked="f"/>
        </w:pict>
      </w:r>
    </w:p>
    <w:p w:rsidR="00000000" w:rsidRDefault="00BE60E9">
      <w:pPr>
        <w:divId w:val="758256893"/>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783306027"/>
        <w:rPr>
          <w:rFonts w:eastAsia="Times New Roman"/>
        </w:rPr>
      </w:pPr>
      <w:r>
        <w:rPr>
          <w:rFonts w:eastAsia="Times New Roman"/>
          <w:b/>
          <w:bCs/>
          <w:color w:val="000000"/>
          <w:sz w:val="20"/>
          <w:szCs w:val="20"/>
        </w:rPr>
        <w:t>UGI CORPORATION AND SUBSIDIARIES</w:t>
      </w:r>
    </w:p>
    <w:p w:rsidR="00000000" w:rsidRDefault="00BE60E9">
      <w:pPr>
        <w:jc w:val="both"/>
        <w:rPr>
          <w:rFonts w:eastAsia="Times New Roman"/>
        </w:rPr>
      </w:pPr>
      <w:r>
        <w:rPr>
          <w:rFonts w:eastAsia="Times New Roman"/>
          <w:color w:val="000000"/>
          <w:sz w:val="20"/>
          <w:szCs w:val="20"/>
        </w:rPr>
        <w:t>Long-term debt as</w:t>
      </w:r>
      <w:r>
        <w:rPr>
          <w:rFonts w:eastAsia="Times New Roman"/>
          <w:color w:val="000000"/>
          <w:sz w:val="20"/>
          <w:szCs w:val="20"/>
        </w:rPr>
        <w:t>sociated with our domestic businesses is typically issued at fixed rates of interest based upon market rates for debt with similar terms and credit ratings. As these long-term debt issues mature, we may refinance such debt with new debt having interest rat</w:t>
      </w:r>
      <w:r>
        <w:rPr>
          <w:rFonts w:eastAsia="Times New Roman"/>
          <w:color w:val="000000"/>
          <w:sz w:val="20"/>
          <w:szCs w:val="20"/>
        </w:rPr>
        <w:t>es reflecting then-current market conditions. In order to reduce interest rate risk associated with near- to medium-term forecasted issuances of fixed rate debt, from time to time we enter into IRPAs.</w:t>
      </w:r>
    </w:p>
    <w:p w:rsidR="00000000" w:rsidRDefault="00BE60E9">
      <w:pPr>
        <w:jc w:val="both"/>
        <w:divId w:val="2091074017"/>
        <w:rPr>
          <w:rFonts w:eastAsia="Times New Roman"/>
        </w:rPr>
      </w:pPr>
      <w:r>
        <w:rPr>
          <w:rFonts w:eastAsia="Times New Roman"/>
          <w:b/>
          <w:bCs/>
          <w:color w:val="000000"/>
          <w:sz w:val="20"/>
          <w:szCs w:val="20"/>
        </w:rPr>
        <w:t>Foreign Currency Exchange Rate Risk</w:t>
      </w:r>
    </w:p>
    <w:p w:rsidR="00000000" w:rsidRDefault="00BE60E9">
      <w:pPr>
        <w:jc w:val="both"/>
        <w:divId w:val="1819345456"/>
        <w:rPr>
          <w:rFonts w:eastAsia="Times New Roman"/>
        </w:rPr>
      </w:pPr>
      <w:r>
        <w:rPr>
          <w:rFonts w:eastAsia="Times New Roman"/>
          <w:color w:val="000000"/>
          <w:sz w:val="20"/>
          <w:szCs w:val="20"/>
        </w:rPr>
        <w:t>Our primary currenc</w:t>
      </w:r>
      <w:r>
        <w:rPr>
          <w:rFonts w:eastAsia="Times New Roman"/>
          <w:color w:val="000000"/>
          <w:sz w:val="20"/>
          <w:szCs w:val="20"/>
        </w:rPr>
        <w:t>y exchange rate risk is associated with the USD versus the euro and, to a lesser extent, the USD versus the British pound sterling. The USD value of our foreign currency denominated assets and liabilities will fluctuate with changes in the associated forei</w:t>
      </w:r>
      <w:r>
        <w:rPr>
          <w:rFonts w:eastAsia="Times New Roman"/>
          <w:color w:val="000000"/>
          <w:sz w:val="20"/>
          <w:szCs w:val="20"/>
        </w:rPr>
        <w:t>gn currency exchange rates. From time to time, we use derivative instruments to hedge portions of our net investments in foreign subsidiaries, including anticipated foreign currency denominated dividends. Gains or losses on these net investment hedges rema</w:t>
      </w:r>
      <w:r>
        <w:rPr>
          <w:rFonts w:eastAsia="Times New Roman"/>
          <w:color w:val="000000"/>
          <w:sz w:val="20"/>
          <w:szCs w:val="20"/>
        </w:rPr>
        <w:t>in in AOCI until such foreign operations are sold or liquidated. With respect to our net investments in our UGI International operations, a 10% decline in the value of the associated foreign currencies versus the USD would reduce their aggregate net book v</w:t>
      </w:r>
      <w:r>
        <w:rPr>
          <w:rFonts w:eastAsia="Times New Roman"/>
          <w:color w:val="000000"/>
          <w:sz w:val="20"/>
          <w:szCs w:val="20"/>
        </w:rPr>
        <w:t>alue at June 30, 2022, by approximately $160 million, which amount would be reflected in other comprehensive income. We have designated certain euro-denominated borrowings as net investment hedges.</w:t>
      </w:r>
    </w:p>
    <w:p w:rsidR="00000000" w:rsidRDefault="00BE60E9">
      <w:pPr>
        <w:jc w:val="both"/>
        <w:divId w:val="4357976"/>
        <w:rPr>
          <w:rFonts w:eastAsia="Times New Roman"/>
        </w:rPr>
      </w:pPr>
      <w:r>
        <w:rPr>
          <w:rFonts w:eastAsia="Times New Roman"/>
          <w:color w:val="000000"/>
          <w:sz w:val="20"/>
          <w:szCs w:val="20"/>
        </w:rPr>
        <w:t>In order to reduce the volatility in net income associated</w:t>
      </w:r>
      <w:r>
        <w:rPr>
          <w:rFonts w:eastAsia="Times New Roman"/>
          <w:color w:val="000000"/>
          <w:sz w:val="20"/>
          <w:szCs w:val="20"/>
        </w:rPr>
        <w:t xml:space="preserve"> with our foreign operations, principally as a result of changes in the USD exchange rate between the euro and British pound sterling, we enter into forward foreign currency exchange contracts. We layer in these foreign currency exchange contracts over a m</w:t>
      </w:r>
      <w:r>
        <w:rPr>
          <w:rFonts w:eastAsia="Times New Roman"/>
          <w:color w:val="000000"/>
          <w:sz w:val="20"/>
          <w:szCs w:val="20"/>
        </w:rPr>
        <w:t>ulti-year period to eventually equal approximately 90% of anticipated UGI International foreign currency earnings before income taxes.</w:t>
      </w:r>
    </w:p>
    <w:p w:rsidR="00000000" w:rsidRDefault="00BE60E9">
      <w:pPr>
        <w:jc w:val="both"/>
        <w:divId w:val="1885167103"/>
        <w:rPr>
          <w:rFonts w:eastAsia="Times New Roman"/>
        </w:rPr>
      </w:pPr>
      <w:r>
        <w:rPr>
          <w:rFonts w:eastAsia="Times New Roman"/>
          <w:b/>
          <w:bCs/>
          <w:color w:val="000000"/>
          <w:sz w:val="20"/>
          <w:szCs w:val="20"/>
        </w:rPr>
        <w:t>Derivative Instrument Credit Risk</w:t>
      </w:r>
    </w:p>
    <w:p w:rsidR="00000000" w:rsidRDefault="00BE60E9">
      <w:pPr>
        <w:jc w:val="both"/>
        <w:divId w:val="509297005"/>
        <w:rPr>
          <w:rFonts w:eastAsia="Times New Roman"/>
        </w:rPr>
      </w:pPr>
      <w:r>
        <w:rPr>
          <w:rFonts w:eastAsia="Times New Roman"/>
          <w:color w:val="000000"/>
          <w:sz w:val="20"/>
          <w:szCs w:val="20"/>
        </w:rPr>
        <w:t>We are exposed to risk of loss in the event of nonperformance by our derivative instrument counterparties. Our derivative instrument counterparties principally comprise large energy companies and major U.S. and international financial institutions. We main</w:t>
      </w:r>
      <w:r>
        <w:rPr>
          <w:rFonts w:eastAsia="Times New Roman"/>
          <w:color w:val="000000"/>
          <w:sz w:val="20"/>
          <w:szCs w:val="20"/>
        </w:rPr>
        <w:t>tain credit policies with regard to our counterparties that we believe reduce overall credit risk. These policies include evaluating and monitoring our counterparties’ financial condition, including their credit ratings, and entering into agreements with c</w:t>
      </w:r>
      <w:r>
        <w:rPr>
          <w:rFonts w:eastAsia="Times New Roman"/>
          <w:color w:val="000000"/>
          <w:sz w:val="20"/>
          <w:szCs w:val="20"/>
        </w:rPr>
        <w:t xml:space="preserve">ounterparties that govern credit limits or entering into netting agreements that allow for offsetting counterparty receivable and payable balances for certain financial transactions, as deemed appropriate. </w:t>
      </w:r>
    </w:p>
    <w:p w:rsidR="00000000" w:rsidRDefault="00BE60E9">
      <w:pPr>
        <w:jc w:val="both"/>
        <w:divId w:val="283199759"/>
        <w:rPr>
          <w:rFonts w:eastAsia="Times New Roman"/>
        </w:rPr>
      </w:pPr>
      <w:r>
        <w:rPr>
          <w:rFonts w:eastAsia="Times New Roman"/>
          <w:color w:val="000000"/>
          <w:sz w:val="20"/>
          <w:szCs w:val="20"/>
        </w:rPr>
        <w:t xml:space="preserve">We have concentrations of credit risk associated </w:t>
      </w:r>
      <w:r>
        <w:rPr>
          <w:rFonts w:eastAsia="Times New Roman"/>
          <w:color w:val="000000"/>
          <w:sz w:val="20"/>
          <w:szCs w:val="20"/>
        </w:rPr>
        <w:t xml:space="preserve">with derivative instruments and we evaluate the creditworthiness of our derivative counterparties on an ongoing basis. As of June 30, 2022, the maximum amount of loss, based upon the gross fair values of the derivative instruments, we would incur if these </w:t>
      </w:r>
      <w:r>
        <w:rPr>
          <w:rFonts w:eastAsia="Times New Roman"/>
          <w:color w:val="000000"/>
          <w:sz w:val="20"/>
          <w:szCs w:val="20"/>
        </w:rPr>
        <w:t>counterparties failed to perform according to the terms of their contracts was $2,068 million. In general, many of our over-the-counter derivative instruments and all exchange contracts call for the posting of collateral by the counterparty or by the Compa</w:t>
      </w:r>
      <w:r>
        <w:rPr>
          <w:rFonts w:eastAsia="Times New Roman"/>
          <w:color w:val="000000"/>
          <w:sz w:val="20"/>
          <w:szCs w:val="20"/>
        </w:rPr>
        <w:t>ny in the forms of letters of credit, parental guarantees or cash. At June 30, 2022, we had received cash collateral from derivative instrument counterparties totaling $659 million. In addition, we may have offsetting derivative liabilities and certain acc</w:t>
      </w:r>
      <w:r>
        <w:rPr>
          <w:rFonts w:eastAsia="Times New Roman"/>
          <w:color w:val="000000"/>
          <w:sz w:val="20"/>
          <w:szCs w:val="20"/>
        </w:rPr>
        <w:t>ounts payable balances with certain of these counterparties, which further mitigates the previously mentioned maximum amount of losses. Certain of the Partnership’s derivative contracts have credit-risk-related contingent features that may require the post</w:t>
      </w:r>
      <w:r>
        <w:rPr>
          <w:rFonts w:eastAsia="Times New Roman"/>
          <w:color w:val="000000"/>
          <w:sz w:val="20"/>
          <w:szCs w:val="20"/>
        </w:rPr>
        <w:t>ing of additional collateral in the event of a downgrade of the Partnership’s debt rating. At June 30, 2022, if the credit-risk-related contingent features were triggered, the amount of collateral required to be posted would not be material.</w:t>
      </w:r>
    </w:p>
    <w:p w:rsidR="00000000" w:rsidRDefault="00BE60E9">
      <w:pPr>
        <w:jc w:val="both"/>
        <w:divId w:val="1436753219"/>
        <w:rPr>
          <w:rFonts w:eastAsia="Times New Roman"/>
        </w:rPr>
      </w:pPr>
      <w:r>
        <w:rPr>
          <w:rFonts w:eastAsia="Times New Roman"/>
          <w:color w:val="000000"/>
          <w:sz w:val="20"/>
          <w:szCs w:val="20"/>
        </w:rPr>
        <w:t xml:space="preserve">The following </w:t>
      </w:r>
      <w:r>
        <w:rPr>
          <w:rFonts w:eastAsia="Times New Roman"/>
          <w:color w:val="000000"/>
          <w:sz w:val="20"/>
          <w:szCs w:val="20"/>
        </w:rPr>
        <w:t>table summarizes the fair values of unsettled market risk sensitive derivative instrument assets (liabilities) held at June 30, 2022 and changes in their fair values due to market risks. Certain of UGI Utilities’ commodity derivative instruments are exclud</w:t>
      </w:r>
      <w:r>
        <w:rPr>
          <w:rFonts w:eastAsia="Times New Roman"/>
          <w:color w:val="000000"/>
          <w:sz w:val="20"/>
          <w:szCs w:val="20"/>
        </w:rPr>
        <w:t>ed from the table below because any associated net gains or losses are refundable to or recoverable from customers in accordance with UGI Utilities ratemaking.</w:t>
      </w:r>
    </w:p>
    <w:tbl>
      <w:tblPr>
        <w:tblW w:w="4985" w:type="pct"/>
        <w:tblCellMar>
          <w:top w:w="15" w:type="dxa"/>
          <w:left w:w="15" w:type="dxa"/>
          <w:bottom w:w="15" w:type="dxa"/>
          <w:right w:w="15" w:type="dxa"/>
        </w:tblCellMar>
        <w:tblLook w:val="04A0" w:firstRow="1" w:lastRow="0" w:firstColumn="1" w:lastColumn="0" w:noHBand="0" w:noVBand="1"/>
      </w:tblPr>
      <w:tblGrid>
        <w:gridCol w:w="38"/>
        <w:gridCol w:w="6083"/>
        <w:gridCol w:w="37"/>
        <w:gridCol w:w="36"/>
        <w:gridCol w:w="36"/>
        <w:gridCol w:w="36"/>
        <w:gridCol w:w="120"/>
        <w:gridCol w:w="796"/>
        <w:gridCol w:w="36"/>
        <w:gridCol w:w="36"/>
        <w:gridCol w:w="36"/>
        <w:gridCol w:w="36"/>
        <w:gridCol w:w="121"/>
        <w:gridCol w:w="798"/>
        <w:gridCol w:w="36"/>
      </w:tblGrid>
      <w:tr w:rsidR="00000000">
        <w:tc>
          <w:tcPr>
            <w:tcW w:w="50" w:type="pct"/>
            <w:vAlign w:val="center"/>
            <w:hideMark/>
          </w:tcPr>
          <w:p w:rsidR="00000000" w:rsidRDefault="00BE60E9">
            <w:pPr>
              <w:jc w:val="both"/>
              <w:rPr>
                <w:rFonts w:eastAsia="Times New Roman"/>
              </w:rPr>
            </w:pPr>
          </w:p>
        </w:tc>
        <w:tc>
          <w:tcPr>
            <w:tcW w:w="3698"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3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3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Asset (Liability)</w:t>
            </w:r>
          </w:p>
        </w:tc>
      </w:tr>
      <w:tr w:rsidR="00000000">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(Millions of dollars)</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Change in</w:t>
            </w:r>
            <w:r>
              <w:rPr>
                <w:rFonts w:eastAsia="Times New Roman"/>
                <w:color w:val="000000"/>
                <w:sz w:val="20"/>
                <w:szCs w:val="20"/>
              </w:rPr>
              <w:br/>
              <w:t>Fair Value</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b/>
                <w:bCs/>
                <w:color w:val="000000"/>
                <w:sz w:val="20"/>
                <w:szCs w:val="20"/>
              </w:rPr>
              <w:t>June 30, 2022</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Commodity price risk (1)</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1,597 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(315)</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Interest rate risk (2)</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BE60E9">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Foreign currency exchange rate risk (3)</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57 </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E60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E60E9">
            <w:pPr>
              <w:spacing w:after="100"/>
              <w:jc w:val="right"/>
              <w:rPr>
                <w:rFonts w:eastAsia="Times New Roman"/>
              </w:rPr>
            </w:pPr>
            <w:r>
              <w:rPr>
                <w:rFonts w:eastAsia="Times New Roman"/>
                <w:color w:val="000000"/>
                <w:sz w:val="20"/>
                <w:szCs w:val="20"/>
              </w:rPr>
              <w:t>(48)</w:t>
            </w:r>
          </w:p>
        </w:tc>
        <w:tc>
          <w:tcPr>
            <w:tcW w:w="0" w:type="auto"/>
            <w:shd w:val="clear" w:color="auto" w:fill="FFFFFF"/>
            <w:tcMar>
              <w:top w:w="30" w:type="dxa"/>
              <w:left w:w="0" w:type="dxa"/>
              <w:bottom w:w="30" w:type="dxa"/>
              <w:right w:w="20" w:type="dxa"/>
            </w:tcMar>
            <w:vAlign w:val="bottom"/>
            <w:hideMark/>
          </w:tcPr>
          <w:p w:rsidR="00000000" w:rsidRDefault="00BE60E9">
            <w:pPr>
              <w:spacing w:after="100"/>
              <w:jc w:val="right"/>
              <w:rPr>
                <w:rFonts w:eastAsia="Times New Roman"/>
              </w:rPr>
            </w:pPr>
          </w:p>
        </w:tc>
      </w:tr>
    </w:tbl>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(1) Change in fair value represents a 10% adverse change in the market prices of certain commodities</w:t>
      </w:r>
    </w:p>
    <w:p w:rsidR="00000000" w:rsidRDefault="00BE60E9">
      <w:pPr>
        <w:jc w:val="both"/>
        <w:rPr>
          <w:rFonts w:eastAsia="Times New Roman"/>
        </w:rPr>
      </w:pPr>
      <w:r>
        <w:rPr>
          <w:rFonts w:eastAsia="Times New Roman"/>
          <w:color w:val="000000"/>
          <w:sz w:val="20"/>
          <w:szCs w:val="20"/>
        </w:rPr>
        <w:t xml:space="preserve">(2) </w:t>
      </w:r>
      <w:r>
        <w:rPr>
          <w:rFonts w:eastAsia="Times New Roman"/>
          <w:color w:val="000000"/>
          <w:sz w:val="20"/>
          <w:szCs w:val="20"/>
        </w:rPr>
        <w:t>Change in fair value represents a 50 basis point adverse change in prevailing market interest rates</w:t>
      </w:r>
    </w:p>
    <w:p w:rsidR="00000000" w:rsidRDefault="00BE60E9">
      <w:pPr>
        <w:jc w:val="both"/>
        <w:rPr>
          <w:rFonts w:eastAsia="Times New Roman"/>
        </w:rPr>
      </w:pPr>
      <w:r>
        <w:rPr>
          <w:rFonts w:eastAsia="Times New Roman"/>
          <w:color w:val="000000"/>
          <w:sz w:val="20"/>
          <w:szCs w:val="20"/>
        </w:rPr>
        <w:t>(3) Change in fair value represents a 10% adverse change in the value of the Euro and the British pound sterling versus the U.S. dollar.</w:t>
      </w:r>
    </w:p>
    <w:p w:rsidR="00000000" w:rsidRDefault="00BE60E9">
      <w:pPr>
        <w:jc w:val="center"/>
        <w:divId w:val="18628178"/>
        <w:rPr>
          <w:rFonts w:eastAsia="Times New Roman"/>
        </w:rPr>
      </w:pPr>
      <w:r>
        <w:rPr>
          <w:rFonts w:eastAsia="Times New Roman"/>
          <w:color w:val="000000"/>
          <w:sz w:val="20"/>
          <w:szCs w:val="20"/>
        </w:rPr>
        <w:t>52</w:t>
      </w:r>
    </w:p>
    <w:p w:rsidR="00000000" w:rsidRDefault="00BE60E9">
      <w:pPr>
        <w:rPr>
          <w:rFonts w:eastAsia="Times New Roman"/>
        </w:rPr>
      </w:pPr>
      <w:r>
        <w:rPr>
          <w:rFonts w:eastAsia="Times New Roman"/>
        </w:rPr>
        <w:pict>
          <v:rect id="_x0000_i1078" style="width:0;height:1.5pt" o:hralign="center" o:hrstd="t" o:hr="t" fillcolor="#a0a0a0" stroked="f"/>
        </w:pict>
      </w:r>
    </w:p>
    <w:p w:rsidR="00000000" w:rsidRDefault="00BE60E9">
      <w:pPr>
        <w:divId w:val="1905486581"/>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1462646768"/>
        <w:rPr>
          <w:rFonts w:eastAsia="Times New Roman"/>
        </w:rPr>
      </w:pPr>
      <w:r>
        <w:rPr>
          <w:rFonts w:eastAsia="Times New Roman"/>
          <w:b/>
          <w:bCs/>
          <w:color w:val="000000"/>
          <w:sz w:val="20"/>
          <w:szCs w:val="20"/>
        </w:rPr>
        <w:t>UGI CORPORATION AND SUBSIDIARIES</w:t>
      </w:r>
    </w:p>
    <w:p w:rsidR="00000000" w:rsidRDefault="00BE60E9">
      <w:pPr>
        <w:divId w:val="224872726"/>
        <w:rPr>
          <w:rFonts w:eastAsia="Times New Roman"/>
        </w:rPr>
      </w:pPr>
      <w:r>
        <w:rPr>
          <w:rFonts w:eastAsia="Times New Roman"/>
          <w:b/>
          <w:bCs/>
          <w:color w:val="000000"/>
          <w:sz w:val="20"/>
          <w:szCs w:val="20"/>
        </w:rPr>
        <w:t>ITEM 4. CONTROLS AND PROCEDURES</w:t>
      </w:r>
    </w:p>
    <w:p w:rsidR="00000000" w:rsidRDefault="00BE60E9">
      <w:pPr>
        <w:divId w:val="2130082079"/>
        <w:rPr>
          <w:rFonts w:eastAsia="Times New Roman"/>
        </w:rPr>
      </w:pPr>
    </w:p>
    <w:p w:rsidR="00000000" w:rsidRDefault="00BE60E9">
      <w:pPr>
        <w:ind w:hanging="540"/>
        <w:divId w:val="1120537178"/>
        <w:rPr>
          <w:rFonts w:eastAsia="Times New Roman"/>
        </w:rPr>
      </w:pPr>
      <w:r>
        <w:rPr>
          <w:rFonts w:eastAsia="Times New Roman"/>
          <w:color w:val="000000"/>
          <w:sz w:val="20"/>
          <w:szCs w:val="20"/>
        </w:rPr>
        <w:t>(a)</w:t>
      </w:r>
      <w:r>
        <w:rPr>
          <w:rFonts w:eastAsia="Times New Roman"/>
          <w:color w:val="000000"/>
          <w:sz w:val="20"/>
          <w:szCs w:val="20"/>
        </w:rPr>
        <w:t>Evaluation of Disclosure Controls and Procedures</w:t>
      </w:r>
    </w:p>
    <w:p w:rsidR="00000000" w:rsidRDefault="00BE60E9">
      <w:pPr>
        <w:jc w:val="both"/>
        <w:divId w:val="823008443"/>
        <w:rPr>
          <w:rFonts w:eastAsia="Times New Roman"/>
        </w:rPr>
      </w:pPr>
      <w:r>
        <w:rPr>
          <w:rFonts w:eastAsia="Times New Roman"/>
          <w:color w:val="000000"/>
          <w:sz w:val="20"/>
          <w:szCs w:val="20"/>
        </w:rPr>
        <w:t>The Company's disclosure controls and procedures are designed to provide reasonable assurance that the information required to be disclosed by the Company in reports filed or submitted under the Securities E</w:t>
      </w:r>
      <w:r>
        <w:rPr>
          <w:rFonts w:eastAsia="Times New Roman"/>
          <w:color w:val="000000"/>
          <w:sz w:val="20"/>
          <w:szCs w:val="20"/>
        </w:rPr>
        <w:t>xchange Act of 1934, as amended, is (i) recorded, processed, summarized, and reported within the time periods specified in the SEC’s rules and forms, and (ii) accumulated and communicated to our management, including the Chief Executive Officer and Chief F</w:t>
      </w:r>
      <w:r>
        <w:rPr>
          <w:rFonts w:eastAsia="Times New Roman"/>
          <w:color w:val="000000"/>
          <w:sz w:val="20"/>
          <w:szCs w:val="20"/>
        </w:rPr>
        <w:t>inancial Officer, as appropriate to allow timely decisions regarding required disclosure. The Company's management, with the participation of the Company’s Chief Executive Officer and Chief Financial Officer, evaluated the effectiveness of the Company's di</w:t>
      </w:r>
      <w:r>
        <w:rPr>
          <w:rFonts w:eastAsia="Times New Roman"/>
          <w:color w:val="000000"/>
          <w:sz w:val="20"/>
          <w:szCs w:val="20"/>
        </w:rPr>
        <w:t>sclosure controls and procedures as of the end of the period covered by this report. Based on that evaluation, the Chief Executive Officer and Chief Financial Officer concluded that the Company's disclosure controls and procedures, as of the end of the per</w:t>
      </w:r>
      <w:r>
        <w:rPr>
          <w:rFonts w:eastAsia="Times New Roman"/>
          <w:color w:val="000000"/>
          <w:sz w:val="20"/>
          <w:szCs w:val="20"/>
        </w:rPr>
        <w:t>iod covered by this Report, were effective at the reasonable assurance level.</w:t>
      </w:r>
    </w:p>
    <w:p w:rsidR="00000000" w:rsidRDefault="00BE60E9">
      <w:pPr>
        <w:jc w:val="both"/>
        <w:divId w:val="1186015944"/>
        <w:rPr>
          <w:rFonts w:eastAsia="Times New Roman"/>
        </w:rPr>
      </w:pPr>
    </w:p>
    <w:p w:rsidR="00000000" w:rsidRDefault="00BE60E9">
      <w:pPr>
        <w:ind w:hanging="540"/>
        <w:divId w:val="1329941010"/>
        <w:rPr>
          <w:rFonts w:eastAsia="Times New Roman"/>
        </w:rPr>
      </w:pPr>
      <w:r>
        <w:rPr>
          <w:rFonts w:eastAsia="Times New Roman"/>
          <w:color w:val="000000"/>
          <w:sz w:val="20"/>
          <w:szCs w:val="20"/>
        </w:rPr>
        <w:t>(b)Change in Internal Control over Financial Reporting</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shd w:val="clear" w:color="auto" w:fill="FFFFFF"/>
        </w:rPr>
        <w:t>On September 1, 2021, UGI acquired Mountaineer. The Company is currently in the process of integrating the processes an</w:t>
      </w:r>
      <w:r>
        <w:rPr>
          <w:rFonts w:eastAsia="Times New Roman"/>
          <w:color w:val="000000"/>
          <w:sz w:val="20"/>
          <w:szCs w:val="20"/>
          <w:shd w:val="clear" w:color="auto" w:fill="FFFFFF"/>
        </w:rPr>
        <w:t>d internal controls of Mountaineer with the rest of the Company.</w:t>
      </w:r>
    </w:p>
    <w:p w:rsidR="00000000" w:rsidRDefault="00BE60E9">
      <w:pPr>
        <w:jc w:val="both"/>
        <w:rPr>
          <w:rFonts w:eastAsia="Times New Roman"/>
        </w:rPr>
      </w:pPr>
    </w:p>
    <w:p w:rsidR="00000000" w:rsidRDefault="00BE60E9">
      <w:pPr>
        <w:jc w:val="both"/>
        <w:rPr>
          <w:rFonts w:eastAsia="Times New Roman"/>
        </w:rPr>
      </w:pPr>
      <w:r>
        <w:rPr>
          <w:rFonts w:eastAsia="Times New Roman"/>
          <w:color w:val="000000"/>
          <w:sz w:val="20"/>
          <w:szCs w:val="20"/>
        </w:rPr>
        <w:t>Other than the foregoing, no change in the Company’s internal control over financial reporting occurred during the Company’s most recent fiscal quarter that has materially affected, or is r</w:t>
      </w:r>
      <w:r>
        <w:rPr>
          <w:rFonts w:eastAsia="Times New Roman"/>
          <w:color w:val="000000"/>
          <w:sz w:val="20"/>
          <w:szCs w:val="20"/>
        </w:rPr>
        <w:t>easonably likely to materially affect, the Company’s internal control over financial reporting.</w:t>
      </w:r>
    </w:p>
    <w:p w:rsidR="00000000" w:rsidRDefault="00BE60E9">
      <w:pPr>
        <w:jc w:val="both"/>
        <w:divId w:val="808471708"/>
        <w:rPr>
          <w:rFonts w:eastAsia="Times New Roman"/>
        </w:rPr>
      </w:pPr>
    </w:p>
    <w:p w:rsidR="00000000" w:rsidRDefault="00BE60E9">
      <w:pPr>
        <w:divId w:val="517234044"/>
        <w:rPr>
          <w:rFonts w:eastAsia="Times New Roman"/>
        </w:rPr>
      </w:pPr>
      <w:r>
        <w:rPr>
          <w:rFonts w:eastAsia="Times New Roman"/>
          <w:color w:val="000000"/>
          <w:sz w:val="16"/>
          <w:szCs w:val="16"/>
        </w:rPr>
        <w:t> </w:t>
      </w:r>
    </w:p>
    <w:p w:rsidR="00000000" w:rsidRDefault="00BE60E9">
      <w:pPr>
        <w:jc w:val="center"/>
        <w:divId w:val="2095200502"/>
        <w:rPr>
          <w:rFonts w:eastAsia="Times New Roman"/>
        </w:rPr>
      </w:pPr>
      <w:r>
        <w:rPr>
          <w:rFonts w:eastAsia="Times New Roman"/>
          <w:color w:val="000000"/>
          <w:sz w:val="20"/>
          <w:szCs w:val="20"/>
        </w:rPr>
        <w:t>53</w:t>
      </w:r>
    </w:p>
    <w:p w:rsidR="00000000" w:rsidRDefault="00BE60E9">
      <w:pPr>
        <w:rPr>
          <w:rFonts w:eastAsia="Times New Roman"/>
        </w:rPr>
      </w:pPr>
      <w:r>
        <w:rPr>
          <w:rFonts w:eastAsia="Times New Roman"/>
        </w:rPr>
        <w:pict>
          <v:rect id="_x0000_i1079" style="width:0;height:1.5pt" o:hralign="center" o:hrstd="t" o:hr="t" fillcolor="#a0a0a0" stroked="f"/>
        </w:pict>
      </w:r>
    </w:p>
    <w:p w:rsidR="00000000" w:rsidRDefault="00BE60E9">
      <w:pPr>
        <w:divId w:val="1294867346"/>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876743461"/>
        <w:rPr>
          <w:rFonts w:eastAsia="Times New Roman"/>
        </w:rPr>
      </w:pPr>
      <w:r>
        <w:rPr>
          <w:rFonts w:eastAsia="Times New Roman"/>
          <w:b/>
          <w:bCs/>
          <w:color w:val="000000"/>
          <w:sz w:val="20"/>
          <w:szCs w:val="20"/>
        </w:rPr>
        <w:t>UGI CORPORATION AND SUBSIDIARIES</w:t>
      </w:r>
    </w:p>
    <w:p w:rsidR="00000000" w:rsidRDefault="00BE60E9">
      <w:pPr>
        <w:jc w:val="center"/>
        <w:rPr>
          <w:rFonts w:eastAsia="Times New Roman"/>
        </w:rPr>
      </w:pPr>
      <w:r>
        <w:rPr>
          <w:rFonts w:eastAsia="Times New Roman"/>
          <w:b/>
          <w:bCs/>
          <w:color w:val="000000"/>
          <w:sz w:val="20"/>
          <w:szCs w:val="20"/>
        </w:rPr>
        <w:t>PART II</w:t>
      </w:r>
      <w:r>
        <w:rPr>
          <w:rFonts w:eastAsia="Times New Roman"/>
          <w:b/>
          <w:bCs/>
          <w:color w:val="000000"/>
          <w:sz w:val="20"/>
          <w:szCs w:val="20"/>
        </w:rPr>
        <w:t xml:space="preserve"> OTHER INFORMATION</w:t>
      </w:r>
    </w:p>
    <w:p w:rsidR="00000000" w:rsidRDefault="00BE60E9">
      <w:pPr>
        <w:jc w:val="center"/>
        <w:rPr>
          <w:rFonts w:eastAsia="Times New Roman"/>
        </w:rPr>
      </w:pPr>
    </w:p>
    <w:p w:rsidR="00000000" w:rsidRDefault="00BE60E9">
      <w:pPr>
        <w:divId w:val="388040252"/>
        <w:rPr>
          <w:rFonts w:eastAsia="Times New Roman"/>
        </w:rPr>
      </w:pPr>
      <w:r>
        <w:rPr>
          <w:rFonts w:eastAsia="Times New Roman"/>
          <w:b/>
          <w:bCs/>
          <w:color w:val="000000"/>
          <w:sz w:val="20"/>
          <w:szCs w:val="20"/>
        </w:rPr>
        <w:t>ITEM 1. LEGAL PROCEEDINGS</w:t>
      </w:r>
    </w:p>
    <w:p w:rsidR="00000000" w:rsidRDefault="00BE60E9">
      <w:pPr>
        <w:divId w:val="1101146920"/>
        <w:rPr>
          <w:rFonts w:eastAsia="Times New Roman"/>
        </w:rPr>
      </w:pPr>
    </w:p>
    <w:p w:rsidR="00000000" w:rsidRDefault="00BE60E9">
      <w:pPr>
        <w:divId w:val="756563901"/>
        <w:rPr>
          <w:rFonts w:eastAsia="Times New Roman"/>
        </w:rPr>
      </w:pPr>
      <w:r>
        <w:rPr>
          <w:rFonts w:eastAsia="Times New Roman"/>
          <w:color w:val="000000"/>
          <w:sz w:val="20"/>
          <w:szCs w:val="20"/>
        </w:rPr>
        <w:t>The information set forth in Note 9, Commitments and Contingencies to our Condensed Consolidated Financial Statements included in Item 1 of Part I of this report, is incorporated herein by reference.</w:t>
      </w:r>
    </w:p>
    <w:p w:rsidR="00000000" w:rsidRDefault="00BE60E9">
      <w:pPr>
        <w:jc w:val="both"/>
        <w:rPr>
          <w:rFonts w:eastAsia="Times New Roman"/>
        </w:rPr>
      </w:pPr>
    </w:p>
    <w:p w:rsidR="00000000" w:rsidRDefault="00BE60E9">
      <w:pPr>
        <w:divId w:val="1416440496"/>
        <w:rPr>
          <w:rFonts w:eastAsia="Times New Roman"/>
        </w:rPr>
      </w:pPr>
      <w:r>
        <w:rPr>
          <w:rFonts w:eastAsia="Times New Roman"/>
          <w:b/>
          <w:bCs/>
          <w:color w:val="000000"/>
          <w:sz w:val="20"/>
          <w:szCs w:val="20"/>
        </w:rPr>
        <w:t>ITEM 1A. RISK FACTORS</w:t>
      </w:r>
    </w:p>
    <w:p w:rsidR="00000000" w:rsidRDefault="00BE60E9">
      <w:pPr>
        <w:divId w:val="1110055000"/>
        <w:rPr>
          <w:rFonts w:eastAsia="Times New Roman"/>
        </w:rPr>
      </w:pPr>
    </w:p>
    <w:p w:rsidR="00000000" w:rsidRDefault="00BE60E9">
      <w:pPr>
        <w:jc w:val="both"/>
        <w:rPr>
          <w:rFonts w:eastAsia="Times New Roman"/>
        </w:rPr>
      </w:pPr>
      <w:r>
        <w:rPr>
          <w:rFonts w:eastAsia="Times New Roman"/>
          <w:color w:val="000000"/>
          <w:sz w:val="20"/>
          <w:szCs w:val="20"/>
        </w:rPr>
        <w:t>In addition to the information presented in this Report, you should carefully consider the factors discussed in Part I, “Item 1A. Risk Factors” in our 2021 Annual Report and the Quarterly Report on Form 10-Q for the fiscal quarter e</w:t>
      </w:r>
      <w:r>
        <w:rPr>
          <w:rFonts w:eastAsia="Times New Roman"/>
          <w:color w:val="000000"/>
          <w:sz w:val="20"/>
          <w:szCs w:val="20"/>
        </w:rPr>
        <w:t>nded March 31, 2022, which could materially affect our business, financial condition or future results. The risks described in our 2021 Annual Report or the Quarterly Report on Form 10-Q for the fiscal quarter ended March 31, 2022, are not the only risks f</w:t>
      </w:r>
      <w:r>
        <w:rPr>
          <w:rFonts w:eastAsia="Times New Roman"/>
          <w:color w:val="000000"/>
          <w:sz w:val="20"/>
          <w:szCs w:val="20"/>
        </w:rPr>
        <w:t>acing the Company. Other unknown or unpredictable factors could also have material adverse effects on future results.</w:t>
      </w:r>
    </w:p>
    <w:p w:rsidR="00000000" w:rsidRDefault="00BE60E9">
      <w:pPr>
        <w:jc w:val="both"/>
        <w:rPr>
          <w:rFonts w:eastAsia="Times New Roman"/>
        </w:rPr>
      </w:pPr>
    </w:p>
    <w:p w:rsidR="00000000" w:rsidRDefault="00BE60E9">
      <w:pPr>
        <w:divId w:val="1730230737"/>
        <w:rPr>
          <w:rFonts w:eastAsia="Times New Roman"/>
        </w:rPr>
      </w:pPr>
    </w:p>
    <w:p w:rsidR="00000000" w:rsidRDefault="00BE60E9">
      <w:pPr>
        <w:divId w:val="656953806"/>
        <w:rPr>
          <w:rFonts w:eastAsia="Times New Roman"/>
        </w:rPr>
      </w:pPr>
      <w:r>
        <w:rPr>
          <w:rFonts w:eastAsia="Times New Roman"/>
          <w:b/>
          <w:bCs/>
          <w:color w:val="000000"/>
          <w:sz w:val="20"/>
          <w:szCs w:val="20"/>
        </w:rPr>
        <w:t>ITEM 2. UNREGISTERED SALES OF EQUITY SECURITIES AND USE OF PROCEEDS</w:t>
      </w:r>
      <w:r>
        <w:rPr>
          <w:rFonts w:eastAsia="Times New Roman"/>
          <w:color w:val="000000"/>
          <w:sz w:val="20"/>
          <w:szCs w:val="20"/>
        </w:rPr>
        <w:t xml:space="preserve"> </w:t>
      </w:r>
    </w:p>
    <w:p w:rsidR="00000000" w:rsidRDefault="00BE60E9">
      <w:pPr>
        <w:divId w:val="1708867766"/>
        <w:rPr>
          <w:rFonts w:eastAsia="Times New Roman"/>
        </w:rPr>
      </w:pPr>
    </w:p>
    <w:p w:rsidR="00000000" w:rsidRDefault="00BE60E9">
      <w:pPr>
        <w:divId w:val="602349016"/>
        <w:rPr>
          <w:rFonts w:eastAsia="Times New Roman"/>
        </w:rPr>
      </w:pPr>
      <w:r>
        <w:rPr>
          <w:rFonts w:eastAsia="Times New Roman"/>
          <w:color w:val="000000"/>
          <w:sz w:val="20"/>
          <w:szCs w:val="20"/>
        </w:rPr>
        <w:t xml:space="preserve">The following table sets forth information with respect to the </w:t>
      </w:r>
      <w:r>
        <w:rPr>
          <w:rFonts w:eastAsia="Times New Roman"/>
          <w:color w:val="000000"/>
          <w:sz w:val="20"/>
          <w:szCs w:val="20"/>
        </w:rPr>
        <w:t>Company’s repurchases of its common stock during the quarter ended June 30, 2022.</w:t>
      </w:r>
    </w:p>
    <w:p w:rsidR="00000000" w:rsidRDefault="00BE60E9">
      <w:pPr>
        <w:divId w:val="185322706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7"/>
        <w:gridCol w:w="2069"/>
        <w:gridCol w:w="36"/>
        <w:gridCol w:w="36"/>
        <w:gridCol w:w="42"/>
        <w:gridCol w:w="36"/>
        <w:gridCol w:w="59"/>
        <w:gridCol w:w="1107"/>
        <w:gridCol w:w="36"/>
        <w:gridCol w:w="36"/>
        <w:gridCol w:w="42"/>
        <w:gridCol w:w="36"/>
        <w:gridCol w:w="57"/>
        <w:gridCol w:w="1109"/>
        <w:gridCol w:w="36"/>
        <w:gridCol w:w="36"/>
        <w:gridCol w:w="42"/>
        <w:gridCol w:w="36"/>
        <w:gridCol w:w="57"/>
        <w:gridCol w:w="1548"/>
        <w:gridCol w:w="36"/>
        <w:gridCol w:w="36"/>
        <w:gridCol w:w="43"/>
        <w:gridCol w:w="36"/>
        <w:gridCol w:w="58"/>
        <w:gridCol w:w="1548"/>
        <w:gridCol w:w="36"/>
      </w:tblGrid>
      <w:tr w:rsidR="00000000">
        <w:trPr>
          <w:divId w:val="1946493718"/>
        </w:trPr>
        <w:tc>
          <w:tcPr>
            <w:tcW w:w="50" w:type="pct"/>
            <w:vAlign w:val="center"/>
            <w:hideMark/>
          </w:tcPr>
          <w:p w:rsidR="00000000" w:rsidRDefault="00BE60E9">
            <w:pPr>
              <w:rPr>
                <w:rFonts w:eastAsia="Times New Roman"/>
              </w:rPr>
            </w:pPr>
          </w:p>
        </w:tc>
        <w:tc>
          <w:tcPr>
            <w:tcW w:w="1260"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4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683"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4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683"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4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94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4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94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rPr>
          <w:divId w:val="1946493718"/>
        </w:trPr>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Period</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 xml:space="preserve">(a) Total Number of Shares Purchased </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(b) Average Price Paid per Share</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(c) Total Number of</w:t>
            </w:r>
            <w:r>
              <w:rPr>
                <w:rFonts w:eastAsia="Times New Roman"/>
                <w:color w:val="000000"/>
                <w:sz w:val="20"/>
                <w:szCs w:val="20"/>
              </w:rPr>
              <w:br/>
              <w:t>Shares</w:t>
            </w:r>
            <w:r>
              <w:rPr>
                <w:rFonts w:eastAsia="Times New Roman"/>
                <w:color w:val="000000"/>
                <w:sz w:val="20"/>
                <w:szCs w:val="20"/>
              </w:rPr>
              <w:br/>
            </w:r>
            <w:r>
              <w:rPr>
                <w:rFonts w:eastAsia="Times New Roman"/>
                <w:color w:val="000000"/>
                <w:sz w:val="20"/>
                <w:szCs w:val="20"/>
              </w:rPr>
              <w:t>Purchased as Part of</w:t>
            </w:r>
            <w:r>
              <w:rPr>
                <w:rFonts w:eastAsia="Times New Roman"/>
                <w:color w:val="000000"/>
                <w:sz w:val="20"/>
                <w:szCs w:val="20"/>
              </w:rPr>
              <w:br/>
              <w:t>Publicly Announced Plans</w:t>
            </w:r>
            <w:r>
              <w:rPr>
                <w:rFonts w:eastAsia="Times New Roman"/>
                <w:color w:val="000000"/>
                <w:sz w:val="20"/>
                <w:szCs w:val="20"/>
              </w:rPr>
              <w:br/>
              <w:t>or Programs (1)</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(d) Maximum Number (or</w:t>
            </w:r>
            <w:r>
              <w:rPr>
                <w:rFonts w:eastAsia="Times New Roman"/>
                <w:color w:val="000000"/>
                <w:sz w:val="20"/>
                <w:szCs w:val="20"/>
              </w:rPr>
              <w:br/>
              <w:t>Approximate Dollar Value) of</w:t>
            </w:r>
            <w:r>
              <w:rPr>
                <w:rFonts w:eastAsia="Times New Roman"/>
                <w:color w:val="000000"/>
                <w:sz w:val="20"/>
                <w:szCs w:val="20"/>
              </w:rPr>
              <w:br/>
              <w:t>Shares that May Yet</w:t>
            </w:r>
            <w:r>
              <w:rPr>
                <w:rFonts w:eastAsia="Times New Roman"/>
                <w:color w:val="000000"/>
                <w:sz w:val="20"/>
                <w:szCs w:val="20"/>
              </w:rPr>
              <w:br/>
              <w:t>Be Purchased Under the Plans or</w:t>
            </w:r>
            <w:r>
              <w:rPr>
                <w:rFonts w:eastAsia="Times New Roman"/>
                <w:color w:val="000000"/>
                <w:sz w:val="20"/>
                <w:szCs w:val="20"/>
              </w:rPr>
              <w:br/>
              <w:t>Programs (1)</w:t>
            </w:r>
          </w:p>
        </w:tc>
      </w:tr>
      <w:tr w:rsidR="00000000">
        <w:trPr>
          <w:divId w:val="194649371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April 1, 2022 to April 30, 2022</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$0.00</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8.00 million</w:t>
            </w:r>
          </w:p>
        </w:tc>
      </w:tr>
      <w:tr w:rsidR="00000000">
        <w:trPr>
          <w:divId w:val="1946493718"/>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May 1, 2022 to May 31, 2022</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350,000</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$41.39</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350,000</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7.65 million</w:t>
            </w:r>
          </w:p>
        </w:tc>
      </w:tr>
      <w:tr w:rsidR="00000000">
        <w:trPr>
          <w:divId w:val="1946493718"/>
        </w:trPr>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June 1, 2022 to June 30, 2022</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550,000</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$43.27</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550,000</w:t>
            </w:r>
          </w:p>
        </w:tc>
        <w:tc>
          <w:tcPr>
            <w:tcW w:w="0" w:type="auto"/>
            <w:gridSpan w:val="3"/>
            <w:shd w:val="clear" w:color="auto" w:fill="CCEEFF"/>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7.10 million</w:t>
            </w:r>
          </w:p>
        </w:tc>
      </w:tr>
      <w:tr w:rsidR="00000000">
        <w:trPr>
          <w:divId w:val="1946493718"/>
        </w:trPr>
        <w:tc>
          <w:tcPr>
            <w:tcW w:w="0" w:type="auto"/>
            <w:gridSpan w:val="3"/>
            <w:shd w:val="clear" w:color="auto" w:fill="FFFFFF"/>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xml:space="preserve">Total </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900,000</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color w:val="000000"/>
                <w:sz w:val="20"/>
                <w:szCs w:val="20"/>
              </w:rPr>
              <w:t>900,000</w:t>
            </w: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E60E9">
            <w:pPr>
              <w:spacing w:after="100"/>
              <w:rPr>
                <w:rFonts w:eastAsia="Times New Roman"/>
                <w:sz w:val="20"/>
                <w:szCs w:val="20"/>
              </w:rPr>
            </w:pPr>
          </w:p>
        </w:tc>
      </w:tr>
    </w:tbl>
    <w:p w:rsidR="00000000" w:rsidRDefault="00BE60E9">
      <w:pPr>
        <w:divId w:val="53244189"/>
        <w:rPr>
          <w:rFonts w:eastAsia="Times New Roman"/>
        </w:rPr>
      </w:pPr>
    </w:p>
    <w:p w:rsidR="00000000" w:rsidRDefault="00BE60E9">
      <w:pPr>
        <w:jc w:val="both"/>
        <w:rPr>
          <w:rFonts w:eastAsia="Times New Roman"/>
        </w:rPr>
      </w:pPr>
      <w:r>
        <w:rPr>
          <w:rFonts w:eastAsia="Times New Roman"/>
          <w:color w:val="000000"/>
          <w:sz w:val="20"/>
          <w:szCs w:val="20"/>
        </w:rPr>
        <w:t>(1) Shares of UGI Common Stock are repurchased through an extension of a previous share repurchase program announced by the Company on February 2, 2022. The UGI Board of Directors authorized the repurchase of up to 8 million shares of UGI Common Stock over</w:t>
      </w:r>
      <w:r>
        <w:rPr>
          <w:rFonts w:eastAsia="Times New Roman"/>
          <w:color w:val="000000"/>
          <w:sz w:val="20"/>
          <w:szCs w:val="20"/>
        </w:rPr>
        <w:t xml:space="preserve"> a four-year period expiring in February 2026.</w:t>
      </w:r>
    </w:p>
    <w:p w:rsidR="00000000" w:rsidRDefault="00BE60E9">
      <w:pPr>
        <w:jc w:val="center"/>
        <w:divId w:val="316425620"/>
        <w:rPr>
          <w:rFonts w:eastAsia="Times New Roman"/>
        </w:rPr>
      </w:pPr>
      <w:r>
        <w:rPr>
          <w:rFonts w:eastAsia="Times New Roman"/>
          <w:color w:val="000000"/>
          <w:sz w:val="20"/>
          <w:szCs w:val="20"/>
        </w:rPr>
        <w:t>54</w:t>
      </w:r>
    </w:p>
    <w:p w:rsidR="00000000" w:rsidRDefault="00BE60E9">
      <w:pPr>
        <w:rPr>
          <w:rFonts w:eastAsia="Times New Roman"/>
        </w:rPr>
      </w:pPr>
      <w:r>
        <w:rPr>
          <w:rFonts w:eastAsia="Times New Roman"/>
        </w:rPr>
        <w:pict>
          <v:rect id="_x0000_i1080" style="width:0;height:1.5pt" o:hralign="center" o:hrstd="t" o:hr="t" fillcolor="#a0a0a0" stroked="f"/>
        </w:pict>
      </w:r>
    </w:p>
    <w:p w:rsidR="00000000" w:rsidRDefault="00BE60E9">
      <w:pPr>
        <w:divId w:val="2105414787"/>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38478664"/>
        <w:rPr>
          <w:rFonts w:eastAsia="Times New Roman"/>
        </w:rPr>
      </w:pPr>
      <w:r>
        <w:rPr>
          <w:rFonts w:eastAsia="Times New Roman"/>
          <w:b/>
          <w:bCs/>
          <w:color w:val="000000"/>
          <w:sz w:val="20"/>
          <w:szCs w:val="20"/>
        </w:rPr>
        <w:t>UGI CORPORATION AND SUBSIDIARIES</w:t>
      </w:r>
    </w:p>
    <w:p w:rsidR="00000000" w:rsidRDefault="00BE60E9">
      <w:pPr>
        <w:divId w:val="635837816"/>
        <w:rPr>
          <w:rFonts w:eastAsia="Times New Roman"/>
        </w:rPr>
      </w:pPr>
      <w:r>
        <w:rPr>
          <w:rFonts w:eastAsia="Times New Roman"/>
          <w:b/>
          <w:bCs/>
          <w:color w:val="000000"/>
          <w:sz w:val="20"/>
          <w:szCs w:val="20"/>
        </w:rPr>
        <w:t>ITEM 6. EXHIBITS</w:t>
      </w:r>
    </w:p>
    <w:p w:rsidR="00000000" w:rsidRDefault="00BE60E9">
      <w:pPr>
        <w:jc w:val="both"/>
        <w:divId w:val="270094435"/>
        <w:rPr>
          <w:rFonts w:eastAsia="Times New Roman"/>
        </w:rPr>
      </w:pPr>
      <w:r>
        <w:rPr>
          <w:rFonts w:eastAsia="Times New Roman"/>
          <w:color w:val="000000"/>
          <w:sz w:val="20"/>
          <w:szCs w:val="20"/>
        </w:rPr>
        <w:t>The exhibits filed as part of this report are as follows (exhibits incorporated by reference are set forth with the name of the registrant, the type of report and last date of the period for which it was filed, and the exhibit number in such filing):</w:t>
      </w:r>
    </w:p>
    <w:p w:rsidR="00000000" w:rsidRDefault="00BE60E9">
      <w:pPr>
        <w:jc w:val="center"/>
        <w:divId w:val="324743970"/>
        <w:rPr>
          <w:rFonts w:eastAsia="Times New Roman"/>
        </w:rPr>
      </w:pPr>
      <w:r>
        <w:rPr>
          <w:rFonts w:eastAsia="Times New Roman"/>
          <w:b/>
          <w:bCs/>
          <w:color w:val="000000"/>
          <w:sz w:val="20"/>
          <w:szCs w:val="20"/>
        </w:rPr>
        <w:t>Incor</w:t>
      </w:r>
      <w:r>
        <w:rPr>
          <w:rFonts w:eastAsia="Times New Roman"/>
          <w:b/>
          <w:bCs/>
          <w:color w:val="000000"/>
          <w:sz w:val="20"/>
          <w:szCs w:val="20"/>
        </w:rPr>
        <w:t>poration by Reference</w:t>
      </w:r>
    </w:p>
    <w:tbl>
      <w:tblPr>
        <w:tblW w:w="4978" w:type="pct"/>
        <w:tblCellMar>
          <w:top w:w="15" w:type="dxa"/>
          <w:left w:w="15" w:type="dxa"/>
          <w:bottom w:w="15" w:type="dxa"/>
          <w:right w:w="15" w:type="dxa"/>
        </w:tblCellMar>
        <w:tblLook w:val="04A0" w:firstRow="1" w:lastRow="0" w:firstColumn="1" w:lastColumn="0" w:noHBand="0" w:noVBand="1"/>
      </w:tblPr>
      <w:tblGrid>
        <w:gridCol w:w="89"/>
        <w:gridCol w:w="683"/>
        <w:gridCol w:w="36"/>
        <w:gridCol w:w="36"/>
        <w:gridCol w:w="36"/>
        <w:gridCol w:w="36"/>
        <w:gridCol w:w="40"/>
        <w:gridCol w:w="4740"/>
        <w:gridCol w:w="38"/>
        <w:gridCol w:w="36"/>
        <w:gridCol w:w="36"/>
        <w:gridCol w:w="36"/>
        <w:gridCol w:w="80"/>
        <w:gridCol w:w="673"/>
        <w:gridCol w:w="36"/>
        <w:gridCol w:w="36"/>
        <w:gridCol w:w="36"/>
        <w:gridCol w:w="36"/>
        <w:gridCol w:w="64"/>
        <w:gridCol w:w="746"/>
        <w:gridCol w:w="36"/>
        <w:gridCol w:w="36"/>
        <w:gridCol w:w="36"/>
        <w:gridCol w:w="36"/>
        <w:gridCol w:w="80"/>
        <w:gridCol w:w="460"/>
        <w:gridCol w:w="36"/>
      </w:tblGrid>
      <w:tr w:rsidR="00000000">
        <w:trPr>
          <w:divId w:val="856504779"/>
        </w:trPr>
        <w:tc>
          <w:tcPr>
            <w:tcW w:w="50" w:type="pct"/>
            <w:vAlign w:val="center"/>
            <w:hideMark/>
          </w:tcPr>
          <w:p w:rsidR="00000000" w:rsidRDefault="00BE60E9">
            <w:pPr>
              <w:jc w:val="center"/>
              <w:rPr>
                <w:rFonts w:eastAsia="Times New Roman"/>
              </w:rPr>
            </w:pPr>
          </w:p>
        </w:tc>
        <w:tc>
          <w:tcPr>
            <w:tcW w:w="38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2918"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2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561"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290"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rPr>
          <w:divId w:val="856504779"/>
        </w:trPr>
        <w:tc>
          <w:tcPr>
            <w:tcW w:w="0" w:type="auto"/>
            <w:gridSpan w:val="3"/>
            <w:tcMar>
              <w:top w:w="30" w:type="dxa"/>
              <w:left w:w="20" w:type="dxa"/>
              <w:bottom w:w="30" w:type="dxa"/>
              <w:right w:w="20" w:type="dxa"/>
            </w:tcMar>
            <w:vAlign w:val="bottom"/>
            <w:hideMark/>
          </w:tcPr>
          <w:p w:rsidR="00000000" w:rsidRDefault="00BE60E9">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No.</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E60E9">
            <w:pPr>
              <w:spacing w:after="100"/>
              <w:jc w:val="center"/>
              <w:rPr>
                <w:rFonts w:eastAsia="Times New Roman"/>
              </w:rPr>
            </w:pPr>
            <w:r>
              <w:rPr>
                <w:rFonts w:eastAsia="Times New Roman"/>
                <w:b/>
                <w:bCs/>
                <w:color w:val="000000"/>
                <w:sz w:val="16"/>
                <w:szCs w:val="16"/>
              </w:rPr>
              <w:t>Exhibit</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E60E9">
            <w:pPr>
              <w:spacing w:after="100"/>
              <w:jc w:val="center"/>
              <w:rPr>
                <w:rFonts w:eastAsia="Times New Roman"/>
              </w:rPr>
            </w:pPr>
            <w:r>
              <w:rPr>
                <w:rFonts w:eastAsia="Times New Roman"/>
                <w:b/>
                <w:bCs/>
                <w:color w:val="000000"/>
                <w:sz w:val="16"/>
                <w:szCs w:val="16"/>
              </w:rPr>
              <w:t>Registrant</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E60E9">
            <w:pPr>
              <w:spacing w:after="100"/>
              <w:jc w:val="center"/>
              <w:rPr>
                <w:rFonts w:eastAsia="Times New Roman"/>
              </w:rPr>
            </w:pPr>
            <w:r>
              <w:rPr>
                <w:rFonts w:eastAsia="Times New Roman"/>
                <w:b/>
                <w:bCs/>
                <w:color w:val="000000"/>
                <w:sz w:val="16"/>
                <w:szCs w:val="16"/>
              </w:rPr>
              <w:t>Filing</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E60E9">
            <w:pPr>
              <w:spacing w:after="100"/>
              <w:jc w:val="center"/>
              <w:rPr>
                <w:rFonts w:eastAsia="Times New Roman"/>
              </w:rPr>
            </w:pPr>
            <w:r>
              <w:rPr>
                <w:rFonts w:eastAsia="Times New Roman"/>
                <w:b/>
                <w:bCs/>
                <w:color w:val="000000"/>
                <w:sz w:val="16"/>
                <w:szCs w:val="16"/>
              </w:rPr>
              <w:t>Exhibit</w:t>
            </w:r>
          </w:p>
        </w:tc>
      </w:tr>
      <w:tr w:rsidR="00000000">
        <w:trPr>
          <w:divId w:val="856504779"/>
          <w:trHeight w:val="100"/>
        </w:trPr>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856504779"/>
        </w:trPr>
        <w:tc>
          <w:tcPr>
            <w:tcW w:w="0" w:type="auto"/>
            <w:gridSpan w:val="3"/>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4.1</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hideMark/>
          </w:tcPr>
          <w:p w:rsidR="00000000" w:rsidRDefault="00BE60E9">
            <w:pPr>
              <w:spacing w:after="100"/>
              <w:divId w:val="1178615123"/>
              <w:rPr>
                <w:rFonts w:eastAsia="Times New Roman"/>
              </w:rPr>
            </w:pPr>
            <w:hyperlink r:id="rId4" w:history="1">
              <w:r>
                <w:rPr>
                  <w:rStyle w:val="a3"/>
                  <w:rFonts w:eastAsia="Times New Roman"/>
                  <w:sz w:val="20"/>
                  <w:szCs w:val="20"/>
                </w:rPr>
                <w:t>Note Purchase Agreement, dated June 30, 2022, by and among UGI Utilities, Inc. and the purchasers listed as signatories thereto.</w:t>
              </w:r>
            </w:hyperlink>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hideMark/>
          </w:tcPr>
          <w:p w:rsidR="00000000" w:rsidRDefault="00BE60E9">
            <w:pPr>
              <w:spacing w:after="100"/>
              <w:jc w:val="center"/>
              <w:rPr>
                <w:rFonts w:eastAsia="Times New Roman"/>
              </w:rPr>
            </w:pPr>
            <w:r>
              <w:rPr>
                <w:rFonts w:eastAsia="Times New Roman"/>
                <w:color w:val="000000"/>
                <w:sz w:val="20"/>
                <w:szCs w:val="20"/>
              </w:rPr>
              <w:t>UGI</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E60E9">
            <w:pPr>
              <w:spacing w:after="100"/>
              <w:jc w:val="center"/>
              <w:rPr>
                <w:rFonts w:eastAsia="Times New Roman"/>
              </w:rPr>
            </w:pPr>
            <w:r>
              <w:rPr>
                <w:rFonts w:eastAsia="Times New Roman"/>
                <w:color w:val="000000"/>
                <w:sz w:val="20"/>
                <w:szCs w:val="20"/>
              </w:rPr>
              <w:t>Form 8-K (6/30/22)</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E60E9">
            <w:pPr>
              <w:spacing w:after="100"/>
              <w:jc w:val="center"/>
              <w:rPr>
                <w:rFonts w:eastAsia="Times New Roman"/>
              </w:rPr>
            </w:pPr>
            <w:r>
              <w:rPr>
                <w:rFonts w:eastAsia="Times New Roman"/>
                <w:color w:val="000000"/>
                <w:sz w:val="20"/>
                <w:szCs w:val="20"/>
              </w:rPr>
              <w:t>4.1</w:t>
            </w:r>
          </w:p>
        </w:tc>
      </w:tr>
      <w:tr w:rsidR="00000000">
        <w:trPr>
          <w:divId w:val="856504779"/>
          <w:trHeight w:val="60"/>
        </w:trPr>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856504779"/>
        </w:trPr>
        <w:tc>
          <w:tcPr>
            <w:tcW w:w="0" w:type="auto"/>
            <w:gridSpan w:val="3"/>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4.2</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hideMark/>
          </w:tcPr>
          <w:p w:rsidR="00000000" w:rsidRDefault="00BE60E9">
            <w:pPr>
              <w:spacing w:after="100"/>
              <w:divId w:val="868226890"/>
              <w:rPr>
                <w:rFonts w:eastAsia="Times New Roman"/>
              </w:rPr>
            </w:pPr>
            <w:hyperlink r:id="rId5" w:history="1">
              <w:r>
                <w:rPr>
                  <w:rStyle w:val="a3"/>
                  <w:rFonts w:eastAsia="Times New Roman"/>
                  <w:sz w:val="20"/>
                  <w:szCs w:val="20"/>
                </w:rPr>
                <w:t>Note Purchase Agreement, dated June 30, 2022, by and among Mountaineer Gas Company and the purchasers listed as signatories thereto.</w:t>
              </w:r>
            </w:hyperlink>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hideMark/>
          </w:tcPr>
          <w:p w:rsidR="00000000" w:rsidRDefault="00BE60E9">
            <w:pPr>
              <w:spacing w:after="100"/>
              <w:jc w:val="center"/>
              <w:rPr>
                <w:rFonts w:eastAsia="Times New Roman"/>
              </w:rPr>
            </w:pPr>
            <w:r>
              <w:rPr>
                <w:rFonts w:eastAsia="Times New Roman"/>
                <w:color w:val="000000"/>
                <w:sz w:val="20"/>
                <w:szCs w:val="20"/>
              </w:rPr>
              <w:t>UGI</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E60E9">
            <w:pPr>
              <w:spacing w:after="100"/>
              <w:jc w:val="center"/>
              <w:rPr>
                <w:rFonts w:eastAsia="Times New Roman"/>
              </w:rPr>
            </w:pPr>
            <w:r>
              <w:rPr>
                <w:rFonts w:eastAsia="Times New Roman"/>
                <w:color w:val="000000"/>
                <w:sz w:val="20"/>
                <w:szCs w:val="20"/>
              </w:rPr>
              <w:t>Form</w:t>
            </w:r>
            <w:r>
              <w:rPr>
                <w:rFonts w:eastAsia="Times New Roman"/>
                <w:color w:val="000000"/>
                <w:sz w:val="20"/>
                <w:szCs w:val="20"/>
              </w:rPr>
              <w:t xml:space="preserve"> 8-K (6/30/22)</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E60E9">
            <w:pPr>
              <w:spacing w:after="100"/>
              <w:jc w:val="center"/>
              <w:rPr>
                <w:rFonts w:eastAsia="Times New Roman"/>
              </w:rPr>
            </w:pPr>
            <w:r>
              <w:rPr>
                <w:rFonts w:eastAsia="Times New Roman"/>
                <w:color w:val="000000"/>
                <w:sz w:val="20"/>
                <w:szCs w:val="20"/>
              </w:rPr>
              <w:t>4.2</w:t>
            </w:r>
          </w:p>
        </w:tc>
      </w:tr>
      <w:tr w:rsidR="00000000">
        <w:trPr>
          <w:divId w:val="856504779"/>
          <w:trHeight w:val="60"/>
        </w:trPr>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856504779"/>
        </w:trPr>
        <w:tc>
          <w:tcPr>
            <w:tcW w:w="0" w:type="auto"/>
            <w:gridSpan w:val="3"/>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hideMark/>
          </w:tcPr>
          <w:p w:rsidR="00000000" w:rsidRDefault="00BE60E9">
            <w:pPr>
              <w:spacing w:after="100"/>
              <w:divId w:val="259922169"/>
              <w:rPr>
                <w:rFonts w:eastAsia="Times New Roman"/>
              </w:rPr>
            </w:pPr>
            <w:hyperlink r:id="rId6" w:history="1">
              <w:r>
                <w:rPr>
                  <w:rStyle w:val="a3"/>
                  <w:rFonts w:eastAsia="Times New Roman"/>
                  <w:sz w:val="20"/>
                  <w:szCs w:val="20"/>
                </w:rPr>
                <w:t>First Amendment to Credit Agreement, dated July 12, 2022, by and among UGI Utilities, Inc., the lenders party thereto and PNC Bank, National Association, as administrative agent.</w:t>
              </w:r>
            </w:hyperlink>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hideMark/>
          </w:tcPr>
          <w:p w:rsidR="00000000" w:rsidRDefault="00BE60E9">
            <w:pPr>
              <w:spacing w:after="100"/>
              <w:jc w:val="center"/>
              <w:rPr>
                <w:rFonts w:eastAsia="Times New Roman"/>
              </w:rPr>
            </w:pPr>
            <w:r>
              <w:rPr>
                <w:rFonts w:eastAsia="Times New Roman"/>
                <w:color w:val="000000"/>
                <w:sz w:val="20"/>
                <w:szCs w:val="20"/>
              </w:rPr>
              <w:t>UGI</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E60E9">
            <w:pPr>
              <w:spacing w:after="100"/>
              <w:jc w:val="center"/>
              <w:rPr>
                <w:rFonts w:eastAsia="Times New Roman"/>
              </w:rPr>
            </w:pPr>
            <w:r>
              <w:rPr>
                <w:rFonts w:eastAsia="Times New Roman"/>
                <w:color w:val="000000"/>
                <w:sz w:val="20"/>
                <w:szCs w:val="20"/>
              </w:rPr>
              <w:t>Form 8-K (7/12/22)</w:t>
            </w:r>
          </w:p>
        </w:tc>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E60E9">
            <w:pPr>
              <w:spacing w:after="100"/>
              <w:jc w:val="center"/>
              <w:rPr>
                <w:rFonts w:eastAsia="Times New Roman"/>
              </w:rPr>
            </w:pPr>
            <w:r>
              <w:rPr>
                <w:rFonts w:eastAsia="Times New Roman"/>
                <w:color w:val="000000"/>
                <w:sz w:val="20"/>
                <w:szCs w:val="20"/>
              </w:rPr>
              <w:t>10.1</w:t>
            </w:r>
          </w:p>
        </w:tc>
      </w:tr>
      <w:tr w:rsidR="00000000">
        <w:trPr>
          <w:divId w:val="856504779"/>
          <w:trHeight w:val="60"/>
        </w:trPr>
        <w:tc>
          <w:tcPr>
            <w:tcW w:w="0" w:type="auto"/>
            <w:gridSpan w:val="3"/>
            <w:tcMar>
              <w:top w:w="0" w:type="dxa"/>
              <w:left w:w="20" w:type="dxa"/>
              <w:bottom w:w="0" w:type="dxa"/>
              <w:right w:w="20" w:type="dxa"/>
            </w:tcMar>
            <w:vAlign w:val="center"/>
            <w:hideMark/>
          </w:tcPr>
          <w:p w:rsidR="00000000" w:rsidRDefault="00BE60E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856504779"/>
        </w:trPr>
        <w:tc>
          <w:tcPr>
            <w:tcW w:w="0" w:type="auto"/>
            <w:gridSpan w:val="3"/>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hideMark/>
          </w:tcPr>
          <w:p w:rsidR="00000000" w:rsidRDefault="00BE60E9">
            <w:pPr>
              <w:spacing w:after="100"/>
              <w:divId w:val="183635392"/>
              <w:rPr>
                <w:rFonts w:eastAsia="Times New Roman"/>
              </w:rPr>
            </w:pPr>
            <w:hyperlink r:id="rId7" w:history="1">
              <w:r>
                <w:rPr>
                  <w:rStyle w:val="a3"/>
                  <w:rFonts w:eastAsia="Times New Roman"/>
                  <w:sz w:val="20"/>
                  <w:szCs w:val="20"/>
                </w:rPr>
                <w:t>Certification by the Chief Executive Officer relating to the Registrant’s Report on Form 10-Q for the quarter ended June 30, 2022, pursuant to Section 302 of the Sarbanes-Oxley Act of 2002.</w:t>
              </w:r>
            </w:hyperlink>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856504779"/>
          <w:trHeight w:val="60"/>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856504779"/>
        </w:trPr>
        <w:tc>
          <w:tcPr>
            <w:tcW w:w="0" w:type="auto"/>
            <w:gridSpan w:val="3"/>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hideMark/>
          </w:tcPr>
          <w:p w:rsidR="00000000" w:rsidRDefault="00BE60E9">
            <w:pPr>
              <w:spacing w:after="100"/>
              <w:divId w:val="414323232"/>
              <w:rPr>
                <w:rFonts w:eastAsia="Times New Roman"/>
              </w:rPr>
            </w:pPr>
            <w:hyperlink r:id="rId8" w:history="1">
              <w:r>
                <w:rPr>
                  <w:rStyle w:val="a3"/>
                  <w:rFonts w:eastAsia="Times New Roman"/>
                  <w:sz w:val="20"/>
                  <w:szCs w:val="20"/>
                </w:rPr>
                <w:t>Certification by the Chief Financial Officer relating to the Registrant’</w:t>
              </w:r>
              <w:r>
                <w:rPr>
                  <w:rStyle w:val="a3"/>
                  <w:rFonts w:eastAsia="Times New Roman"/>
                  <w:sz w:val="20"/>
                  <w:szCs w:val="20"/>
                </w:rPr>
                <w:t>s Report on Form 10-Q for the quarter ended June 30, 2022, pursuant to Section 302 of the Sarbanes-Oxley Act of 2002.</w:t>
              </w:r>
            </w:hyperlink>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856504779"/>
          <w:trHeight w:val="60"/>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856504779"/>
        </w:trPr>
        <w:tc>
          <w:tcPr>
            <w:tcW w:w="0" w:type="auto"/>
            <w:gridSpan w:val="3"/>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hideMark/>
          </w:tcPr>
          <w:p w:rsidR="00000000" w:rsidRDefault="00BE60E9">
            <w:pPr>
              <w:spacing w:after="100"/>
              <w:divId w:val="1804301326"/>
              <w:rPr>
                <w:rFonts w:eastAsia="Times New Roman"/>
              </w:rPr>
            </w:pPr>
            <w:hyperlink r:id="rId9" w:history="1">
              <w:r>
                <w:rPr>
                  <w:rStyle w:val="a3"/>
                  <w:rFonts w:eastAsia="Times New Roman"/>
                  <w:sz w:val="20"/>
                  <w:szCs w:val="20"/>
                </w:rPr>
                <w:t>Certification by the Chief Executive Officer and the Chief Financial Officer relating to the Registrant’s Report on Form 10-Q for the quarter ended June 30, 2022, pursuant to Section 906 of the Sarbanes-Oxley Act of 2002.</w:t>
              </w:r>
            </w:hyperlink>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856504779"/>
          <w:trHeight w:val="60"/>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856504779"/>
        </w:trPr>
        <w:tc>
          <w:tcPr>
            <w:tcW w:w="0" w:type="auto"/>
            <w:gridSpan w:val="3"/>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XBRL Instance - the instance document does not appear in the Interactive Data File because its XBRL tags are embedded within the Inline XBRL document</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856504779"/>
          <w:trHeight w:val="60"/>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856504779"/>
        </w:trPr>
        <w:tc>
          <w:tcPr>
            <w:tcW w:w="0" w:type="auto"/>
            <w:gridSpan w:val="3"/>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XBRL Taxonomy Extension Schema</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856504779"/>
          <w:trHeight w:val="60"/>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856504779"/>
        </w:trPr>
        <w:tc>
          <w:tcPr>
            <w:tcW w:w="0" w:type="auto"/>
            <w:gridSpan w:val="3"/>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XBRL Taxonomy Extension Calculation Linkbase</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856504779"/>
          <w:trHeight w:val="60"/>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856504779"/>
        </w:trPr>
        <w:tc>
          <w:tcPr>
            <w:tcW w:w="0" w:type="auto"/>
            <w:gridSpan w:val="3"/>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XBRL Taxonomy Extension Definition Linkbase</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856504779"/>
          <w:trHeight w:val="60"/>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856504779"/>
        </w:trPr>
        <w:tc>
          <w:tcPr>
            <w:tcW w:w="0" w:type="auto"/>
            <w:gridSpan w:val="3"/>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XBRL Taxonomy Extension Labels Linkbase</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856504779"/>
          <w:trHeight w:val="60"/>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856504779"/>
        </w:trPr>
        <w:tc>
          <w:tcPr>
            <w:tcW w:w="0" w:type="auto"/>
            <w:gridSpan w:val="3"/>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XBRL Taxonomy Extension Presentation Linkbase</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856504779"/>
        </w:trPr>
        <w:tc>
          <w:tcPr>
            <w:tcW w:w="0" w:type="auto"/>
            <w:gridSpan w:val="3"/>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Cover Page Interactive Data File (formatted as Inline XBRL and contained in Exhibit 101)</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856504779"/>
          <w:trHeight w:val="300"/>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bl>
    <w:p w:rsidR="00000000" w:rsidRDefault="00BE60E9">
      <w:pPr>
        <w:ind w:hanging="270"/>
        <w:jc w:val="both"/>
        <w:rPr>
          <w:rFonts w:eastAsia="Times New Roman"/>
        </w:rPr>
      </w:pPr>
    </w:p>
    <w:p w:rsidR="00000000" w:rsidRDefault="00BE60E9">
      <w:pPr>
        <w:jc w:val="center"/>
        <w:divId w:val="736634722"/>
        <w:rPr>
          <w:rFonts w:eastAsia="Times New Roman"/>
        </w:rPr>
      </w:pPr>
      <w:r>
        <w:rPr>
          <w:rFonts w:eastAsia="Times New Roman"/>
          <w:color w:val="000000"/>
          <w:sz w:val="20"/>
          <w:szCs w:val="20"/>
        </w:rPr>
        <w:t>55</w:t>
      </w:r>
    </w:p>
    <w:p w:rsidR="00000000" w:rsidRDefault="00BE60E9">
      <w:pPr>
        <w:rPr>
          <w:rFonts w:eastAsia="Times New Roman"/>
        </w:rPr>
      </w:pPr>
      <w:r>
        <w:rPr>
          <w:rFonts w:eastAsia="Times New Roman"/>
        </w:rPr>
        <w:pict>
          <v:rect id="_x0000_i1081" style="width:0;height:1.5pt" o:hralign="center" o:hrstd="t" o:hr="t" fillcolor="#a0a0a0" stroked="f"/>
        </w:pict>
      </w:r>
    </w:p>
    <w:p w:rsidR="00000000" w:rsidRDefault="00BE60E9">
      <w:pPr>
        <w:divId w:val="1113280343"/>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1599484449"/>
        <w:rPr>
          <w:rFonts w:eastAsia="Times New Roman"/>
        </w:rPr>
      </w:pPr>
      <w:r>
        <w:rPr>
          <w:rFonts w:eastAsia="Times New Roman"/>
          <w:b/>
          <w:bCs/>
          <w:color w:val="000000"/>
          <w:sz w:val="20"/>
          <w:szCs w:val="20"/>
        </w:rPr>
        <w:t>UGI CORPORATION AND SUBSIDIARIES</w:t>
      </w:r>
    </w:p>
    <w:p w:rsidR="00000000" w:rsidRDefault="00BE60E9">
      <w:pPr>
        <w:jc w:val="center"/>
        <w:rPr>
          <w:rFonts w:eastAsia="Times New Roman"/>
        </w:rPr>
      </w:pPr>
      <w:r>
        <w:rPr>
          <w:rFonts w:eastAsia="Times New Roman"/>
          <w:b/>
          <w:bCs/>
          <w:color w:val="000000"/>
          <w:sz w:val="20"/>
          <w:szCs w:val="20"/>
        </w:rPr>
        <w:t>EXHIBIT INDEX</w:t>
      </w:r>
    </w:p>
    <w:p w:rsidR="00000000" w:rsidRDefault="00BE60E9">
      <w:pPr>
        <w:divId w:val="1073893546"/>
        <w:rPr>
          <w:rFonts w:eastAsia="Times New Roman"/>
        </w:rPr>
      </w:pPr>
      <w:r>
        <w:rPr>
          <w:rFonts w:eastAsia="Times New Roman"/>
          <w:color w:val="000000"/>
          <w:sz w:val="18"/>
          <w:szCs w:val="18"/>
        </w:rPr>
        <w:t> </w:t>
      </w:r>
    </w:p>
    <w:tbl>
      <w:tblPr>
        <w:tblW w:w="4985" w:type="pct"/>
        <w:tblCellMar>
          <w:top w:w="15" w:type="dxa"/>
          <w:left w:w="15" w:type="dxa"/>
          <w:bottom w:w="15" w:type="dxa"/>
          <w:right w:w="15" w:type="dxa"/>
        </w:tblCellMar>
        <w:tblLook w:val="04A0" w:firstRow="1" w:lastRow="0" w:firstColumn="1" w:lastColumn="0" w:noHBand="0" w:noVBand="1"/>
      </w:tblPr>
      <w:tblGrid>
        <w:gridCol w:w="78"/>
        <w:gridCol w:w="705"/>
        <w:gridCol w:w="36"/>
        <w:gridCol w:w="36"/>
        <w:gridCol w:w="36"/>
        <w:gridCol w:w="36"/>
        <w:gridCol w:w="46"/>
        <w:gridCol w:w="7272"/>
        <w:gridCol w:w="36"/>
      </w:tblGrid>
      <w:tr w:rsidR="00000000">
        <w:trPr>
          <w:divId w:val="496770371"/>
        </w:trPr>
        <w:tc>
          <w:tcPr>
            <w:tcW w:w="50" w:type="pct"/>
            <w:vAlign w:val="center"/>
            <w:hideMark/>
          </w:tcPr>
          <w:p w:rsidR="00000000" w:rsidRDefault="00BE60E9">
            <w:pPr>
              <w:rPr>
                <w:rFonts w:eastAsia="Times New Roman"/>
              </w:rPr>
            </w:pPr>
          </w:p>
        </w:tc>
        <w:tc>
          <w:tcPr>
            <w:tcW w:w="450"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2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4402"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rPr>
          <w:divId w:val="496770371"/>
          <w:trHeight w:val="60"/>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496770371"/>
        </w:trPr>
        <w:tc>
          <w:tcPr>
            <w:tcW w:w="0" w:type="auto"/>
            <w:gridSpan w:val="3"/>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hideMark/>
          </w:tcPr>
          <w:p w:rsidR="00000000" w:rsidRDefault="00BE60E9">
            <w:pPr>
              <w:spacing w:after="100"/>
              <w:divId w:val="465052764"/>
              <w:rPr>
                <w:rFonts w:eastAsia="Times New Roman"/>
              </w:rPr>
            </w:pPr>
            <w:hyperlink r:id="rId10" w:history="1">
              <w:r>
                <w:rPr>
                  <w:rStyle w:val="a3"/>
                  <w:rFonts w:eastAsia="Times New Roman"/>
                  <w:sz w:val="20"/>
                  <w:szCs w:val="20"/>
                </w:rPr>
                <w:t>Certification by the Chief Executive Officer relating to the Registrant’s Report on Form 10-Q for the quarter ended June 30, 2022, pursuant to Section 302 of the Sarbanes-Oxley Act of 2002.</w:t>
              </w:r>
            </w:hyperlink>
          </w:p>
        </w:tc>
      </w:tr>
      <w:tr w:rsidR="00000000">
        <w:trPr>
          <w:divId w:val="496770371"/>
          <w:trHeight w:val="60"/>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496770371"/>
        </w:trPr>
        <w:tc>
          <w:tcPr>
            <w:tcW w:w="0" w:type="auto"/>
            <w:gridSpan w:val="3"/>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hideMark/>
          </w:tcPr>
          <w:p w:rsidR="00000000" w:rsidRDefault="00BE60E9">
            <w:pPr>
              <w:spacing w:after="100"/>
              <w:divId w:val="1926769623"/>
              <w:rPr>
                <w:rFonts w:eastAsia="Times New Roman"/>
              </w:rPr>
            </w:pPr>
            <w:hyperlink r:id="rId11" w:history="1">
              <w:r>
                <w:rPr>
                  <w:rStyle w:val="a3"/>
                  <w:rFonts w:eastAsia="Times New Roman"/>
                  <w:sz w:val="20"/>
                  <w:szCs w:val="20"/>
                </w:rPr>
                <w:t>Certification by the Chief Financial Officer relating to the Registrant’s Report on Form 10-Q for the quarter ended June 30, 2022, pursuant to Section 302 of the Sarbanes-Oxley Act of 2002.</w:t>
              </w:r>
            </w:hyperlink>
          </w:p>
        </w:tc>
      </w:tr>
      <w:tr w:rsidR="00000000">
        <w:trPr>
          <w:divId w:val="496770371"/>
          <w:trHeight w:val="60"/>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496770371"/>
        </w:trPr>
        <w:tc>
          <w:tcPr>
            <w:tcW w:w="0" w:type="auto"/>
            <w:gridSpan w:val="3"/>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hideMark/>
          </w:tcPr>
          <w:p w:rsidR="00000000" w:rsidRDefault="00BE60E9">
            <w:pPr>
              <w:spacing w:after="100"/>
              <w:divId w:val="1846551978"/>
              <w:rPr>
                <w:rFonts w:eastAsia="Times New Roman"/>
              </w:rPr>
            </w:pPr>
            <w:hyperlink r:id="rId12" w:history="1">
              <w:r>
                <w:rPr>
                  <w:rStyle w:val="a3"/>
                  <w:rFonts w:eastAsia="Times New Roman"/>
                  <w:sz w:val="20"/>
                  <w:szCs w:val="20"/>
                </w:rPr>
                <w:t>Certification by the Chief Executive Officer and the Chief Financial Officer relating to the Registrant’s Report on Form 10-Q for the quarter ended June 30, 2022, pursuant to Section 906 of the Sarbanes-Oxley Act of</w:t>
              </w:r>
              <w:r>
                <w:rPr>
                  <w:rStyle w:val="a3"/>
                  <w:rFonts w:eastAsia="Times New Roman"/>
                  <w:sz w:val="20"/>
                  <w:szCs w:val="20"/>
                </w:rPr>
                <w:t xml:space="preserve"> 2002.</w:t>
              </w:r>
            </w:hyperlink>
          </w:p>
        </w:tc>
      </w:tr>
      <w:tr w:rsidR="00000000">
        <w:trPr>
          <w:divId w:val="496770371"/>
          <w:trHeight w:val="60"/>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496770371"/>
        </w:trPr>
        <w:tc>
          <w:tcPr>
            <w:tcW w:w="0" w:type="auto"/>
            <w:gridSpan w:val="3"/>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XBRL Instance - the instance document does not appear in the Interactive Data File because its XBRL tags are embedded within the Inline XBRL document</w:t>
            </w:r>
          </w:p>
        </w:tc>
      </w:tr>
      <w:tr w:rsidR="00000000">
        <w:trPr>
          <w:divId w:val="496770371"/>
          <w:trHeight w:val="60"/>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496770371"/>
        </w:trPr>
        <w:tc>
          <w:tcPr>
            <w:tcW w:w="0" w:type="auto"/>
            <w:gridSpan w:val="3"/>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XBRL Taxonomy Extension Schema</w:t>
            </w:r>
          </w:p>
        </w:tc>
      </w:tr>
      <w:tr w:rsidR="00000000">
        <w:trPr>
          <w:divId w:val="496770371"/>
          <w:trHeight w:val="60"/>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496770371"/>
        </w:trPr>
        <w:tc>
          <w:tcPr>
            <w:tcW w:w="0" w:type="auto"/>
            <w:gridSpan w:val="3"/>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XBRL Taxonomy Extension Calculation Linkbase</w:t>
            </w:r>
          </w:p>
        </w:tc>
      </w:tr>
      <w:tr w:rsidR="00000000">
        <w:trPr>
          <w:divId w:val="496770371"/>
          <w:trHeight w:val="60"/>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496770371"/>
        </w:trPr>
        <w:tc>
          <w:tcPr>
            <w:tcW w:w="0" w:type="auto"/>
            <w:gridSpan w:val="3"/>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XBRL Taxonomy Extension Definition Linkbase</w:t>
            </w:r>
          </w:p>
        </w:tc>
      </w:tr>
      <w:tr w:rsidR="00000000">
        <w:trPr>
          <w:divId w:val="496770371"/>
          <w:trHeight w:val="60"/>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496770371"/>
        </w:trPr>
        <w:tc>
          <w:tcPr>
            <w:tcW w:w="0" w:type="auto"/>
            <w:gridSpan w:val="3"/>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XBRL Taxonomy Extension Labels Linkbase</w:t>
            </w:r>
          </w:p>
        </w:tc>
      </w:tr>
      <w:tr w:rsidR="00000000">
        <w:trPr>
          <w:divId w:val="496770371"/>
          <w:trHeight w:val="60"/>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496770371"/>
        </w:trPr>
        <w:tc>
          <w:tcPr>
            <w:tcW w:w="0" w:type="auto"/>
            <w:gridSpan w:val="3"/>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XBRL Taxonomy Extension Presentation Linkbase</w:t>
            </w:r>
          </w:p>
        </w:tc>
      </w:tr>
      <w:tr w:rsidR="00000000">
        <w:trPr>
          <w:divId w:val="496770371"/>
        </w:trPr>
        <w:tc>
          <w:tcPr>
            <w:tcW w:w="0" w:type="auto"/>
            <w:gridSpan w:val="3"/>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Cover Page Interactive Data File (formatted as Inline XBRL and contained in Exhibit 101)</w:t>
            </w:r>
          </w:p>
        </w:tc>
      </w:tr>
    </w:tbl>
    <w:p w:rsidR="00000000" w:rsidRDefault="00BE60E9">
      <w:pPr>
        <w:divId w:val="403260895"/>
        <w:rPr>
          <w:rFonts w:eastAsia="Times New Roman"/>
        </w:rPr>
      </w:pPr>
    </w:p>
    <w:p w:rsidR="00000000" w:rsidRDefault="00BE60E9">
      <w:pPr>
        <w:divId w:val="199979810"/>
        <w:rPr>
          <w:rFonts w:eastAsia="Times New Roman"/>
        </w:rPr>
      </w:pPr>
    </w:p>
    <w:p w:rsidR="00000000" w:rsidRDefault="00BE60E9">
      <w:pPr>
        <w:jc w:val="center"/>
        <w:divId w:val="218711960"/>
        <w:rPr>
          <w:rFonts w:eastAsia="Times New Roman"/>
        </w:rPr>
      </w:pPr>
      <w:r>
        <w:rPr>
          <w:rFonts w:eastAsia="Times New Roman"/>
          <w:color w:val="000000"/>
          <w:sz w:val="20"/>
          <w:szCs w:val="20"/>
        </w:rPr>
        <w:t>56</w:t>
      </w:r>
    </w:p>
    <w:p w:rsidR="00000000" w:rsidRDefault="00BE60E9">
      <w:pPr>
        <w:rPr>
          <w:rFonts w:eastAsia="Times New Roman"/>
        </w:rPr>
      </w:pPr>
      <w:r>
        <w:rPr>
          <w:rFonts w:eastAsia="Times New Roman"/>
        </w:rPr>
        <w:pict>
          <v:rect id="_x0000_i1082" style="width:0;height:1.5pt" o:hralign="center" o:hrstd="t" o:hr="t" fillcolor="#a0a0a0" stroked="f"/>
        </w:pict>
      </w:r>
    </w:p>
    <w:p w:rsidR="00000000" w:rsidRDefault="00BE60E9">
      <w:pPr>
        <w:divId w:val="54621944"/>
        <w:rPr>
          <w:rFonts w:eastAsia="Times New Roman"/>
        </w:rPr>
      </w:pPr>
      <w:hyperlink w:anchor="i7b9367ce46184e39981dde9cbe7aec07_7" w:history="1">
        <w:r>
          <w:rPr>
            <w:rStyle w:val="a3"/>
            <w:rFonts w:eastAsia="Times New Roman"/>
            <w:sz w:val="20"/>
            <w:szCs w:val="20"/>
          </w:rPr>
          <w:t>Table of Contents</w:t>
        </w:r>
      </w:hyperlink>
    </w:p>
    <w:p w:rsidR="00000000" w:rsidRDefault="00BE60E9">
      <w:pPr>
        <w:jc w:val="center"/>
        <w:divId w:val="1024331873"/>
        <w:rPr>
          <w:rFonts w:eastAsia="Times New Roman"/>
        </w:rPr>
      </w:pPr>
      <w:r>
        <w:rPr>
          <w:rFonts w:eastAsia="Times New Roman"/>
          <w:b/>
          <w:bCs/>
          <w:color w:val="000000"/>
          <w:sz w:val="20"/>
          <w:szCs w:val="20"/>
        </w:rPr>
        <w:t>UGI CORPORATION AND SUBSIDIARIES</w:t>
      </w:r>
    </w:p>
    <w:p w:rsidR="00000000" w:rsidRDefault="00BE60E9">
      <w:pPr>
        <w:jc w:val="center"/>
        <w:rPr>
          <w:rFonts w:eastAsia="Times New Roman"/>
        </w:rPr>
      </w:pPr>
      <w:r>
        <w:rPr>
          <w:rFonts w:eastAsia="Times New Roman"/>
          <w:b/>
          <w:bCs/>
          <w:color w:val="000000"/>
          <w:sz w:val="20"/>
          <w:szCs w:val="20"/>
        </w:rPr>
        <w:t>SIGNATURES</w:t>
      </w:r>
    </w:p>
    <w:p w:rsidR="00000000" w:rsidRDefault="00BE60E9">
      <w:pPr>
        <w:jc w:val="both"/>
        <w:divId w:val="1948123549"/>
        <w:rPr>
          <w:rFonts w:eastAsia="Times New Roman"/>
        </w:rPr>
      </w:pPr>
      <w:r>
        <w:rPr>
          <w:rFonts w:eastAsia="Times New Roman"/>
          <w:color w:val="000000"/>
          <w:sz w:val="20"/>
          <w:szCs w:val="20"/>
        </w:rPr>
        <w:t xml:space="preserve">Pursuant to the requirements of the Securities Exchange Act of 1934, the registrant has duly caused </w:t>
      </w:r>
      <w:r>
        <w:rPr>
          <w:rFonts w:eastAsia="Times New Roman"/>
          <w:color w:val="000000"/>
          <w:sz w:val="20"/>
          <w:szCs w:val="20"/>
        </w:rPr>
        <w:t>this report to be signed on its behalf by the undersigned thereunto duly authorized.</w:t>
      </w:r>
    </w:p>
    <w:p w:rsidR="00000000" w:rsidRDefault="00BE60E9">
      <w:pPr>
        <w:divId w:val="2059625448"/>
        <w:rPr>
          <w:rFonts w:eastAsia="Times New Roman"/>
        </w:rPr>
      </w:pPr>
      <w:r>
        <w:rPr>
          <w:rFonts w:eastAsia="Times New Roman"/>
          <w:color w:val="000000"/>
          <w:sz w:val="18"/>
          <w:szCs w:val="18"/>
        </w:rPr>
        <w:t> </w:t>
      </w:r>
    </w:p>
    <w:tbl>
      <w:tblPr>
        <w:tblW w:w="4985" w:type="pct"/>
        <w:tblCellMar>
          <w:top w:w="15" w:type="dxa"/>
          <w:left w:w="15" w:type="dxa"/>
          <w:bottom w:w="15" w:type="dxa"/>
          <w:right w:w="15" w:type="dxa"/>
        </w:tblCellMar>
        <w:tblLook w:val="04A0" w:firstRow="1" w:lastRow="0" w:firstColumn="1" w:lastColumn="0" w:noHBand="0" w:noVBand="1"/>
      </w:tblPr>
      <w:tblGrid>
        <w:gridCol w:w="88"/>
        <w:gridCol w:w="378"/>
        <w:gridCol w:w="36"/>
        <w:gridCol w:w="60"/>
        <w:gridCol w:w="3881"/>
        <w:gridCol w:w="36"/>
        <w:gridCol w:w="81"/>
        <w:gridCol w:w="240"/>
        <w:gridCol w:w="37"/>
        <w:gridCol w:w="37"/>
        <w:gridCol w:w="3370"/>
        <w:gridCol w:w="37"/>
      </w:tblGrid>
      <w:tr w:rsidR="00000000">
        <w:trPr>
          <w:divId w:val="499782304"/>
        </w:trPr>
        <w:tc>
          <w:tcPr>
            <w:tcW w:w="50" w:type="pct"/>
            <w:vAlign w:val="center"/>
            <w:hideMark/>
          </w:tcPr>
          <w:p w:rsidR="00000000" w:rsidRDefault="00BE60E9">
            <w:pPr>
              <w:rPr>
                <w:rFonts w:eastAsia="Times New Roman"/>
              </w:rPr>
            </w:pPr>
          </w:p>
        </w:tc>
        <w:tc>
          <w:tcPr>
            <w:tcW w:w="21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2357"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150"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c>
          <w:tcPr>
            <w:tcW w:w="50" w:type="pct"/>
            <w:vAlign w:val="center"/>
            <w:hideMark/>
          </w:tcPr>
          <w:p w:rsidR="00000000" w:rsidRDefault="00BE60E9">
            <w:pPr>
              <w:spacing w:after="100"/>
              <w:rPr>
                <w:rFonts w:eastAsia="Times New Roman"/>
                <w:sz w:val="20"/>
                <w:szCs w:val="20"/>
              </w:rPr>
            </w:pPr>
          </w:p>
        </w:tc>
        <w:tc>
          <w:tcPr>
            <w:tcW w:w="2056" w:type="pct"/>
            <w:vAlign w:val="center"/>
            <w:hideMark/>
          </w:tcPr>
          <w:p w:rsidR="00000000" w:rsidRDefault="00BE60E9">
            <w:pPr>
              <w:spacing w:after="100"/>
              <w:rPr>
                <w:rFonts w:eastAsia="Times New Roman"/>
                <w:sz w:val="20"/>
                <w:szCs w:val="20"/>
              </w:rPr>
            </w:pPr>
          </w:p>
        </w:tc>
        <w:tc>
          <w:tcPr>
            <w:tcW w:w="5" w:type="pct"/>
            <w:vAlign w:val="center"/>
            <w:hideMark/>
          </w:tcPr>
          <w:p w:rsidR="00000000" w:rsidRDefault="00BE60E9">
            <w:pPr>
              <w:spacing w:after="100"/>
              <w:rPr>
                <w:rFonts w:eastAsia="Times New Roman"/>
                <w:sz w:val="20"/>
                <w:szCs w:val="20"/>
              </w:rPr>
            </w:pPr>
          </w:p>
        </w:tc>
      </w:tr>
      <w:tr w:rsidR="00000000">
        <w:trPr>
          <w:divId w:val="499782304"/>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u w:val="single"/>
              </w:rPr>
              <w:t>UGI Corporation</w:t>
            </w:r>
          </w:p>
        </w:tc>
      </w:tr>
      <w:tr w:rsidR="00000000">
        <w:trPr>
          <w:divId w:val="499782304"/>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(Registrant)</w:t>
            </w:r>
          </w:p>
        </w:tc>
      </w:tr>
      <w:tr w:rsidR="00000000">
        <w:trPr>
          <w:divId w:val="499782304"/>
          <w:trHeight w:val="60"/>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499782304"/>
        </w:trPr>
        <w:tc>
          <w:tcPr>
            <w:tcW w:w="0" w:type="auto"/>
            <w:gridSpan w:val="3"/>
            <w:tcMar>
              <w:top w:w="30" w:type="dxa"/>
              <w:left w:w="20" w:type="dxa"/>
              <w:bottom w:w="30" w:type="dxa"/>
              <w:right w:w="20" w:type="dxa"/>
            </w:tcMar>
            <w:vAlign w:val="center"/>
            <w:hideMark/>
          </w:tcPr>
          <w:p w:rsidR="00000000" w:rsidRDefault="00BE60E9">
            <w:pPr>
              <w:spacing w:after="100"/>
              <w:jc w:val="right"/>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vAlign w:val="center"/>
            <w:hideMark/>
          </w:tcPr>
          <w:p w:rsidR="00000000" w:rsidRDefault="00BE60E9">
            <w:pPr>
              <w:spacing w:after="100"/>
              <w:rPr>
                <w:rFonts w:eastAsia="Times New Roman"/>
              </w:rPr>
            </w:pPr>
            <w:r>
              <w:rPr>
                <w:rFonts w:eastAsia="Times New Roman"/>
                <w:color w:val="000000"/>
                <w:sz w:val="20"/>
                <w:szCs w:val="20"/>
              </w:rPr>
              <w:t>August 4, 2022</w:t>
            </w:r>
          </w:p>
        </w:tc>
        <w:tc>
          <w:tcPr>
            <w:tcW w:w="0" w:type="auto"/>
            <w:gridSpan w:val="3"/>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/s/ Ted J. Jastrzebski</w:t>
            </w:r>
          </w:p>
        </w:tc>
      </w:tr>
      <w:tr w:rsidR="00000000">
        <w:trPr>
          <w:divId w:val="499782304"/>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Ted J. Jastrzebski</w:t>
            </w:r>
          </w:p>
        </w:tc>
      </w:tr>
      <w:tr w:rsidR="00000000">
        <w:trPr>
          <w:divId w:val="499782304"/>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Chief Financial Officer</w:t>
            </w:r>
          </w:p>
        </w:tc>
      </w:tr>
      <w:tr w:rsidR="00000000">
        <w:trPr>
          <w:divId w:val="499782304"/>
          <w:trHeight w:val="180"/>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499782304"/>
          <w:trHeight w:val="60"/>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r>
      <w:tr w:rsidR="00000000">
        <w:trPr>
          <w:divId w:val="499782304"/>
        </w:trPr>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vAlign w:val="center"/>
            <w:hideMark/>
          </w:tcPr>
          <w:p w:rsidR="00000000" w:rsidRDefault="00BE60E9">
            <w:pPr>
              <w:spacing w:after="100"/>
              <w:rPr>
                <w:rFonts w:eastAsia="Times New Roman"/>
              </w:rPr>
            </w:pPr>
            <w:r>
              <w:rPr>
                <w:rFonts w:eastAsia="Times New Roman"/>
                <w:color w:val="000000"/>
                <w:sz w:val="20"/>
                <w:szCs w:val="20"/>
              </w:rPr>
              <w:t>August 4, 2022</w:t>
            </w:r>
          </w:p>
        </w:tc>
        <w:tc>
          <w:tcPr>
            <w:tcW w:w="0" w:type="auto"/>
            <w:gridSpan w:val="3"/>
            <w:tcMar>
              <w:top w:w="30" w:type="dxa"/>
              <w:left w:w="20" w:type="dxa"/>
              <w:bottom w:w="30" w:type="dxa"/>
              <w:right w:w="20" w:type="dxa"/>
            </w:tcMar>
            <w:vAlign w:val="bottom"/>
            <w:hideMark/>
          </w:tcPr>
          <w:p w:rsidR="00000000" w:rsidRDefault="00BE60E9">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/s/ Jean Felix Tematio Dontsop</w:t>
            </w:r>
          </w:p>
        </w:tc>
      </w:tr>
      <w:tr w:rsidR="00000000">
        <w:trPr>
          <w:divId w:val="499782304"/>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Jean Felix Tematio Dontsop</w:t>
            </w:r>
          </w:p>
        </w:tc>
      </w:tr>
      <w:tr w:rsidR="00000000">
        <w:trPr>
          <w:divId w:val="499782304"/>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Vice President, Chief Accounting Officer</w:t>
            </w:r>
          </w:p>
        </w:tc>
      </w:tr>
      <w:tr w:rsidR="00000000">
        <w:trPr>
          <w:divId w:val="499782304"/>
        </w:trPr>
        <w:tc>
          <w:tcPr>
            <w:tcW w:w="0" w:type="auto"/>
            <w:gridSpan w:val="3"/>
            <w:tcMar>
              <w:top w:w="0" w:type="dxa"/>
              <w:left w:w="20" w:type="dxa"/>
              <w:bottom w:w="0" w:type="dxa"/>
              <w:right w:w="20" w:type="dxa"/>
            </w:tcMar>
            <w:vAlign w:val="center"/>
            <w:hideMark/>
          </w:tcPr>
          <w:p w:rsidR="00000000" w:rsidRDefault="00BE60E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E60E9">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E60E9">
            <w:pPr>
              <w:spacing w:after="100"/>
              <w:rPr>
                <w:rFonts w:eastAsia="Times New Roman"/>
              </w:rPr>
            </w:pPr>
            <w:r>
              <w:rPr>
                <w:rFonts w:eastAsia="Times New Roman"/>
                <w:color w:val="000000"/>
                <w:sz w:val="20"/>
                <w:szCs w:val="20"/>
              </w:rPr>
              <w:t>and Corporate Controller</w:t>
            </w:r>
          </w:p>
        </w:tc>
      </w:tr>
    </w:tbl>
    <w:p w:rsidR="00BE60E9" w:rsidRDefault="00BE60E9">
      <w:pPr>
        <w:jc w:val="center"/>
        <w:divId w:val="614336385"/>
        <w:rPr>
          <w:rFonts w:eastAsia="Times New Roman"/>
        </w:rPr>
      </w:pPr>
      <w:r>
        <w:rPr>
          <w:rFonts w:eastAsia="Times New Roman"/>
          <w:color w:val="000000"/>
          <w:sz w:val="20"/>
          <w:szCs w:val="20"/>
        </w:rPr>
        <w:t>57</w:t>
      </w:r>
    </w:p>
    <w:sectPr w:rsidR="00BE60E9">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E60E9"/>
    <w:rsid w:val="00BE60E9"/>
  </w:rsids>
  <m:mathPr>
    <m:mathFont m:val="Cambria Math"/>
    <m:brkBin m:val="before"/>
    <m:brkBinSub m:val="--"/>
    <m:smallFrac m:val="0"/>
    <m:dispDef/>
    <m:lMargin m:val="0"/>
    <m:rMargin m:val="0"/>
    <m:defJc m:val="centerGroup"/>
    <m:wrapIndent m:val="1440"/>
    <m:intLim m:val="subSup"/>
    <m:naryLim m:val="undOvr"/>
  </m:mathPr>
  <w:attachedSchema w:val="http://www.xbrl.org/2003/linkbase"/>
  <w:attachedSchema w:val="http://fasb.org/srt/2022"/>
  <w:attachedSchema w:val="http://www.sec.gov/inlineXBRL/transformation/2015-08-31"/>
  <w:attachedSchema w:val="http://fasb.org/us-gaap/2022"/>
  <w:attachedSchema w:val="http://xbrl.org/2006/xbrldi"/>
  <w:attachedSchema w:val="http://www.xbrl.org/2009/utr"/>
  <w:attachedSchema w:val="http://www.w3.org/1999/xlink"/>
  <w:attachedSchema w:val="http://xbrl.sec.gov/dei/2022"/>
  <w:attachedSchema w:val="http://www.xbrl.org/2003/iso4217"/>
  <w:attachedSchema w:val="http://www.xbrl.org/inlineXBRL/transformation/2020-02-12"/>
  <w:attachedSchema w:val="http://www.xbrl.org/2003/instance"/>
  <w:attachedSchema w:val="http://www.xbrl.org/2013/inlineXBRL"/>
  <w:attachedSchema w:val="http://www.ugicorp.com/20220630"/>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783">
      <w:marLeft w:val="0"/>
      <w:marRight w:val="0"/>
      <w:marTop w:val="0"/>
      <w:marBottom w:val="200"/>
      <w:divBdr>
        <w:top w:val="none" w:sz="0" w:space="0" w:color="auto"/>
        <w:left w:val="none" w:sz="0" w:space="0" w:color="auto"/>
        <w:bottom w:val="none" w:sz="0" w:space="0" w:color="auto"/>
        <w:right w:val="none" w:sz="0" w:space="0" w:color="auto"/>
      </w:divBdr>
    </w:div>
    <w:div w:id="4357976">
      <w:marLeft w:val="0"/>
      <w:marRight w:val="0"/>
      <w:marTop w:val="200"/>
      <w:marBottom w:val="0"/>
      <w:divBdr>
        <w:top w:val="none" w:sz="0" w:space="0" w:color="auto"/>
        <w:left w:val="none" w:sz="0" w:space="0" w:color="auto"/>
        <w:bottom w:val="none" w:sz="0" w:space="0" w:color="auto"/>
        <w:right w:val="none" w:sz="0" w:space="0" w:color="auto"/>
      </w:divBdr>
    </w:div>
    <w:div w:id="7995971">
      <w:marLeft w:val="0"/>
      <w:marRight w:val="0"/>
      <w:marTop w:val="100"/>
      <w:marBottom w:val="0"/>
      <w:divBdr>
        <w:top w:val="none" w:sz="0" w:space="0" w:color="auto"/>
        <w:left w:val="none" w:sz="0" w:space="0" w:color="auto"/>
        <w:bottom w:val="none" w:sz="0" w:space="0" w:color="auto"/>
        <w:right w:val="none" w:sz="0" w:space="0" w:color="auto"/>
      </w:divBdr>
    </w:div>
    <w:div w:id="12849686">
      <w:marLeft w:val="0"/>
      <w:marRight w:val="0"/>
      <w:marTop w:val="0"/>
      <w:marBottom w:val="200"/>
      <w:divBdr>
        <w:top w:val="none" w:sz="0" w:space="0" w:color="auto"/>
        <w:left w:val="none" w:sz="0" w:space="0" w:color="auto"/>
        <w:bottom w:val="none" w:sz="0" w:space="0" w:color="auto"/>
        <w:right w:val="none" w:sz="0" w:space="0" w:color="auto"/>
      </w:divBdr>
    </w:div>
    <w:div w:id="13310410">
      <w:marLeft w:val="0"/>
      <w:marRight w:val="0"/>
      <w:marTop w:val="0"/>
      <w:marBottom w:val="200"/>
      <w:divBdr>
        <w:top w:val="none" w:sz="0" w:space="0" w:color="auto"/>
        <w:left w:val="none" w:sz="0" w:space="0" w:color="auto"/>
        <w:bottom w:val="none" w:sz="0" w:space="0" w:color="auto"/>
        <w:right w:val="none" w:sz="0" w:space="0" w:color="auto"/>
      </w:divBdr>
    </w:div>
    <w:div w:id="24601802">
      <w:marLeft w:val="0"/>
      <w:marRight w:val="0"/>
      <w:marTop w:val="0"/>
      <w:marBottom w:val="0"/>
      <w:divBdr>
        <w:top w:val="none" w:sz="0" w:space="0" w:color="auto"/>
        <w:left w:val="none" w:sz="0" w:space="0" w:color="auto"/>
        <w:bottom w:val="none" w:sz="0" w:space="0" w:color="auto"/>
        <w:right w:val="none" w:sz="0" w:space="0" w:color="auto"/>
      </w:divBdr>
      <w:divsChild>
        <w:div w:id="349180593">
          <w:marLeft w:val="0"/>
          <w:marRight w:val="0"/>
          <w:marTop w:val="0"/>
          <w:marBottom w:val="0"/>
          <w:divBdr>
            <w:top w:val="none" w:sz="0" w:space="0" w:color="auto"/>
            <w:left w:val="none" w:sz="0" w:space="0" w:color="auto"/>
            <w:bottom w:val="none" w:sz="0" w:space="0" w:color="auto"/>
            <w:right w:val="none" w:sz="0" w:space="0" w:color="auto"/>
          </w:divBdr>
        </w:div>
        <w:div w:id="568149731">
          <w:marLeft w:val="0"/>
          <w:marRight w:val="0"/>
          <w:marTop w:val="180"/>
          <w:marBottom w:val="0"/>
          <w:divBdr>
            <w:top w:val="none" w:sz="0" w:space="0" w:color="auto"/>
            <w:left w:val="none" w:sz="0" w:space="0" w:color="auto"/>
            <w:bottom w:val="none" w:sz="0" w:space="0" w:color="auto"/>
            <w:right w:val="none" w:sz="0" w:space="0" w:color="auto"/>
          </w:divBdr>
        </w:div>
      </w:divsChild>
    </w:div>
    <w:div w:id="25450172">
      <w:marLeft w:val="0"/>
      <w:marRight w:val="0"/>
      <w:marTop w:val="0"/>
      <w:marBottom w:val="0"/>
      <w:divBdr>
        <w:top w:val="none" w:sz="0" w:space="0" w:color="auto"/>
        <w:left w:val="none" w:sz="0" w:space="0" w:color="auto"/>
        <w:bottom w:val="none" w:sz="0" w:space="0" w:color="auto"/>
        <w:right w:val="none" w:sz="0" w:space="0" w:color="auto"/>
      </w:divBdr>
    </w:div>
    <w:div w:id="28073724">
      <w:marLeft w:val="0"/>
      <w:marRight w:val="0"/>
      <w:marTop w:val="0"/>
      <w:marBottom w:val="0"/>
      <w:divBdr>
        <w:top w:val="none" w:sz="0" w:space="0" w:color="auto"/>
        <w:left w:val="none" w:sz="0" w:space="0" w:color="auto"/>
        <w:bottom w:val="none" w:sz="0" w:space="0" w:color="auto"/>
        <w:right w:val="none" w:sz="0" w:space="0" w:color="auto"/>
      </w:divBdr>
      <w:divsChild>
        <w:div w:id="1430734743">
          <w:marLeft w:val="0"/>
          <w:marRight w:val="0"/>
          <w:marTop w:val="0"/>
          <w:marBottom w:val="0"/>
          <w:divBdr>
            <w:top w:val="none" w:sz="0" w:space="0" w:color="auto"/>
            <w:left w:val="none" w:sz="0" w:space="0" w:color="auto"/>
            <w:bottom w:val="none" w:sz="0" w:space="0" w:color="auto"/>
            <w:right w:val="none" w:sz="0" w:space="0" w:color="auto"/>
          </w:divBdr>
        </w:div>
      </w:divsChild>
    </w:div>
    <w:div w:id="38478664">
      <w:marLeft w:val="0"/>
      <w:marRight w:val="0"/>
      <w:marTop w:val="0"/>
      <w:marBottom w:val="0"/>
      <w:divBdr>
        <w:top w:val="none" w:sz="0" w:space="0" w:color="auto"/>
        <w:left w:val="none" w:sz="0" w:space="0" w:color="auto"/>
        <w:bottom w:val="none" w:sz="0" w:space="0" w:color="auto"/>
        <w:right w:val="none" w:sz="0" w:space="0" w:color="auto"/>
      </w:divBdr>
      <w:divsChild>
        <w:div w:id="2105414787">
          <w:marLeft w:val="0"/>
          <w:marRight w:val="0"/>
          <w:marTop w:val="0"/>
          <w:marBottom w:val="0"/>
          <w:divBdr>
            <w:top w:val="none" w:sz="0" w:space="0" w:color="auto"/>
            <w:left w:val="none" w:sz="0" w:space="0" w:color="auto"/>
            <w:bottom w:val="none" w:sz="0" w:space="0" w:color="auto"/>
            <w:right w:val="none" w:sz="0" w:space="0" w:color="auto"/>
          </w:divBdr>
        </w:div>
      </w:divsChild>
    </w:div>
    <w:div w:id="49808788">
      <w:marLeft w:val="0"/>
      <w:marRight w:val="0"/>
      <w:marTop w:val="100"/>
      <w:marBottom w:val="0"/>
      <w:divBdr>
        <w:top w:val="none" w:sz="0" w:space="0" w:color="auto"/>
        <w:left w:val="none" w:sz="0" w:space="0" w:color="auto"/>
        <w:bottom w:val="none" w:sz="0" w:space="0" w:color="auto"/>
        <w:right w:val="none" w:sz="0" w:space="0" w:color="auto"/>
      </w:divBdr>
    </w:div>
    <w:div w:id="53244189">
      <w:marLeft w:val="0"/>
      <w:marRight w:val="0"/>
      <w:marTop w:val="0"/>
      <w:marBottom w:val="0"/>
      <w:divBdr>
        <w:top w:val="none" w:sz="0" w:space="0" w:color="auto"/>
        <w:left w:val="none" w:sz="0" w:space="0" w:color="auto"/>
        <w:bottom w:val="none" w:sz="0" w:space="0" w:color="auto"/>
        <w:right w:val="none" w:sz="0" w:space="0" w:color="auto"/>
      </w:divBdr>
    </w:div>
    <w:div w:id="56130870">
      <w:marLeft w:val="0"/>
      <w:marRight w:val="0"/>
      <w:marTop w:val="0"/>
      <w:marBottom w:val="0"/>
      <w:divBdr>
        <w:top w:val="none" w:sz="0" w:space="0" w:color="auto"/>
        <w:left w:val="none" w:sz="0" w:space="0" w:color="auto"/>
        <w:bottom w:val="none" w:sz="0" w:space="0" w:color="auto"/>
        <w:right w:val="none" w:sz="0" w:space="0" w:color="auto"/>
      </w:divBdr>
    </w:div>
    <w:div w:id="60951745">
      <w:marLeft w:val="0"/>
      <w:marRight w:val="0"/>
      <w:marTop w:val="0"/>
      <w:marBottom w:val="200"/>
      <w:divBdr>
        <w:top w:val="none" w:sz="0" w:space="0" w:color="auto"/>
        <w:left w:val="none" w:sz="0" w:space="0" w:color="auto"/>
        <w:bottom w:val="none" w:sz="0" w:space="0" w:color="auto"/>
        <w:right w:val="none" w:sz="0" w:space="0" w:color="auto"/>
      </w:divBdr>
    </w:div>
    <w:div w:id="61830350">
      <w:marLeft w:val="0"/>
      <w:marRight w:val="0"/>
      <w:marTop w:val="0"/>
      <w:marBottom w:val="0"/>
      <w:divBdr>
        <w:top w:val="none" w:sz="0" w:space="0" w:color="auto"/>
        <w:left w:val="none" w:sz="0" w:space="0" w:color="auto"/>
        <w:bottom w:val="none" w:sz="0" w:space="0" w:color="auto"/>
        <w:right w:val="none" w:sz="0" w:space="0" w:color="auto"/>
      </w:divBdr>
      <w:divsChild>
        <w:div w:id="2014139458">
          <w:marLeft w:val="0"/>
          <w:marRight w:val="0"/>
          <w:marTop w:val="0"/>
          <w:marBottom w:val="0"/>
          <w:divBdr>
            <w:top w:val="none" w:sz="0" w:space="0" w:color="auto"/>
            <w:left w:val="none" w:sz="0" w:space="0" w:color="auto"/>
            <w:bottom w:val="none" w:sz="0" w:space="0" w:color="auto"/>
            <w:right w:val="none" w:sz="0" w:space="0" w:color="auto"/>
          </w:divBdr>
        </w:div>
      </w:divsChild>
    </w:div>
    <w:div w:id="79496914">
      <w:marLeft w:val="0"/>
      <w:marRight w:val="0"/>
      <w:marTop w:val="100"/>
      <w:marBottom w:val="60"/>
      <w:divBdr>
        <w:top w:val="none" w:sz="0" w:space="0" w:color="auto"/>
        <w:left w:val="none" w:sz="0" w:space="0" w:color="auto"/>
        <w:bottom w:val="none" w:sz="0" w:space="0" w:color="auto"/>
        <w:right w:val="none" w:sz="0" w:space="0" w:color="auto"/>
      </w:divBdr>
    </w:div>
    <w:div w:id="85083228">
      <w:marLeft w:val="0"/>
      <w:marRight w:val="0"/>
      <w:marTop w:val="0"/>
      <w:marBottom w:val="200"/>
      <w:divBdr>
        <w:top w:val="none" w:sz="0" w:space="0" w:color="auto"/>
        <w:left w:val="none" w:sz="0" w:space="0" w:color="auto"/>
        <w:bottom w:val="none" w:sz="0" w:space="0" w:color="auto"/>
        <w:right w:val="none" w:sz="0" w:space="0" w:color="auto"/>
      </w:divBdr>
    </w:div>
    <w:div w:id="103692596">
      <w:marLeft w:val="0"/>
      <w:marRight w:val="0"/>
      <w:marTop w:val="100"/>
      <w:marBottom w:val="0"/>
      <w:divBdr>
        <w:top w:val="none" w:sz="0" w:space="0" w:color="auto"/>
        <w:left w:val="none" w:sz="0" w:space="0" w:color="auto"/>
        <w:bottom w:val="none" w:sz="0" w:space="0" w:color="auto"/>
        <w:right w:val="none" w:sz="0" w:space="0" w:color="auto"/>
      </w:divBdr>
    </w:div>
    <w:div w:id="107235635">
      <w:marLeft w:val="0"/>
      <w:marRight w:val="0"/>
      <w:marTop w:val="0"/>
      <w:marBottom w:val="0"/>
      <w:divBdr>
        <w:top w:val="none" w:sz="0" w:space="0" w:color="auto"/>
        <w:left w:val="none" w:sz="0" w:space="0" w:color="auto"/>
        <w:bottom w:val="none" w:sz="0" w:space="0" w:color="auto"/>
        <w:right w:val="none" w:sz="0" w:space="0" w:color="auto"/>
      </w:divBdr>
      <w:divsChild>
        <w:div w:id="2053922532">
          <w:marLeft w:val="0"/>
          <w:marRight w:val="0"/>
          <w:marTop w:val="0"/>
          <w:marBottom w:val="0"/>
          <w:divBdr>
            <w:top w:val="none" w:sz="0" w:space="0" w:color="auto"/>
            <w:left w:val="none" w:sz="0" w:space="0" w:color="auto"/>
            <w:bottom w:val="none" w:sz="0" w:space="0" w:color="auto"/>
            <w:right w:val="none" w:sz="0" w:space="0" w:color="auto"/>
          </w:divBdr>
        </w:div>
      </w:divsChild>
    </w:div>
    <w:div w:id="109707598">
      <w:marLeft w:val="0"/>
      <w:marRight w:val="0"/>
      <w:marTop w:val="0"/>
      <w:marBottom w:val="200"/>
      <w:divBdr>
        <w:top w:val="none" w:sz="0" w:space="0" w:color="auto"/>
        <w:left w:val="none" w:sz="0" w:space="0" w:color="auto"/>
        <w:bottom w:val="none" w:sz="0" w:space="0" w:color="auto"/>
        <w:right w:val="none" w:sz="0" w:space="0" w:color="auto"/>
      </w:divBdr>
    </w:div>
    <w:div w:id="118957740">
      <w:marLeft w:val="0"/>
      <w:marRight w:val="0"/>
      <w:marTop w:val="0"/>
      <w:marBottom w:val="0"/>
      <w:divBdr>
        <w:top w:val="none" w:sz="0" w:space="0" w:color="auto"/>
        <w:left w:val="none" w:sz="0" w:space="0" w:color="auto"/>
        <w:bottom w:val="none" w:sz="0" w:space="0" w:color="auto"/>
        <w:right w:val="none" w:sz="0" w:space="0" w:color="auto"/>
      </w:divBdr>
      <w:divsChild>
        <w:div w:id="536285092">
          <w:marLeft w:val="0"/>
          <w:marRight w:val="0"/>
          <w:marTop w:val="0"/>
          <w:marBottom w:val="0"/>
          <w:divBdr>
            <w:top w:val="none" w:sz="0" w:space="0" w:color="auto"/>
            <w:left w:val="none" w:sz="0" w:space="0" w:color="auto"/>
            <w:bottom w:val="none" w:sz="0" w:space="0" w:color="auto"/>
            <w:right w:val="none" w:sz="0" w:space="0" w:color="auto"/>
          </w:divBdr>
        </w:div>
      </w:divsChild>
    </w:div>
    <w:div w:id="122358653">
      <w:marLeft w:val="0"/>
      <w:marRight w:val="0"/>
      <w:marTop w:val="120"/>
      <w:marBottom w:val="0"/>
      <w:divBdr>
        <w:top w:val="none" w:sz="0" w:space="0" w:color="auto"/>
        <w:left w:val="none" w:sz="0" w:space="0" w:color="auto"/>
        <w:bottom w:val="none" w:sz="0" w:space="0" w:color="auto"/>
        <w:right w:val="none" w:sz="0" w:space="0" w:color="auto"/>
      </w:divBdr>
    </w:div>
    <w:div w:id="126557447">
      <w:marLeft w:val="0"/>
      <w:marRight w:val="0"/>
      <w:marTop w:val="200"/>
      <w:marBottom w:val="0"/>
      <w:divBdr>
        <w:top w:val="none" w:sz="0" w:space="0" w:color="auto"/>
        <w:left w:val="none" w:sz="0" w:space="0" w:color="auto"/>
        <w:bottom w:val="none" w:sz="0" w:space="0" w:color="auto"/>
        <w:right w:val="none" w:sz="0" w:space="0" w:color="auto"/>
      </w:divBdr>
    </w:div>
    <w:div w:id="130482666">
      <w:marLeft w:val="0"/>
      <w:marRight w:val="0"/>
      <w:marTop w:val="0"/>
      <w:marBottom w:val="200"/>
      <w:divBdr>
        <w:top w:val="none" w:sz="0" w:space="0" w:color="auto"/>
        <w:left w:val="none" w:sz="0" w:space="0" w:color="auto"/>
        <w:bottom w:val="none" w:sz="0" w:space="0" w:color="auto"/>
        <w:right w:val="none" w:sz="0" w:space="0" w:color="auto"/>
      </w:divBdr>
    </w:div>
    <w:div w:id="137496562">
      <w:marLeft w:val="0"/>
      <w:marRight w:val="0"/>
      <w:marTop w:val="0"/>
      <w:marBottom w:val="0"/>
      <w:divBdr>
        <w:top w:val="none" w:sz="0" w:space="0" w:color="auto"/>
        <w:left w:val="none" w:sz="0" w:space="0" w:color="auto"/>
        <w:bottom w:val="none" w:sz="0" w:space="0" w:color="auto"/>
        <w:right w:val="none" w:sz="0" w:space="0" w:color="auto"/>
      </w:divBdr>
      <w:divsChild>
        <w:div w:id="1010914674">
          <w:marLeft w:val="0"/>
          <w:marRight w:val="0"/>
          <w:marTop w:val="0"/>
          <w:marBottom w:val="0"/>
          <w:divBdr>
            <w:top w:val="none" w:sz="0" w:space="0" w:color="auto"/>
            <w:left w:val="none" w:sz="0" w:space="0" w:color="auto"/>
            <w:bottom w:val="none" w:sz="0" w:space="0" w:color="auto"/>
            <w:right w:val="none" w:sz="0" w:space="0" w:color="auto"/>
          </w:divBdr>
        </w:div>
      </w:divsChild>
    </w:div>
    <w:div w:id="138958260">
      <w:marLeft w:val="0"/>
      <w:marRight w:val="0"/>
      <w:marTop w:val="0"/>
      <w:marBottom w:val="200"/>
      <w:divBdr>
        <w:top w:val="none" w:sz="0" w:space="0" w:color="auto"/>
        <w:left w:val="none" w:sz="0" w:space="0" w:color="auto"/>
        <w:bottom w:val="none" w:sz="0" w:space="0" w:color="auto"/>
        <w:right w:val="none" w:sz="0" w:space="0" w:color="auto"/>
      </w:divBdr>
    </w:div>
    <w:div w:id="138958943">
      <w:marLeft w:val="0"/>
      <w:marRight w:val="0"/>
      <w:marTop w:val="0"/>
      <w:marBottom w:val="200"/>
      <w:divBdr>
        <w:top w:val="none" w:sz="0" w:space="0" w:color="auto"/>
        <w:left w:val="none" w:sz="0" w:space="0" w:color="auto"/>
        <w:bottom w:val="none" w:sz="0" w:space="0" w:color="auto"/>
        <w:right w:val="none" w:sz="0" w:space="0" w:color="auto"/>
      </w:divBdr>
    </w:div>
    <w:div w:id="141889338">
      <w:marLeft w:val="0"/>
      <w:marRight w:val="0"/>
      <w:marTop w:val="0"/>
      <w:marBottom w:val="200"/>
      <w:divBdr>
        <w:top w:val="none" w:sz="0" w:space="0" w:color="auto"/>
        <w:left w:val="none" w:sz="0" w:space="0" w:color="auto"/>
        <w:bottom w:val="none" w:sz="0" w:space="0" w:color="auto"/>
        <w:right w:val="none" w:sz="0" w:space="0" w:color="auto"/>
      </w:divBdr>
    </w:div>
    <w:div w:id="143472669">
      <w:marLeft w:val="0"/>
      <w:marRight w:val="0"/>
      <w:marTop w:val="0"/>
      <w:marBottom w:val="0"/>
      <w:divBdr>
        <w:top w:val="none" w:sz="0" w:space="0" w:color="auto"/>
        <w:left w:val="none" w:sz="0" w:space="0" w:color="auto"/>
        <w:bottom w:val="none" w:sz="0" w:space="0" w:color="auto"/>
        <w:right w:val="none" w:sz="0" w:space="0" w:color="auto"/>
      </w:divBdr>
    </w:div>
    <w:div w:id="147094238">
      <w:marLeft w:val="0"/>
      <w:marRight w:val="0"/>
      <w:marTop w:val="0"/>
      <w:marBottom w:val="0"/>
      <w:divBdr>
        <w:top w:val="none" w:sz="0" w:space="0" w:color="auto"/>
        <w:left w:val="none" w:sz="0" w:space="0" w:color="auto"/>
        <w:bottom w:val="none" w:sz="0" w:space="0" w:color="auto"/>
        <w:right w:val="none" w:sz="0" w:space="0" w:color="auto"/>
      </w:divBdr>
      <w:divsChild>
        <w:div w:id="1329752045">
          <w:marLeft w:val="0"/>
          <w:marRight w:val="0"/>
          <w:marTop w:val="0"/>
          <w:marBottom w:val="0"/>
          <w:divBdr>
            <w:top w:val="none" w:sz="0" w:space="0" w:color="auto"/>
            <w:left w:val="none" w:sz="0" w:space="0" w:color="auto"/>
            <w:bottom w:val="none" w:sz="0" w:space="0" w:color="auto"/>
            <w:right w:val="none" w:sz="0" w:space="0" w:color="auto"/>
          </w:divBdr>
        </w:div>
      </w:divsChild>
    </w:div>
    <w:div w:id="148715403">
      <w:marLeft w:val="0"/>
      <w:marRight w:val="0"/>
      <w:marTop w:val="0"/>
      <w:marBottom w:val="0"/>
      <w:divBdr>
        <w:top w:val="none" w:sz="0" w:space="0" w:color="auto"/>
        <w:left w:val="none" w:sz="0" w:space="0" w:color="auto"/>
        <w:bottom w:val="none" w:sz="0" w:space="0" w:color="auto"/>
        <w:right w:val="none" w:sz="0" w:space="0" w:color="auto"/>
      </w:divBdr>
      <w:divsChild>
        <w:div w:id="1992825557">
          <w:marLeft w:val="0"/>
          <w:marRight w:val="0"/>
          <w:marTop w:val="0"/>
          <w:marBottom w:val="0"/>
          <w:divBdr>
            <w:top w:val="none" w:sz="0" w:space="0" w:color="auto"/>
            <w:left w:val="none" w:sz="0" w:space="0" w:color="auto"/>
            <w:bottom w:val="none" w:sz="0" w:space="0" w:color="auto"/>
            <w:right w:val="none" w:sz="0" w:space="0" w:color="auto"/>
          </w:divBdr>
        </w:div>
        <w:div w:id="2011563652">
          <w:marLeft w:val="0"/>
          <w:marRight w:val="0"/>
          <w:marTop w:val="0"/>
          <w:marBottom w:val="0"/>
          <w:divBdr>
            <w:top w:val="none" w:sz="0" w:space="0" w:color="auto"/>
            <w:left w:val="none" w:sz="0" w:space="0" w:color="auto"/>
            <w:bottom w:val="none" w:sz="0" w:space="0" w:color="auto"/>
            <w:right w:val="none" w:sz="0" w:space="0" w:color="auto"/>
          </w:divBdr>
        </w:div>
      </w:divsChild>
    </w:div>
    <w:div w:id="148719838">
      <w:marLeft w:val="0"/>
      <w:marRight w:val="0"/>
      <w:marTop w:val="0"/>
      <w:marBottom w:val="200"/>
      <w:divBdr>
        <w:top w:val="none" w:sz="0" w:space="0" w:color="auto"/>
        <w:left w:val="none" w:sz="0" w:space="0" w:color="auto"/>
        <w:bottom w:val="none" w:sz="0" w:space="0" w:color="auto"/>
        <w:right w:val="none" w:sz="0" w:space="0" w:color="auto"/>
      </w:divBdr>
    </w:div>
    <w:div w:id="155727168">
      <w:marLeft w:val="0"/>
      <w:marRight w:val="0"/>
      <w:marTop w:val="0"/>
      <w:marBottom w:val="0"/>
      <w:divBdr>
        <w:top w:val="none" w:sz="0" w:space="0" w:color="auto"/>
        <w:left w:val="none" w:sz="0" w:space="0" w:color="auto"/>
        <w:bottom w:val="none" w:sz="0" w:space="0" w:color="auto"/>
        <w:right w:val="none" w:sz="0" w:space="0" w:color="auto"/>
      </w:divBdr>
      <w:divsChild>
        <w:div w:id="2054500073">
          <w:marLeft w:val="0"/>
          <w:marRight w:val="0"/>
          <w:marTop w:val="0"/>
          <w:marBottom w:val="0"/>
          <w:divBdr>
            <w:top w:val="none" w:sz="0" w:space="0" w:color="auto"/>
            <w:left w:val="none" w:sz="0" w:space="0" w:color="auto"/>
            <w:bottom w:val="none" w:sz="0" w:space="0" w:color="auto"/>
            <w:right w:val="none" w:sz="0" w:space="0" w:color="auto"/>
          </w:divBdr>
        </w:div>
        <w:div w:id="974680506">
          <w:marLeft w:val="0"/>
          <w:marRight w:val="0"/>
          <w:marTop w:val="180"/>
          <w:marBottom w:val="0"/>
          <w:divBdr>
            <w:top w:val="none" w:sz="0" w:space="0" w:color="auto"/>
            <w:left w:val="none" w:sz="0" w:space="0" w:color="auto"/>
            <w:bottom w:val="none" w:sz="0" w:space="0" w:color="auto"/>
            <w:right w:val="none" w:sz="0" w:space="0" w:color="auto"/>
          </w:divBdr>
        </w:div>
      </w:divsChild>
    </w:div>
    <w:div w:id="167449773">
      <w:marLeft w:val="0"/>
      <w:marRight w:val="0"/>
      <w:marTop w:val="100"/>
      <w:marBottom w:val="0"/>
      <w:divBdr>
        <w:top w:val="none" w:sz="0" w:space="0" w:color="auto"/>
        <w:left w:val="none" w:sz="0" w:space="0" w:color="auto"/>
        <w:bottom w:val="none" w:sz="0" w:space="0" w:color="auto"/>
        <w:right w:val="none" w:sz="0" w:space="0" w:color="auto"/>
      </w:divBdr>
    </w:div>
    <w:div w:id="168302104">
      <w:marLeft w:val="0"/>
      <w:marRight w:val="0"/>
      <w:marTop w:val="0"/>
      <w:marBottom w:val="0"/>
      <w:divBdr>
        <w:top w:val="none" w:sz="0" w:space="0" w:color="auto"/>
        <w:left w:val="none" w:sz="0" w:space="0" w:color="auto"/>
        <w:bottom w:val="none" w:sz="0" w:space="0" w:color="auto"/>
        <w:right w:val="none" w:sz="0" w:space="0" w:color="auto"/>
      </w:divBdr>
      <w:divsChild>
        <w:div w:id="1009599780">
          <w:marLeft w:val="0"/>
          <w:marRight w:val="0"/>
          <w:marTop w:val="0"/>
          <w:marBottom w:val="0"/>
          <w:divBdr>
            <w:top w:val="none" w:sz="0" w:space="0" w:color="auto"/>
            <w:left w:val="none" w:sz="0" w:space="0" w:color="auto"/>
            <w:bottom w:val="none" w:sz="0" w:space="0" w:color="auto"/>
            <w:right w:val="none" w:sz="0" w:space="0" w:color="auto"/>
          </w:divBdr>
        </w:div>
      </w:divsChild>
    </w:div>
    <w:div w:id="185826292">
      <w:marLeft w:val="0"/>
      <w:marRight w:val="0"/>
      <w:marTop w:val="20"/>
      <w:marBottom w:val="0"/>
      <w:divBdr>
        <w:top w:val="none" w:sz="0" w:space="0" w:color="auto"/>
        <w:left w:val="none" w:sz="0" w:space="0" w:color="auto"/>
        <w:bottom w:val="none" w:sz="0" w:space="0" w:color="auto"/>
        <w:right w:val="none" w:sz="0" w:space="0" w:color="auto"/>
      </w:divBdr>
    </w:div>
    <w:div w:id="189490822">
      <w:marLeft w:val="0"/>
      <w:marRight w:val="0"/>
      <w:marTop w:val="0"/>
      <w:marBottom w:val="0"/>
      <w:divBdr>
        <w:top w:val="none" w:sz="0" w:space="0" w:color="auto"/>
        <w:left w:val="none" w:sz="0" w:space="0" w:color="auto"/>
        <w:bottom w:val="none" w:sz="0" w:space="0" w:color="auto"/>
        <w:right w:val="none" w:sz="0" w:space="0" w:color="auto"/>
      </w:divBdr>
    </w:div>
    <w:div w:id="191693001">
      <w:marLeft w:val="0"/>
      <w:marRight w:val="0"/>
      <w:marTop w:val="0"/>
      <w:marBottom w:val="200"/>
      <w:divBdr>
        <w:top w:val="none" w:sz="0" w:space="0" w:color="auto"/>
        <w:left w:val="none" w:sz="0" w:space="0" w:color="auto"/>
        <w:bottom w:val="none" w:sz="0" w:space="0" w:color="auto"/>
        <w:right w:val="none" w:sz="0" w:space="0" w:color="auto"/>
      </w:divBdr>
    </w:div>
    <w:div w:id="197083661">
      <w:marLeft w:val="0"/>
      <w:marRight w:val="0"/>
      <w:marTop w:val="0"/>
      <w:marBottom w:val="0"/>
      <w:divBdr>
        <w:top w:val="none" w:sz="0" w:space="0" w:color="auto"/>
        <w:left w:val="none" w:sz="0" w:space="0" w:color="auto"/>
        <w:bottom w:val="none" w:sz="0" w:space="0" w:color="auto"/>
        <w:right w:val="none" w:sz="0" w:space="0" w:color="auto"/>
      </w:divBdr>
      <w:divsChild>
        <w:div w:id="1228690491">
          <w:marLeft w:val="0"/>
          <w:marRight w:val="0"/>
          <w:marTop w:val="0"/>
          <w:marBottom w:val="0"/>
          <w:divBdr>
            <w:top w:val="none" w:sz="0" w:space="0" w:color="auto"/>
            <w:left w:val="none" w:sz="0" w:space="0" w:color="auto"/>
            <w:bottom w:val="none" w:sz="0" w:space="0" w:color="auto"/>
            <w:right w:val="none" w:sz="0" w:space="0" w:color="auto"/>
          </w:divBdr>
        </w:div>
      </w:divsChild>
    </w:div>
    <w:div w:id="199979810">
      <w:marLeft w:val="0"/>
      <w:marRight w:val="0"/>
      <w:marTop w:val="0"/>
      <w:marBottom w:val="0"/>
      <w:divBdr>
        <w:top w:val="none" w:sz="0" w:space="0" w:color="auto"/>
        <w:left w:val="none" w:sz="0" w:space="0" w:color="auto"/>
        <w:bottom w:val="none" w:sz="0" w:space="0" w:color="auto"/>
        <w:right w:val="none" w:sz="0" w:space="0" w:color="auto"/>
      </w:divBdr>
    </w:div>
    <w:div w:id="200672015">
      <w:marLeft w:val="0"/>
      <w:marRight w:val="0"/>
      <w:marTop w:val="100"/>
      <w:marBottom w:val="60"/>
      <w:divBdr>
        <w:top w:val="none" w:sz="0" w:space="0" w:color="auto"/>
        <w:left w:val="none" w:sz="0" w:space="0" w:color="auto"/>
        <w:bottom w:val="none" w:sz="0" w:space="0" w:color="auto"/>
        <w:right w:val="none" w:sz="0" w:space="0" w:color="auto"/>
      </w:divBdr>
    </w:div>
    <w:div w:id="200674211">
      <w:marLeft w:val="0"/>
      <w:marRight w:val="0"/>
      <w:marTop w:val="0"/>
      <w:marBottom w:val="200"/>
      <w:divBdr>
        <w:top w:val="none" w:sz="0" w:space="0" w:color="auto"/>
        <w:left w:val="none" w:sz="0" w:space="0" w:color="auto"/>
        <w:bottom w:val="none" w:sz="0" w:space="0" w:color="auto"/>
        <w:right w:val="none" w:sz="0" w:space="0" w:color="auto"/>
      </w:divBdr>
    </w:div>
    <w:div w:id="203834705">
      <w:marLeft w:val="0"/>
      <w:marRight w:val="0"/>
      <w:marTop w:val="0"/>
      <w:marBottom w:val="0"/>
      <w:divBdr>
        <w:top w:val="none" w:sz="0" w:space="0" w:color="auto"/>
        <w:left w:val="none" w:sz="0" w:space="0" w:color="auto"/>
        <w:bottom w:val="none" w:sz="0" w:space="0" w:color="auto"/>
        <w:right w:val="none" w:sz="0" w:space="0" w:color="auto"/>
      </w:divBdr>
      <w:divsChild>
        <w:div w:id="523637852">
          <w:marLeft w:val="0"/>
          <w:marRight w:val="0"/>
          <w:marTop w:val="0"/>
          <w:marBottom w:val="0"/>
          <w:divBdr>
            <w:top w:val="none" w:sz="0" w:space="0" w:color="auto"/>
            <w:left w:val="none" w:sz="0" w:space="0" w:color="auto"/>
            <w:bottom w:val="none" w:sz="0" w:space="0" w:color="auto"/>
            <w:right w:val="none" w:sz="0" w:space="0" w:color="auto"/>
          </w:divBdr>
        </w:div>
      </w:divsChild>
    </w:div>
    <w:div w:id="206526722">
      <w:marLeft w:val="0"/>
      <w:marRight w:val="0"/>
      <w:marTop w:val="0"/>
      <w:marBottom w:val="0"/>
      <w:divBdr>
        <w:top w:val="none" w:sz="0" w:space="0" w:color="auto"/>
        <w:left w:val="none" w:sz="0" w:space="0" w:color="auto"/>
        <w:bottom w:val="none" w:sz="0" w:space="0" w:color="auto"/>
        <w:right w:val="none" w:sz="0" w:space="0" w:color="auto"/>
      </w:divBdr>
    </w:div>
    <w:div w:id="207226899">
      <w:marLeft w:val="0"/>
      <w:marRight w:val="0"/>
      <w:marTop w:val="0"/>
      <w:marBottom w:val="0"/>
      <w:divBdr>
        <w:top w:val="none" w:sz="0" w:space="0" w:color="auto"/>
        <w:left w:val="none" w:sz="0" w:space="0" w:color="auto"/>
        <w:bottom w:val="none" w:sz="0" w:space="0" w:color="auto"/>
        <w:right w:val="none" w:sz="0" w:space="0" w:color="auto"/>
      </w:divBdr>
      <w:divsChild>
        <w:div w:id="1366372986">
          <w:marLeft w:val="0"/>
          <w:marRight w:val="0"/>
          <w:marTop w:val="0"/>
          <w:marBottom w:val="0"/>
          <w:divBdr>
            <w:top w:val="none" w:sz="0" w:space="0" w:color="auto"/>
            <w:left w:val="none" w:sz="0" w:space="0" w:color="auto"/>
            <w:bottom w:val="none" w:sz="0" w:space="0" w:color="auto"/>
            <w:right w:val="none" w:sz="0" w:space="0" w:color="auto"/>
          </w:divBdr>
          <w:divsChild>
            <w:div w:id="75146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00611">
      <w:marLeft w:val="0"/>
      <w:marRight w:val="0"/>
      <w:marTop w:val="0"/>
      <w:marBottom w:val="0"/>
      <w:divBdr>
        <w:top w:val="none" w:sz="0" w:space="0" w:color="auto"/>
        <w:left w:val="none" w:sz="0" w:space="0" w:color="auto"/>
        <w:bottom w:val="none" w:sz="0" w:space="0" w:color="auto"/>
        <w:right w:val="none" w:sz="0" w:space="0" w:color="auto"/>
      </w:divBdr>
      <w:divsChild>
        <w:div w:id="1357805747">
          <w:marLeft w:val="0"/>
          <w:marRight w:val="0"/>
          <w:marTop w:val="0"/>
          <w:marBottom w:val="0"/>
          <w:divBdr>
            <w:top w:val="none" w:sz="0" w:space="0" w:color="auto"/>
            <w:left w:val="none" w:sz="0" w:space="0" w:color="auto"/>
            <w:bottom w:val="none" w:sz="0" w:space="0" w:color="auto"/>
            <w:right w:val="none" w:sz="0" w:space="0" w:color="auto"/>
          </w:divBdr>
        </w:div>
      </w:divsChild>
    </w:div>
    <w:div w:id="215167770">
      <w:marLeft w:val="0"/>
      <w:marRight w:val="0"/>
      <w:marTop w:val="0"/>
      <w:marBottom w:val="60"/>
      <w:divBdr>
        <w:top w:val="none" w:sz="0" w:space="0" w:color="auto"/>
        <w:left w:val="none" w:sz="0" w:space="0" w:color="auto"/>
        <w:bottom w:val="none" w:sz="0" w:space="0" w:color="auto"/>
        <w:right w:val="none" w:sz="0" w:space="0" w:color="auto"/>
      </w:divBdr>
    </w:div>
    <w:div w:id="217133226">
      <w:marLeft w:val="0"/>
      <w:marRight w:val="0"/>
      <w:marTop w:val="0"/>
      <w:marBottom w:val="0"/>
      <w:divBdr>
        <w:top w:val="none" w:sz="0" w:space="0" w:color="auto"/>
        <w:left w:val="none" w:sz="0" w:space="0" w:color="auto"/>
        <w:bottom w:val="none" w:sz="0" w:space="0" w:color="auto"/>
        <w:right w:val="none" w:sz="0" w:space="0" w:color="auto"/>
      </w:divBdr>
      <w:divsChild>
        <w:div w:id="999234122">
          <w:marLeft w:val="0"/>
          <w:marRight w:val="0"/>
          <w:marTop w:val="0"/>
          <w:marBottom w:val="0"/>
          <w:divBdr>
            <w:top w:val="none" w:sz="0" w:space="0" w:color="auto"/>
            <w:left w:val="none" w:sz="0" w:space="0" w:color="auto"/>
            <w:bottom w:val="none" w:sz="0" w:space="0" w:color="auto"/>
            <w:right w:val="none" w:sz="0" w:space="0" w:color="auto"/>
          </w:divBdr>
        </w:div>
      </w:divsChild>
    </w:div>
    <w:div w:id="224872726">
      <w:marLeft w:val="0"/>
      <w:marRight w:val="0"/>
      <w:marTop w:val="0"/>
      <w:marBottom w:val="0"/>
      <w:divBdr>
        <w:top w:val="none" w:sz="0" w:space="0" w:color="auto"/>
        <w:left w:val="none" w:sz="0" w:space="0" w:color="auto"/>
        <w:bottom w:val="none" w:sz="0" w:space="0" w:color="auto"/>
        <w:right w:val="none" w:sz="0" w:space="0" w:color="auto"/>
      </w:divBdr>
    </w:div>
    <w:div w:id="246118150">
      <w:marLeft w:val="0"/>
      <w:marRight w:val="0"/>
      <w:marTop w:val="0"/>
      <w:marBottom w:val="200"/>
      <w:divBdr>
        <w:top w:val="none" w:sz="0" w:space="0" w:color="auto"/>
        <w:left w:val="none" w:sz="0" w:space="0" w:color="auto"/>
        <w:bottom w:val="none" w:sz="0" w:space="0" w:color="auto"/>
        <w:right w:val="none" w:sz="0" w:space="0" w:color="auto"/>
      </w:divBdr>
    </w:div>
    <w:div w:id="247346125">
      <w:marLeft w:val="0"/>
      <w:marRight w:val="0"/>
      <w:marTop w:val="0"/>
      <w:marBottom w:val="200"/>
      <w:divBdr>
        <w:top w:val="none" w:sz="0" w:space="0" w:color="auto"/>
        <w:left w:val="none" w:sz="0" w:space="0" w:color="auto"/>
        <w:bottom w:val="none" w:sz="0" w:space="0" w:color="auto"/>
        <w:right w:val="none" w:sz="0" w:space="0" w:color="auto"/>
      </w:divBdr>
    </w:div>
    <w:div w:id="253250052">
      <w:marLeft w:val="0"/>
      <w:marRight w:val="0"/>
      <w:marTop w:val="0"/>
      <w:marBottom w:val="200"/>
      <w:divBdr>
        <w:top w:val="none" w:sz="0" w:space="0" w:color="auto"/>
        <w:left w:val="none" w:sz="0" w:space="0" w:color="auto"/>
        <w:bottom w:val="none" w:sz="0" w:space="0" w:color="auto"/>
        <w:right w:val="none" w:sz="0" w:space="0" w:color="auto"/>
      </w:divBdr>
    </w:div>
    <w:div w:id="258104486">
      <w:marLeft w:val="0"/>
      <w:marRight w:val="0"/>
      <w:marTop w:val="0"/>
      <w:marBottom w:val="200"/>
      <w:divBdr>
        <w:top w:val="none" w:sz="0" w:space="0" w:color="auto"/>
        <w:left w:val="none" w:sz="0" w:space="0" w:color="auto"/>
        <w:bottom w:val="none" w:sz="0" w:space="0" w:color="auto"/>
        <w:right w:val="none" w:sz="0" w:space="0" w:color="auto"/>
      </w:divBdr>
    </w:div>
    <w:div w:id="258219855">
      <w:marLeft w:val="0"/>
      <w:marRight w:val="0"/>
      <w:marTop w:val="0"/>
      <w:marBottom w:val="0"/>
      <w:divBdr>
        <w:top w:val="none" w:sz="0" w:space="0" w:color="auto"/>
        <w:left w:val="none" w:sz="0" w:space="0" w:color="auto"/>
        <w:bottom w:val="none" w:sz="0" w:space="0" w:color="auto"/>
        <w:right w:val="none" w:sz="0" w:space="0" w:color="auto"/>
      </w:divBdr>
    </w:div>
    <w:div w:id="258761173">
      <w:marLeft w:val="0"/>
      <w:marRight w:val="0"/>
      <w:marTop w:val="0"/>
      <w:marBottom w:val="200"/>
      <w:divBdr>
        <w:top w:val="none" w:sz="0" w:space="0" w:color="auto"/>
        <w:left w:val="none" w:sz="0" w:space="0" w:color="auto"/>
        <w:bottom w:val="none" w:sz="0" w:space="0" w:color="auto"/>
        <w:right w:val="none" w:sz="0" w:space="0" w:color="auto"/>
      </w:divBdr>
    </w:div>
    <w:div w:id="267852270">
      <w:marLeft w:val="0"/>
      <w:marRight w:val="0"/>
      <w:marTop w:val="100"/>
      <w:marBottom w:val="60"/>
      <w:divBdr>
        <w:top w:val="none" w:sz="0" w:space="0" w:color="auto"/>
        <w:left w:val="none" w:sz="0" w:space="0" w:color="auto"/>
        <w:bottom w:val="none" w:sz="0" w:space="0" w:color="auto"/>
        <w:right w:val="none" w:sz="0" w:space="0" w:color="auto"/>
      </w:divBdr>
    </w:div>
    <w:div w:id="270094435">
      <w:marLeft w:val="0"/>
      <w:marRight w:val="0"/>
      <w:marTop w:val="100"/>
      <w:marBottom w:val="0"/>
      <w:divBdr>
        <w:top w:val="none" w:sz="0" w:space="0" w:color="auto"/>
        <w:left w:val="none" w:sz="0" w:space="0" w:color="auto"/>
        <w:bottom w:val="none" w:sz="0" w:space="0" w:color="auto"/>
        <w:right w:val="none" w:sz="0" w:space="0" w:color="auto"/>
      </w:divBdr>
    </w:div>
    <w:div w:id="272441321">
      <w:marLeft w:val="0"/>
      <w:marRight w:val="0"/>
      <w:marTop w:val="0"/>
      <w:marBottom w:val="0"/>
      <w:divBdr>
        <w:top w:val="none" w:sz="0" w:space="0" w:color="auto"/>
        <w:left w:val="none" w:sz="0" w:space="0" w:color="auto"/>
        <w:bottom w:val="none" w:sz="0" w:space="0" w:color="auto"/>
        <w:right w:val="none" w:sz="0" w:space="0" w:color="auto"/>
      </w:divBdr>
      <w:divsChild>
        <w:div w:id="533738845">
          <w:marLeft w:val="0"/>
          <w:marRight w:val="0"/>
          <w:marTop w:val="0"/>
          <w:marBottom w:val="0"/>
          <w:divBdr>
            <w:top w:val="none" w:sz="0" w:space="0" w:color="auto"/>
            <w:left w:val="none" w:sz="0" w:space="0" w:color="auto"/>
            <w:bottom w:val="none" w:sz="0" w:space="0" w:color="auto"/>
            <w:right w:val="none" w:sz="0" w:space="0" w:color="auto"/>
          </w:divBdr>
        </w:div>
        <w:div w:id="1167287113">
          <w:marLeft w:val="0"/>
          <w:marRight w:val="0"/>
          <w:marTop w:val="180"/>
          <w:marBottom w:val="0"/>
          <w:divBdr>
            <w:top w:val="none" w:sz="0" w:space="0" w:color="auto"/>
            <w:left w:val="none" w:sz="0" w:space="0" w:color="auto"/>
            <w:bottom w:val="none" w:sz="0" w:space="0" w:color="auto"/>
            <w:right w:val="none" w:sz="0" w:space="0" w:color="auto"/>
          </w:divBdr>
        </w:div>
      </w:divsChild>
    </w:div>
    <w:div w:id="273710026">
      <w:marLeft w:val="0"/>
      <w:marRight w:val="0"/>
      <w:marTop w:val="100"/>
      <w:marBottom w:val="0"/>
      <w:divBdr>
        <w:top w:val="none" w:sz="0" w:space="0" w:color="auto"/>
        <w:left w:val="none" w:sz="0" w:space="0" w:color="auto"/>
        <w:bottom w:val="none" w:sz="0" w:space="0" w:color="auto"/>
        <w:right w:val="none" w:sz="0" w:space="0" w:color="auto"/>
      </w:divBdr>
    </w:div>
    <w:div w:id="278073055">
      <w:marLeft w:val="0"/>
      <w:marRight w:val="0"/>
      <w:marTop w:val="100"/>
      <w:marBottom w:val="60"/>
      <w:divBdr>
        <w:top w:val="none" w:sz="0" w:space="0" w:color="auto"/>
        <w:left w:val="none" w:sz="0" w:space="0" w:color="auto"/>
        <w:bottom w:val="none" w:sz="0" w:space="0" w:color="auto"/>
        <w:right w:val="none" w:sz="0" w:space="0" w:color="auto"/>
      </w:divBdr>
    </w:div>
    <w:div w:id="283199759">
      <w:marLeft w:val="0"/>
      <w:marRight w:val="0"/>
      <w:marTop w:val="200"/>
      <w:marBottom w:val="0"/>
      <w:divBdr>
        <w:top w:val="none" w:sz="0" w:space="0" w:color="auto"/>
        <w:left w:val="none" w:sz="0" w:space="0" w:color="auto"/>
        <w:bottom w:val="none" w:sz="0" w:space="0" w:color="auto"/>
        <w:right w:val="none" w:sz="0" w:space="0" w:color="auto"/>
      </w:divBdr>
    </w:div>
    <w:div w:id="289946157">
      <w:marLeft w:val="0"/>
      <w:marRight w:val="0"/>
      <w:marTop w:val="0"/>
      <w:marBottom w:val="200"/>
      <w:divBdr>
        <w:top w:val="none" w:sz="0" w:space="0" w:color="auto"/>
        <w:left w:val="none" w:sz="0" w:space="0" w:color="auto"/>
        <w:bottom w:val="none" w:sz="0" w:space="0" w:color="auto"/>
        <w:right w:val="none" w:sz="0" w:space="0" w:color="auto"/>
      </w:divBdr>
    </w:div>
    <w:div w:id="292291475">
      <w:marLeft w:val="0"/>
      <w:marRight w:val="0"/>
      <w:marTop w:val="20"/>
      <w:marBottom w:val="0"/>
      <w:divBdr>
        <w:top w:val="none" w:sz="0" w:space="0" w:color="auto"/>
        <w:left w:val="none" w:sz="0" w:space="0" w:color="auto"/>
        <w:bottom w:val="none" w:sz="0" w:space="0" w:color="auto"/>
        <w:right w:val="none" w:sz="0" w:space="0" w:color="auto"/>
      </w:divBdr>
    </w:div>
    <w:div w:id="296375333">
      <w:marLeft w:val="0"/>
      <w:marRight w:val="0"/>
      <w:marTop w:val="0"/>
      <w:marBottom w:val="0"/>
      <w:divBdr>
        <w:top w:val="none" w:sz="0" w:space="0" w:color="auto"/>
        <w:left w:val="none" w:sz="0" w:space="0" w:color="auto"/>
        <w:bottom w:val="none" w:sz="0" w:space="0" w:color="auto"/>
        <w:right w:val="none" w:sz="0" w:space="0" w:color="auto"/>
      </w:divBdr>
      <w:divsChild>
        <w:div w:id="1194221665">
          <w:marLeft w:val="0"/>
          <w:marRight w:val="0"/>
          <w:marTop w:val="0"/>
          <w:marBottom w:val="0"/>
          <w:divBdr>
            <w:top w:val="none" w:sz="0" w:space="0" w:color="auto"/>
            <w:left w:val="none" w:sz="0" w:space="0" w:color="auto"/>
            <w:bottom w:val="none" w:sz="0" w:space="0" w:color="auto"/>
            <w:right w:val="none" w:sz="0" w:space="0" w:color="auto"/>
          </w:divBdr>
        </w:div>
      </w:divsChild>
    </w:div>
    <w:div w:id="296380380">
      <w:marLeft w:val="0"/>
      <w:marRight w:val="0"/>
      <w:marTop w:val="0"/>
      <w:marBottom w:val="0"/>
      <w:divBdr>
        <w:top w:val="none" w:sz="0" w:space="0" w:color="auto"/>
        <w:left w:val="none" w:sz="0" w:space="0" w:color="auto"/>
        <w:bottom w:val="none" w:sz="0" w:space="0" w:color="auto"/>
        <w:right w:val="none" w:sz="0" w:space="0" w:color="auto"/>
      </w:divBdr>
    </w:div>
    <w:div w:id="298657887">
      <w:marLeft w:val="0"/>
      <w:marRight w:val="0"/>
      <w:marTop w:val="0"/>
      <w:marBottom w:val="200"/>
      <w:divBdr>
        <w:top w:val="none" w:sz="0" w:space="0" w:color="auto"/>
        <w:left w:val="none" w:sz="0" w:space="0" w:color="auto"/>
        <w:bottom w:val="none" w:sz="0" w:space="0" w:color="auto"/>
        <w:right w:val="none" w:sz="0" w:space="0" w:color="auto"/>
      </w:divBdr>
    </w:div>
    <w:div w:id="300306381">
      <w:marLeft w:val="0"/>
      <w:marRight w:val="0"/>
      <w:marTop w:val="0"/>
      <w:marBottom w:val="0"/>
      <w:divBdr>
        <w:top w:val="none" w:sz="0" w:space="0" w:color="auto"/>
        <w:left w:val="none" w:sz="0" w:space="0" w:color="auto"/>
        <w:bottom w:val="none" w:sz="0" w:space="0" w:color="auto"/>
        <w:right w:val="none" w:sz="0" w:space="0" w:color="auto"/>
      </w:divBdr>
      <w:divsChild>
        <w:div w:id="972834998">
          <w:marLeft w:val="0"/>
          <w:marRight w:val="0"/>
          <w:marTop w:val="0"/>
          <w:marBottom w:val="0"/>
          <w:divBdr>
            <w:top w:val="none" w:sz="0" w:space="0" w:color="auto"/>
            <w:left w:val="none" w:sz="0" w:space="0" w:color="auto"/>
            <w:bottom w:val="none" w:sz="0" w:space="0" w:color="auto"/>
            <w:right w:val="none" w:sz="0" w:space="0" w:color="auto"/>
          </w:divBdr>
        </w:div>
        <w:div w:id="404299495">
          <w:marLeft w:val="0"/>
          <w:marRight w:val="0"/>
          <w:marTop w:val="180"/>
          <w:marBottom w:val="0"/>
          <w:divBdr>
            <w:top w:val="none" w:sz="0" w:space="0" w:color="auto"/>
            <w:left w:val="none" w:sz="0" w:space="0" w:color="auto"/>
            <w:bottom w:val="none" w:sz="0" w:space="0" w:color="auto"/>
            <w:right w:val="none" w:sz="0" w:space="0" w:color="auto"/>
          </w:divBdr>
        </w:div>
      </w:divsChild>
    </w:div>
    <w:div w:id="313529556">
      <w:marLeft w:val="0"/>
      <w:marRight w:val="0"/>
      <w:marTop w:val="0"/>
      <w:marBottom w:val="0"/>
      <w:divBdr>
        <w:top w:val="none" w:sz="0" w:space="0" w:color="auto"/>
        <w:left w:val="none" w:sz="0" w:space="0" w:color="auto"/>
        <w:bottom w:val="none" w:sz="0" w:space="0" w:color="auto"/>
        <w:right w:val="none" w:sz="0" w:space="0" w:color="auto"/>
      </w:divBdr>
      <w:divsChild>
        <w:div w:id="198934173">
          <w:marLeft w:val="0"/>
          <w:marRight w:val="0"/>
          <w:marTop w:val="0"/>
          <w:marBottom w:val="0"/>
          <w:divBdr>
            <w:top w:val="none" w:sz="0" w:space="0" w:color="auto"/>
            <w:left w:val="none" w:sz="0" w:space="0" w:color="auto"/>
            <w:bottom w:val="none" w:sz="0" w:space="0" w:color="auto"/>
            <w:right w:val="none" w:sz="0" w:space="0" w:color="auto"/>
          </w:divBdr>
        </w:div>
        <w:div w:id="2027633145">
          <w:marLeft w:val="0"/>
          <w:marRight w:val="0"/>
          <w:marTop w:val="180"/>
          <w:marBottom w:val="0"/>
          <w:divBdr>
            <w:top w:val="none" w:sz="0" w:space="0" w:color="auto"/>
            <w:left w:val="none" w:sz="0" w:space="0" w:color="auto"/>
            <w:bottom w:val="none" w:sz="0" w:space="0" w:color="auto"/>
            <w:right w:val="none" w:sz="0" w:space="0" w:color="auto"/>
          </w:divBdr>
        </w:div>
      </w:divsChild>
    </w:div>
    <w:div w:id="316811786">
      <w:marLeft w:val="0"/>
      <w:marRight w:val="0"/>
      <w:marTop w:val="200"/>
      <w:marBottom w:val="0"/>
      <w:divBdr>
        <w:top w:val="none" w:sz="0" w:space="0" w:color="auto"/>
        <w:left w:val="none" w:sz="0" w:space="0" w:color="auto"/>
        <w:bottom w:val="none" w:sz="0" w:space="0" w:color="auto"/>
        <w:right w:val="none" w:sz="0" w:space="0" w:color="auto"/>
      </w:divBdr>
    </w:div>
    <w:div w:id="324743970">
      <w:marLeft w:val="0"/>
      <w:marRight w:val="0"/>
      <w:marTop w:val="360"/>
      <w:marBottom w:val="0"/>
      <w:divBdr>
        <w:top w:val="none" w:sz="0" w:space="0" w:color="auto"/>
        <w:left w:val="none" w:sz="0" w:space="0" w:color="auto"/>
        <w:bottom w:val="none" w:sz="0" w:space="0" w:color="auto"/>
        <w:right w:val="none" w:sz="0" w:space="0" w:color="auto"/>
      </w:divBdr>
    </w:div>
    <w:div w:id="327633818">
      <w:marLeft w:val="0"/>
      <w:marRight w:val="0"/>
      <w:marTop w:val="0"/>
      <w:marBottom w:val="200"/>
      <w:divBdr>
        <w:top w:val="none" w:sz="0" w:space="0" w:color="auto"/>
        <w:left w:val="none" w:sz="0" w:space="0" w:color="auto"/>
        <w:bottom w:val="none" w:sz="0" w:space="0" w:color="auto"/>
        <w:right w:val="none" w:sz="0" w:space="0" w:color="auto"/>
      </w:divBdr>
    </w:div>
    <w:div w:id="329187605">
      <w:marLeft w:val="0"/>
      <w:marRight w:val="0"/>
      <w:marTop w:val="0"/>
      <w:marBottom w:val="200"/>
      <w:divBdr>
        <w:top w:val="none" w:sz="0" w:space="0" w:color="auto"/>
        <w:left w:val="none" w:sz="0" w:space="0" w:color="auto"/>
        <w:bottom w:val="none" w:sz="0" w:space="0" w:color="auto"/>
        <w:right w:val="none" w:sz="0" w:space="0" w:color="auto"/>
      </w:divBdr>
    </w:div>
    <w:div w:id="335037336">
      <w:marLeft w:val="0"/>
      <w:marRight w:val="0"/>
      <w:marTop w:val="100"/>
      <w:marBottom w:val="0"/>
      <w:divBdr>
        <w:top w:val="none" w:sz="0" w:space="0" w:color="auto"/>
        <w:left w:val="none" w:sz="0" w:space="0" w:color="auto"/>
        <w:bottom w:val="none" w:sz="0" w:space="0" w:color="auto"/>
        <w:right w:val="none" w:sz="0" w:space="0" w:color="auto"/>
      </w:divBdr>
    </w:div>
    <w:div w:id="350691770">
      <w:marLeft w:val="0"/>
      <w:marRight w:val="0"/>
      <w:marTop w:val="0"/>
      <w:marBottom w:val="0"/>
      <w:divBdr>
        <w:top w:val="none" w:sz="0" w:space="0" w:color="auto"/>
        <w:left w:val="none" w:sz="0" w:space="0" w:color="auto"/>
        <w:bottom w:val="none" w:sz="0" w:space="0" w:color="auto"/>
        <w:right w:val="none" w:sz="0" w:space="0" w:color="auto"/>
      </w:divBdr>
      <w:divsChild>
        <w:div w:id="2041583703">
          <w:marLeft w:val="0"/>
          <w:marRight w:val="0"/>
          <w:marTop w:val="0"/>
          <w:marBottom w:val="0"/>
          <w:divBdr>
            <w:top w:val="none" w:sz="0" w:space="0" w:color="auto"/>
            <w:left w:val="none" w:sz="0" w:space="0" w:color="auto"/>
            <w:bottom w:val="none" w:sz="0" w:space="0" w:color="auto"/>
            <w:right w:val="none" w:sz="0" w:space="0" w:color="auto"/>
          </w:divBdr>
        </w:div>
        <w:div w:id="1224027533">
          <w:marLeft w:val="0"/>
          <w:marRight w:val="0"/>
          <w:marTop w:val="180"/>
          <w:marBottom w:val="0"/>
          <w:divBdr>
            <w:top w:val="none" w:sz="0" w:space="0" w:color="auto"/>
            <w:left w:val="none" w:sz="0" w:space="0" w:color="auto"/>
            <w:bottom w:val="none" w:sz="0" w:space="0" w:color="auto"/>
            <w:right w:val="none" w:sz="0" w:space="0" w:color="auto"/>
          </w:divBdr>
        </w:div>
      </w:divsChild>
    </w:div>
    <w:div w:id="351297842">
      <w:marLeft w:val="0"/>
      <w:marRight w:val="0"/>
      <w:marTop w:val="0"/>
      <w:marBottom w:val="200"/>
      <w:divBdr>
        <w:top w:val="none" w:sz="0" w:space="0" w:color="auto"/>
        <w:left w:val="none" w:sz="0" w:space="0" w:color="auto"/>
        <w:bottom w:val="none" w:sz="0" w:space="0" w:color="auto"/>
        <w:right w:val="none" w:sz="0" w:space="0" w:color="auto"/>
      </w:divBdr>
    </w:div>
    <w:div w:id="356272179">
      <w:marLeft w:val="0"/>
      <w:marRight w:val="0"/>
      <w:marTop w:val="0"/>
      <w:marBottom w:val="0"/>
      <w:divBdr>
        <w:top w:val="none" w:sz="0" w:space="0" w:color="auto"/>
        <w:left w:val="none" w:sz="0" w:space="0" w:color="auto"/>
        <w:bottom w:val="none" w:sz="0" w:space="0" w:color="auto"/>
        <w:right w:val="none" w:sz="0" w:space="0" w:color="auto"/>
      </w:divBdr>
    </w:div>
    <w:div w:id="357122775">
      <w:marLeft w:val="0"/>
      <w:marRight w:val="0"/>
      <w:marTop w:val="0"/>
      <w:marBottom w:val="200"/>
      <w:divBdr>
        <w:top w:val="none" w:sz="0" w:space="0" w:color="auto"/>
        <w:left w:val="none" w:sz="0" w:space="0" w:color="auto"/>
        <w:bottom w:val="none" w:sz="0" w:space="0" w:color="auto"/>
        <w:right w:val="none" w:sz="0" w:space="0" w:color="auto"/>
      </w:divBdr>
    </w:div>
    <w:div w:id="359744492">
      <w:marLeft w:val="0"/>
      <w:marRight w:val="0"/>
      <w:marTop w:val="0"/>
      <w:marBottom w:val="0"/>
      <w:divBdr>
        <w:top w:val="none" w:sz="0" w:space="0" w:color="auto"/>
        <w:left w:val="none" w:sz="0" w:space="0" w:color="auto"/>
        <w:bottom w:val="none" w:sz="0" w:space="0" w:color="auto"/>
        <w:right w:val="none" w:sz="0" w:space="0" w:color="auto"/>
      </w:divBdr>
      <w:divsChild>
        <w:div w:id="2110272664">
          <w:marLeft w:val="0"/>
          <w:marRight w:val="0"/>
          <w:marTop w:val="0"/>
          <w:marBottom w:val="0"/>
          <w:divBdr>
            <w:top w:val="none" w:sz="0" w:space="0" w:color="auto"/>
            <w:left w:val="none" w:sz="0" w:space="0" w:color="auto"/>
            <w:bottom w:val="none" w:sz="0" w:space="0" w:color="auto"/>
            <w:right w:val="none" w:sz="0" w:space="0" w:color="auto"/>
          </w:divBdr>
        </w:div>
        <w:div w:id="1185749151">
          <w:marLeft w:val="0"/>
          <w:marRight w:val="0"/>
          <w:marTop w:val="180"/>
          <w:marBottom w:val="0"/>
          <w:divBdr>
            <w:top w:val="none" w:sz="0" w:space="0" w:color="auto"/>
            <w:left w:val="none" w:sz="0" w:space="0" w:color="auto"/>
            <w:bottom w:val="none" w:sz="0" w:space="0" w:color="auto"/>
            <w:right w:val="none" w:sz="0" w:space="0" w:color="auto"/>
          </w:divBdr>
        </w:div>
      </w:divsChild>
    </w:div>
    <w:div w:id="370999591">
      <w:marLeft w:val="0"/>
      <w:marRight w:val="0"/>
      <w:marTop w:val="0"/>
      <w:marBottom w:val="200"/>
      <w:divBdr>
        <w:top w:val="none" w:sz="0" w:space="0" w:color="auto"/>
        <w:left w:val="none" w:sz="0" w:space="0" w:color="auto"/>
        <w:bottom w:val="none" w:sz="0" w:space="0" w:color="auto"/>
        <w:right w:val="none" w:sz="0" w:space="0" w:color="auto"/>
      </w:divBdr>
    </w:div>
    <w:div w:id="371619077">
      <w:marLeft w:val="0"/>
      <w:marRight w:val="0"/>
      <w:marTop w:val="0"/>
      <w:marBottom w:val="0"/>
      <w:divBdr>
        <w:top w:val="none" w:sz="0" w:space="0" w:color="auto"/>
        <w:left w:val="none" w:sz="0" w:space="0" w:color="auto"/>
        <w:bottom w:val="none" w:sz="0" w:space="0" w:color="auto"/>
        <w:right w:val="none" w:sz="0" w:space="0" w:color="auto"/>
      </w:divBdr>
      <w:divsChild>
        <w:div w:id="760879850">
          <w:marLeft w:val="0"/>
          <w:marRight w:val="0"/>
          <w:marTop w:val="0"/>
          <w:marBottom w:val="0"/>
          <w:divBdr>
            <w:top w:val="none" w:sz="0" w:space="0" w:color="auto"/>
            <w:left w:val="none" w:sz="0" w:space="0" w:color="auto"/>
            <w:bottom w:val="none" w:sz="0" w:space="0" w:color="auto"/>
            <w:right w:val="none" w:sz="0" w:space="0" w:color="auto"/>
          </w:divBdr>
        </w:div>
      </w:divsChild>
    </w:div>
    <w:div w:id="372924100">
      <w:marLeft w:val="0"/>
      <w:marRight w:val="0"/>
      <w:marTop w:val="0"/>
      <w:marBottom w:val="200"/>
      <w:divBdr>
        <w:top w:val="none" w:sz="0" w:space="0" w:color="auto"/>
        <w:left w:val="none" w:sz="0" w:space="0" w:color="auto"/>
        <w:bottom w:val="none" w:sz="0" w:space="0" w:color="auto"/>
        <w:right w:val="none" w:sz="0" w:space="0" w:color="auto"/>
      </w:divBdr>
    </w:div>
    <w:div w:id="374814608">
      <w:marLeft w:val="0"/>
      <w:marRight w:val="0"/>
      <w:marTop w:val="0"/>
      <w:marBottom w:val="0"/>
      <w:divBdr>
        <w:top w:val="none" w:sz="0" w:space="0" w:color="auto"/>
        <w:left w:val="none" w:sz="0" w:space="0" w:color="auto"/>
        <w:bottom w:val="none" w:sz="0" w:space="0" w:color="auto"/>
        <w:right w:val="none" w:sz="0" w:space="0" w:color="auto"/>
      </w:divBdr>
    </w:div>
    <w:div w:id="374933800">
      <w:marLeft w:val="0"/>
      <w:marRight w:val="0"/>
      <w:marTop w:val="0"/>
      <w:marBottom w:val="0"/>
      <w:divBdr>
        <w:top w:val="none" w:sz="0" w:space="0" w:color="auto"/>
        <w:left w:val="none" w:sz="0" w:space="0" w:color="auto"/>
        <w:bottom w:val="none" w:sz="0" w:space="0" w:color="auto"/>
        <w:right w:val="none" w:sz="0" w:space="0" w:color="auto"/>
      </w:divBdr>
    </w:div>
    <w:div w:id="380642059">
      <w:marLeft w:val="0"/>
      <w:marRight w:val="0"/>
      <w:marTop w:val="0"/>
      <w:marBottom w:val="200"/>
      <w:divBdr>
        <w:top w:val="none" w:sz="0" w:space="0" w:color="auto"/>
        <w:left w:val="none" w:sz="0" w:space="0" w:color="auto"/>
        <w:bottom w:val="none" w:sz="0" w:space="0" w:color="auto"/>
        <w:right w:val="none" w:sz="0" w:space="0" w:color="auto"/>
      </w:divBdr>
    </w:div>
    <w:div w:id="388040252">
      <w:marLeft w:val="0"/>
      <w:marRight w:val="0"/>
      <w:marTop w:val="0"/>
      <w:marBottom w:val="0"/>
      <w:divBdr>
        <w:top w:val="none" w:sz="0" w:space="0" w:color="auto"/>
        <w:left w:val="none" w:sz="0" w:space="0" w:color="auto"/>
        <w:bottom w:val="none" w:sz="0" w:space="0" w:color="auto"/>
        <w:right w:val="none" w:sz="0" w:space="0" w:color="auto"/>
      </w:divBdr>
    </w:div>
    <w:div w:id="392001029">
      <w:marLeft w:val="0"/>
      <w:marRight w:val="0"/>
      <w:marTop w:val="0"/>
      <w:marBottom w:val="200"/>
      <w:divBdr>
        <w:top w:val="none" w:sz="0" w:space="0" w:color="auto"/>
        <w:left w:val="none" w:sz="0" w:space="0" w:color="auto"/>
        <w:bottom w:val="none" w:sz="0" w:space="0" w:color="auto"/>
        <w:right w:val="none" w:sz="0" w:space="0" w:color="auto"/>
      </w:divBdr>
    </w:div>
    <w:div w:id="392848396">
      <w:marLeft w:val="0"/>
      <w:marRight w:val="0"/>
      <w:marTop w:val="0"/>
      <w:marBottom w:val="200"/>
      <w:divBdr>
        <w:top w:val="none" w:sz="0" w:space="0" w:color="auto"/>
        <w:left w:val="none" w:sz="0" w:space="0" w:color="auto"/>
        <w:bottom w:val="none" w:sz="0" w:space="0" w:color="auto"/>
        <w:right w:val="none" w:sz="0" w:space="0" w:color="auto"/>
      </w:divBdr>
    </w:div>
    <w:div w:id="394865098">
      <w:marLeft w:val="0"/>
      <w:marRight w:val="0"/>
      <w:marTop w:val="0"/>
      <w:marBottom w:val="0"/>
      <w:divBdr>
        <w:top w:val="none" w:sz="0" w:space="0" w:color="auto"/>
        <w:left w:val="none" w:sz="0" w:space="0" w:color="auto"/>
        <w:bottom w:val="none" w:sz="0" w:space="0" w:color="auto"/>
        <w:right w:val="none" w:sz="0" w:space="0" w:color="auto"/>
      </w:divBdr>
    </w:div>
    <w:div w:id="396248043">
      <w:marLeft w:val="0"/>
      <w:marRight w:val="0"/>
      <w:marTop w:val="0"/>
      <w:marBottom w:val="200"/>
      <w:divBdr>
        <w:top w:val="none" w:sz="0" w:space="0" w:color="auto"/>
        <w:left w:val="none" w:sz="0" w:space="0" w:color="auto"/>
        <w:bottom w:val="none" w:sz="0" w:space="0" w:color="auto"/>
        <w:right w:val="none" w:sz="0" w:space="0" w:color="auto"/>
      </w:divBdr>
    </w:div>
    <w:div w:id="402990340">
      <w:marLeft w:val="0"/>
      <w:marRight w:val="0"/>
      <w:marTop w:val="0"/>
      <w:marBottom w:val="200"/>
      <w:divBdr>
        <w:top w:val="none" w:sz="0" w:space="0" w:color="auto"/>
        <w:left w:val="none" w:sz="0" w:space="0" w:color="auto"/>
        <w:bottom w:val="none" w:sz="0" w:space="0" w:color="auto"/>
        <w:right w:val="none" w:sz="0" w:space="0" w:color="auto"/>
      </w:divBdr>
    </w:div>
    <w:div w:id="403260895">
      <w:marLeft w:val="0"/>
      <w:marRight w:val="0"/>
      <w:marTop w:val="0"/>
      <w:marBottom w:val="0"/>
      <w:divBdr>
        <w:top w:val="none" w:sz="0" w:space="0" w:color="auto"/>
        <w:left w:val="none" w:sz="0" w:space="0" w:color="auto"/>
        <w:bottom w:val="none" w:sz="0" w:space="0" w:color="auto"/>
        <w:right w:val="none" w:sz="0" w:space="0" w:color="auto"/>
      </w:divBdr>
    </w:div>
    <w:div w:id="407465596">
      <w:marLeft w:val="0"/>
      <w:marRight w:val="0"/>
      <w:marTop w:val="0"/>
      <w:marBottom w:val="200"/>
      <w:divBdr>
        <w:top w:val="none" w:sz="0" w:space="0" w:color="auto"/>
        <w:left w:val="none" w:sz="0" w:space="0" w:color="auto"/>
        <w:bottom w:val="none" w:sz="0" w:space="0" w:color="auto"/>
        <w:right w:val="none" w:sz="0" w:space="0" w:color="auto"/>
      </w:divBdr>
    </w:div>
    <w:div w:id="408307188">
      <w:marLeft w:val="0"/>
      <w:marRight w:val="0"/>
      <w:marTop w:val="0"/>
      <w:marBottom w:val="0"/>
      <w:divBdr>
        <w:top w:val="none" w:sz="0" w:space="0" w:color="auto"/>
        <w:left w:val="none" w:sz="0" w:space="0" w:color="auto"/>
        <w:bottom w:val="none" w:sz="0" w:space="0" w:color="auto"/>
        <w:right w:val="none" w:sz="0" w:space="0" w:color="auto"/>
      </w:divBdr>
      <w:divsChild>
        <w:div w:id="178325241">
          <w:marLeft w:val="0"/>
          <w:marRight w:val="0"/>
          <w:marTop w:val="0"/>
          <w:marBottom w:val="0"/>
          <w:divBdr>
            <w:top w:val="none" w:sz="0" w:space="0" w:color="auto"/>
            <w:left w:val="none" w:sz="0" w:space="0" w:color="auto"/>
            <w:bottom w:val="none" w:sz="0" w:space="0" w:color="auto"/>
            <w:right w:val="none" w:sz="0" w:space="0" w:color="auto"/>
          </w:divBdr>
        </w:div>
      </w:divsChild>
    </w:div>
    <w:div w:id="432626234">
      <w:marLeft w:val="0"/>
      <w:marRight w:val="0"/>
      <w:marTop w:val="0"/>
      <w:marBottom w:val="200"/>
      <w:divBdr>
        <w:top w:val="none" w:sz="0" w:space="0" w:color="auto"/>
        <w:left w:val="none" w:sz="0" w:space="0" w:color="auto"/>
        <w:bottom w:val="none" w:sz="0" w:space="0" w:color="auto"/>
        <w:right w:val="none" w:sz="0" w:space="0" w:color="auto"/>
      </w:divBdr>
    </w:div>
    <w:div w:id="438261382">
      <w:marLeft w:val="0"/>
      <w:marRight w:val="0"/>
      <w:marTop w:val="0"/>
      <w:marBottom w:val="0"/>
      <w:divBdr>
        <w:top w:val="none" w:sz="0" w:space="0" w:color="auto"/>
        <w:left w:val="none" w:sz="0" w:space="0" w:color="auto"/>
        <w:bottom w:val="none" w:sz="0" w:space="0" w:color="auto"/>
        <w:right w:val="none" w:sz="0" w:space="0" w:color="auto"/>
      </w:divBdr>
      <w:divsChild>
        <w:div w:id="21395275">
          <w:marLeft w:val="0"/>
          <w:marRight w:val="0"/>
          <w:marTop w:val="0"/>
          <w:marBottom w:val="0"/>
          <w:divBdr>
            <w:top w:val="none" w:sz="0" w:space="0" w:color="auto"/>
            <w:left w:val="none" w:sz="0" w:space="0" w:color="auto"/>
            <w:bottom w:val="none" w:sz="0" w:space="0" w:color="auto"/>
            <w:right w:val="none" w:sz="0" w:space="0" w:color="auto"/>
          </w:divBdr>
        </w:div>
      </w:divsChild>
    </w:div>
    <w:div w:id="438524115">
      <w:marLeft w:val="0"/>
      <w:marRight w:val="0"/>
      <w:marTop w:val="0"/>
      <w:marBottom w:val="0"/>
      <w:divBdr>
        <w:top w:val="none" w:sz="0" w:space="0" w:color="auto"/>
        <w:left w:val="none" w:sz="0" w:space="0" w:color="auto"/>
        <w:bottom w:val="none" w:sz="0" w:space="0" w:color="auto"/>
        <w:right w:val="none" w:sz="0" w:space="0" w:color="auto"/>
      </w:divBdr>
    </w:div>
    <w:div w:id="469132368">
      <w:marLeft w:val="0"/>
      <w:marRight w:val="0"/>
      <w:marTop w:val="0"/>
      <w:marBottom w:val="200"/>
      <w:divBdr>
        <w:top w:val="none" w:sz="0" w:space="0" w:color="auto"/>
        <w:left w:val="none" w:sz="0" w:space="0" w:color="auto"/>
        <w:bottom w:val="none" w:sz="0" w:space="0" w:color="auto"/>
        <w:right w:val="none" w:sz="0" w:space="0" w:color="auto"/>
      </w:divBdr>
    </w:div>
    <w:div w:id="477380969">
      <w:marLeft w:val="0"/>
      <w:marRight w:val="0"/>
      <w:marTop w:val="0"/>
      <w:marBottom w:val="0"/>
      <w:divBdr>
        <w:top w:val="none" w:sz="0" w:space="0" w:color="auto"/>
        <w:left w:val="none" w:sz="0" w:space="0" w:color="auto"/>
        <w:bottom w:val="none" w:sz="0" w:space="0" w:color="auto"/>
        <w:right w:val="none" w:sz="0" w:space="0" w:color="auto"/>
      </w:divBdr>
    </w:div>
    <w:div w:id="479612565">
      <w:marLeft w:val="0"/>
      <w:marRight w:val="0"/>
      <w:marTop w:val="0"/>
      <w:marBottom w:val="200"/>
      <w:divBdr>
        <w:top w:val="none" w:sz="0" w:space="0" w:color="auto"/>
        <w:left w:val="none" w:sz="0" w:space="0" w:color="auto"/>
        <w:bottom w:val="none" w:sz="0" w:space="0" w:color="auto"/>
        <w:right w:val="none" w:sz="0" w:space="0" w:color="auto"/>
      </w:divBdr>
    </w:div>
    <w:div w:id="479738857">
      <w:marLeft w:val="0"/>
      <w:marRight w:val="0"/>
      <w:marTop w:val="0"/>
      <w:marBottom w:val="200"/>
      <w:divBdr>
        <w:top w:val="none" w:sz="0" w:space="0" w:color="auto"/>
        <w:left w:val="none" w:sz="0" w:space="0" w:color="auto"/>
        <w:bottom w:val="none" w:sz="0" w:space="0" w:color="auto"/>
        <w:right w:val="none" w:sz="0" w:space="0" w:color="auto"/>
      </w:divBdr>
    </w:div>
    <w:div w:id="480923836">
      <w:marLeft w:val="0"/>
      <w:marRight w:val="0"/>
      <w:marTop w:val="0"/>
      <w:marBottom w:val="0"/>
      <w:divBdr>
        <w:top w:val="none" w:sz="0" w:space="0" w:color="auto"/>
        <w:left w:val="none" w:sz="0" w:space="0" w:color="auto"/>
        <w:bottom w:val="none" w:sz="0" w:space="0" w:color="auto"/>
        <w:right w:val="none" w:sz="0" w:space="0" w:color="auto"/>
      </w:divBdr>
      <w:divsChild>
        <w:div w:id="860825967">
          <w:marLeft w:val="0"/>
          <w:marRight w:val="0"/>
          <w:marTop w:val="0"/>
          <w:marBottom w:val="0"/>
          <w:divBdr>
            <w:top w:val="none" w:sz="0" w:space="0" w:color="auto"/>
            <w:left w:val="none" w:sz="0" w:space="0" w:color="auto"/>
            <w:bottom w:val="none" w:sz="0" w:space="0" w:color="auto"/>
            <w:right w:val="none" w:sz="0" w:space="0" w:color="auto"/>
          </w:divBdr>
        </w:div>
      </w:divsChild>
    </w:div>
    <w:div w:id="489057337">
      <w:marLeft w:val="0"/>
      <w:marRight w:val="0"/>
      <w:marTop w:val="0"/>
      <w:marBottom w:val="200"/>
      <w:divBdr>
        <w:top w:val="none" w:sz="0" w:space="0" w:color="auto"/>
        <w:left w:val="none" w:sz="0" w:space="0" w:color="auto"/>
        <w:bottom w:val="none" w:sz="0" w:space="0" w:color="auto"/>
        <w:right w:val="none" w:sz="0" w:space="0" w:color="auto"/>
      </w:divBdr>
    </w:div>
    <w:div w:id="496770371">
      <w:marLeft w:val="0"/>
      <w:marRight w:val="0"/>
      <w:marTop w:val="0"/>
      <w:marBottom w:val="100"/>
      <w:divBdr>
        <w:top w:val="none" w:sz="0" w:space="0" w:color="auto"/>
        <w:left w:val="none" w:sz="0" w:space="0" w:color="auto"/>
        <w:bottom w:val="none" w:sz="0" w:space="0" w:color="auto"/>
        <w:right w:val="none" w:sz="0" w:space="0" w:color="auto"/>
      </w:divBdr>
      <w:divsChild>
        <w:div w:id="465052764">
          <w:marLeft w:val="0"/>
          <w:marRight w:val="0"/>
          <w:marTop w:val="0"/>
          <w:marBottom w:val="0"/>
          <w:divBdr>
            <w:top w:val="none" w:sz="0" w:space="0" w:color="auto"/>
            <w:left w:val="none" w:sz="0" w:space="0" w:color="auto"/>
            <w:bottom w:val="none" w:sz="0" w:space="0" w:color="auto"/>
            <w:right w:val="none" w:sz="0" w:space="0" w:color="auto"/>
          </w:divBdr>
        </w:div>
        <w:div w:id="1926769623">
          <w:marLeft w:val="0"/>
          <w:marRight w:val="0"/>
          <w:marTop w:val="0"/>
          <w:marBottom w:val="0"/>
          <w:divBdr>
            <w:top w:val="none" w:sz="0" w:space="0" w:color="auto"/>
            <w:left w:val="none" w:sz="0" w:space="0" w:color="auto"/>
            <w:bottom w:val="none" w:sz="0" w:space="0" w:color="auto"/>
            <w:right w:val="none" w:sz="0" w:space="0" w:color="auto"/>
          </w:divBdr>
        </w:div>
        <w:div w:id="1846551978">
          <w:marLeft w:val="0"/>
          <w:marRight w:val="0"/>
          <w:marTop w:val="0"/>
          <w:marBottom w:val="0"/>
          <w:divBdr>
            <w:top w:val="none" w:sz="0" w:space="0" w:color="auto"/>
            <w:left w:val="none" w:sz="0" w:space="0" w:color="auto"/>
            <w:bottom w:val="none" w:sz="0" w:space="0" w:color="auto"/>
            <w:right w:val="none" w:sz="0" w:space="0" w:color="auto"/>
          </w:divBdr>
        </w:div>
      </w:divsChild>
    </w:div>
    <w:div w:id="499782304">
      <w:marLeft w:val="0"/>
      <w:marRight w:val="0"/>
      <w:marTop w:val="100"/>
      <w:marBottom w:val="0"/>
      <w:divBdr>
        <w:top w:val="none" w:sz="0" w:space="0" w:color="auto"/>
        <w:left w:val="none" w:sz="0" w:space="0" w:color="auto"/>
        <w:bottom w:val="none" w:sz="0" w:space="0" w:color="auto"/>
        <w:right w:val="none" w:sz="0" w:space="0" w:color="auto"/>
      </w:divBdr>
    </w:div>
    <w:div w:id="509297005">
      <w:marLeft w:val="0"/>
      <w:marRight w:val="0"/>
      <w:marTop w:val="200"/>
      <w:marBottom w:val="0"/>
      <w:divBdr>
        <w:top w:val="none" w:sz="0" w:space="0" w:color="auto"/>
        <w:left w:val="none" w:sz="0" w:space="0" w:color="auto"/>
        <w:bottom w:val="none" w:sz="0" w:space="0" w:color="auto"/>
        <w:right w:val="none" w:sz="0" w:space="0" w:color="auto"/>
      </w:divBdr>
    </w:div>
    <w:div w:id="513958417">
      <w:marLeft w:val="0"/>
      <w:marRight w:val="0"/>
      <w:marTop w:val="0"/>
      <w:marBottom w:val="0"/>
      <w:divBdr>
        <w:top w:val="none" w:sz="0" w:space="0" w:color="auto"/>
        <w:left w:val="none" w:sz="0" w:space="0" w:color="auto"/>
        <w:bottom w:val="none" w:sz="0" w:space="0" w:color="auto"/>
        <w:right w:val="none" w:sz="0" w:space="0" w:color="auto"/>
      </w:divBdr>
      <w:divsChild>
        <w:div w:id="1695618434">
          <w:marLeft w:val="0"/>
          <w:marRight w:val="0"/>
          <w:marTop w:val="0"/>
          <w:marBottom w:val="0"/>
          <w:divBdr>
            <w:top w:val="none" w:sz="0" w:space="0" w:color="auto"/>
            <w:left w:val="none" w:sz="0" w:space="0" w:color="auto"/>
            <w:bottom w:val="none" w:sz="0" w:space="0" w:color="auto"/>
            <w:right w:val="none" w:sz="0" w:space="0" w:color="auto"/>
          </w:divBdr>
        </w:div>
      </w:divsChild>
    </w:div>
    <w:div w:id="516240879">
      <w:marLeft w:val="0"/>
      <w:marRight w:val="0"/>
      <w:marTop w:val="0"/>
      <w:marBottom w:val="0"/>
      <w:divBdr>
        <w:top w:val="none" w:sz="0" w:space="0" w:color="auto"/>
        <w:left w:val="none" w:sz="0" w:space="0" w:color="auto"/>
        <w:bottom w:val="none" w:sz="0" w:space="0" w:color="auto"/>
        <w:right w:val="none" w:sz="0" w:space="0" w:color="auto"/>
      </w:divBdr>
      <w:divsChild>
        <w:div w:id="177160915">
          <w:marLeft w:val="0"/>
          <w:marRight w:val="0"/>
          <w:marTop w:val="0"/>
          <w:marBottom w:val="0"/>
          <w:divBdr>
            <w:top w:val="none" w:sz="0" w:space="0" w:color="auto"/>
            <w:left w:val="none" w:sz="0" w:space="0" w:color="auto"/>
            <w:bottom w:val="none" w:sz="0" w:space="0" w:color="auto"/>
            <w:right w:val="none" w:sz="0" w:space="0" w:color="auto"/>
          </w:divBdr>
        </w:div>
        <w:div w:id="644743522">
          <w:marLeft w:val="0"/>
          <w:marRight w:val="0"/>
          <w:marTop w:val="180"/>
          <w:marBottom w:val="0"/>
          <w:divBdr>
            <w:top w:val="none" w:sz="0" w:space="0" w:color="auto"/>
            <w:left w:val="none" w:sz="0" w:space="0" w:color="auto"/>
            <w:bottom w:val="none" w:sz="0" w:space="0" w:color="auto"/>
            <w:right w:val="none" w:sz="0" w:space="0" w:color="auto"/>
          </w:divBdr>
        </w:div>
      </w:divsChild>
    </w:div>
    <w:div w:id="516309247">
      <w:marLeft w:val="0"/>
      <w:marRight w:val="0"/>
      <w:marTop w:val="0"/>
      <w:marBottom w:val="200"/>
      <w:divBdr>
        <w:top w:val="none" w:sz="0" w:space="0" w:color="auto"/>
        <w:left w:val="none" w:sz="0" w:space="0" w:color="auto"/>
        <w:bottom w:val="none" w:sz="0" w:space="0" w:color="auto"/>
        <w:right w:val="none" w:sz="0" w:space="0" w:color="auto"/>
      </w:divBdr>
    </w:div>
    <w:div w:id="517234044">
      <w:marLeft w:val="0"/>
      <w:marRight w:val="0"/>
      <w:marTop w:val="0"/>
      <w:marBottom w:val="0"/>
      <w:divBdr>
        <w:top w:val="none" w:sz="0" w:space="0" w:color="auto"/>
        <w:left w:val="none" w:sz="0" w:space="0" w:color="auto"/>
        <w:bottom w:val="none" w:sz="0" w:space="0" w:color="auto"/>
        <w:right w:val="none" w:sz="0" w:space="0" w:color="auto"/>
      </w:divBdr>
    </w:div>
    <w:div w:id="520240762">
      <w:marLeft w:val="0"/>
      <w:marRight w:val="0"/>
      <w:marTop w:val="0"/>
      <w:marBottom w:val="200"/>
      <w:divBdr>
        <w:top w:val="none" w:sz="0" w:space="0" w:color="auto"/>
        <w:left w:val="none" w:sz="0" w:space="0" w:color="auto"/>
        <w:bottom w:val="none" w:sz="0" w:space="0" w:color="auto"/>
        <w:right w:val="none" w:sz="0" w:space="0" w:color="auto"/>
      </w:divBdr>
    </w:div>
    <w:div w:id="538667676">
      <w:marLeft w:val="0"/>
      <w:marRight w:val="0"/>
      <w:marTop w:val="100"/>
      <w:marBottom w:val="0"/>
      <w:divBdr>
        <w:top w:val="none" w:sz="0" w:space="0" w:color="auto"/>
        <w:left w:val="none" w:sz="0" w:space="0" w:color="auto"/>
        <w:bottom w:val="none" w:sz="0" w:space="0" w:color="auto"/>
        <w:right w:val="none" w:sz="0" w:space="0" w:color="auto"/>
      </w:divBdr>
    </w:div>
    <w:div w:id="541359845">
      <w:marLeft w:val="0"/>
      <w:marRight w:val="0"/>
      <w:marTop w:val="0"/>
      <w:marBottom w:val="0"/>
      <w:divBdr>
        <w:top w:val="none" w:sz="0" w:space="0" w:color="auto"/>
        <w:left w:val="none" w:sz="0" w:space="0" w:color="auto"/>
        <w:bottom w:val="none" w:sz="0" w:space="0" w:color="auto"/>
        <w:right w:val="none" w:sz="0" w:space="0" w:color="auto"/>
      </w:divBdr>
      <w:divsChild>
        <w:div w:id="122769575">
          <w:marLeft w:val="0"/>
          <w:marRight w:val="0"/>
          <w:marTop w:val="0"/>
          <w:marBottom w:val="0"/>
          <w:divBdr>
            <w:top w:val="none" w:sz="0" w:space="0" w:color="auto"/>
            <w:left w:val="none" w:sz="0" w:space="0" w:color="auto"/>
            <w:bottom w:val="none" w:sz="0" w:space="0" w:color="auto"/>
            <w:right w:val="none" w:sz="0" w:space="0" w:color="auto"/>
          </w:divBdr>
        </w:div>
        <w:div w:id="1151674855">
          <w:marLeft w:val="0"/>
          <w:marRight w:val="0"/>
          <w:marTop w:val="180"/>
          <w:marBottom w:val="0"/>
          <w:divBdr>
            <w:top w:val="none" w:sz="0" w:space="0" w:color="auto"/>
            <w:left w:val="none" w:sz="0" w:space="0" w:color="auto"/>
            <w:bottom w:val="none" w:sz="0" w:space="0" w:color="auto"/>
            <w:right w:val="none" w:sz="0" w:space="0" w:color="auto"/>
          </w:divBdr>
        </w:div>
      </w:divsChild>
    </w:div>
    <w:div w:id="561788872">
      <w:marLeft w:val="0"/>
      <w:marRight w:val="0"/>
      <w:marTop w:val="0"/>
      <w:marBottom w:val="0"/>
      <w:divBdr>
        <w:top w:val="none" w:sz="0" w:space="0" w:color="auto"/>
        <w:left w:val="none" w:sz="0" w:space="0" w:color="auto"/>
        <w:bottom w:val="none" w:sz="0" w:space="0" w:color="auto"/>
        <w:right w:val="none" w:sz="0" w:space="0" w:color="auto"/>
      </w:divBdr>
      <w:divsChild>
        <w:div w:id="641891040">
          <w:marLeft w:val="0"/>
          <w:marRight w:val="0"/>
          <w:marTop w:val="0"/>
          <w:marBottom w:val="0"/>
          <w:divBdr>
            <w:top w:val="none" w:sz="0" w:space="0" w:color="auto"/>
            <w:left w:val="none" w:sz="0" w:space="0" w:color="auto"/>
            <w:bottom w:val="none" w:sz="0" w:space="0" w:color="auto"/>
            <w:right w:val="none" w:sz="0" w:space="0" w:color="auto"/>
          </w:divBdr>
        </w:div>
      </w:divsChild>
    </w:div>
    <w:div w:id="565183643">
      <w:marLeft w:val="0"/>
      <w:marRight w:val="0"/>
      <w:marTop w:val="0"/>
      <w:marBottom w:val="200"/>
      <w:divBdr>
        <w:top w:val="none" w:sz="0" w:space="0" w:color="auto"/>
        <w:left w:val="none" w:sz="0" w:space="0" w:color="auto"/>
        <w:bottom w:val="none" w:sz="0" w:space="0" w:color="auto"/>
        <w:right w:val="none" w:sz="0" w:space="0" w:color="auto"/>
      </w:divBdr>
    </w:div>
    <w:div w:id="571506437">
      <w:marLeft w:val="0"/>
      <w:marRight w:val="0"/>
      <w:marTop w:val="0"/>
      <w:marBottom w:val="0"/>
      <w:divBdr>
        <w:top w:val="none" w:sz="0" w:space="0" w:color="auto"/>
        <w:left w:val="none" w:sz="0" w:space="0" w:color="auto"/>
        <w:bottom w:val="none" w:sz="0" w:space="0" w:color="auto"/>
        <w:right w:val="none" w:sz="0" w:space="0" w:color="auto"/>
      </w:divBdr>
      <w:divsChild>
        <w:div w:id="680858820">
          <w:marLeft w:val="0"/>
          <w:marRight w:val="0"/>
          <w:marTop w:val="0"/>
          <w:marBottom w:val="0"/>
          <w:divBdr>
            <w:top w:val="none" w:sz="0" w:space="0" w:color="auto"/>
            <w:left w:val="none" w:sz="0" w:space="0" w:color="auto"/>
            <w:bottom w:val="none" w:sz="0" w:space="0" w:color="auto"/>
            <w:right w:val="none" w:sz="0" w:space="0" w:color="auto"/>
          </w:divBdr>
        </w:div>
      </w:divsChild>
    </w:div>
    <w:div w:id="573127844">
      <w:marLeft w:val="0"/>
      <w:marRight w:val="0"/>
      <w:marTop w:val="0"/>
      <w:marBottom w:val="0"/>
      <w:divBdr>
        <w:top w:val="none" w:sz="0" w:space="0" w:color="auto"/>
        <w:left w:val="none" w:sz="0" w:space="0" w:color="auto"/>
        <w:bottom w:val="none" w:sz="0" w:space="0" w:color="auto"/>
        <w:right w:val="none" w:sz="0" w:space="0" w:color="auto"/>
      </w:divBdr>
      <w:divsChild>
        <w:div w:id="762455138">
          <w:marLeft w:val="0"/>
          <w:marRight w:val="0"/>
          <w:marTop w:val="0"/>
          <w:marBottom w:val="0"/>
          <w:divBdr>
            <w:top w:val="none" w:sz="0" w:space="0" w:color="auto"/>
            <w:left w:val="none" w:sz="0" w:space="0" w:color="auto"/>
            <w:bottom w:val="none" w:sz="0" w:space="0" w:color="auto"/>
            <w:right w:val="none" w:sz="0" w:space="0" w:color="auto"/>
          </w:divBdr>
        </w:div>
        <w:div w:id="1284002002">
          <w:marLeft w:val="0"/>
          <w:marRight w:val="0"/>
          <w:marTop w:val="180"/>
          <w:marBottom w:val="0"/>
          <w:divBdr>
            <w:top w:val="none" w:sz="0" w:space="0" w:color="auto"/>
            <w:left w:val="none" w:sz="0" w:space="0" w:color="auto"/>
            <w:bottom w:val="none" w:sz="0" w:space="0" w:color="auto"/>
            <w:right w:val="none" w:sz="0" w:space="0" w:color="auto"/>
          </w:divBdr>
        </w:div>
      </w:divsChild>
    </w:div>
    <w:div w:id="575045180">
      <w:marLeft w:val="0"/>
      <w:marRight w:val="0"/>
      <w:marTop w:val="0"/>
      <w:marBottom w:val="0"/>
      <w:divBdr>
        <w:top w:val="none" w:sz="0" w:space="0" w:color="auto"/>
        <w:left w:val="none" w:sz="0" w:space="0" w:color="auto"/>
        <w:bottom w:val="none" w:sz="0" w:space="0" w:color="auto"/>
        <w:right w:val="none" w:sz="0" w:space="0" w:color="auto"/>
      </w:divBdr>
      <w:divsChild>
        <w:div w:id="1810171999">
          <w:marLeft w:val="0"/>
          <w:marRight w:val="0"/>
          <w:marTop w:val="0"/>
          <w:marBottom w:val="0"/>
          <w:divBdr>
            <w:top w:val="none" w:sz="0" w:space="0" w:color="auto"/>
            <w:left w:val="none" w:sz="0" w:space="0" w:color="auto"/>
            <w:bottom w:val="none" w:sz="0" w:space="0" w:color="auto"/>
            <w:right w:val="none" w:sz="0" w:space="0" w:color="auto"/>
          </w:divBdr>
        </w:div>
        <w:div w:id="472019420">
          <w:marLeft w:val="0"/>
          <w:marRight w:val="0"/>
          <w:marTop w:val="180"/>
          <w:marBottom w:val="0"/>
          <w:divBdr>
            <w:top w:val="none" w:sz="0" w:space="0" w:color="auto"/>
            <w:left w:val="none" w:sz="0" w:space="0" w:color="auto"/>
            <w:bottom w:val="none" w:sz="0" w:space="0" w:color="auto"/>
            <w:right w:val="none" w:sz="0" w:space="0" w:color="auto"/>
          </w:divBdr>
        </w:div>
      </w:divsChild>
    </w:div>
    <w:div w:id="590621543">
      <w:marLeft w:val="0"/>
      <w:marRight w:val="0"/>
      <w:marTop w:val="0"/>
      <w:marBottom w:val="0"/>
      <w:divBdr>
        <w:top w:val="none" w:sz="0" w:space="0" w:color="auto"/>
        <w:left w:val="none" w:sz="0" w:space="0" w:color="auto"/>
        <w:bottom w:val="none" w:sz="0" w:space="0" w:color="auto"/>
        <w:right w:val="none" w:sz="0" w:space="0" w:color="auto"/>
      </w:divBdr>
      <w:divsChild>
        <w:div w:id="575096263">
          <w:marLeft w:val="0"/>
          <w:marRight w:val="0"/>
          <w:marTop w:val="0"/>
          <w:marBottom w:val="0"/>
          <w:divBdr>
            <w:top w:val="none" w:sz="0" w:space="0" w:color="auto"/>
            <w:left w:val="none" w:sz="0" w:space="0" w:color="auto"/>
            <w:bottom w:val="none" w:sz="0" w:space="0" w:color="auto"/>
            <w:right w:val="none" w:sz="0" w:space="0" w:color="auto"/>
          </w:divBdr>
        </w:div>
        <w:div w:id="234365205">
          <w:marLeft w:val="0"/>
          <w:marRight w:val="0"/>
          <w:marTop w:val="180"/>
          <w:marBottom w:val="0"/>
          <w:divBdr>
            <w:top w:val="none" w:sz="0" w:space="0" w:color="auto"/>
            <w:left w:val="none" w:sz="0" w:space="0" w:color="auto"/>
            <w:bottom w:val="none" w:sz="0" w:space="0" w:color="auto"/>
            <w:right w:val="none" w:sz="0" w:space="0" w:color="auto"/>
          </w:divBdr>
        </w:div>
      </w:divsChild>
    </w:div>
    <w:div w:id="592277741">
      <w:marLeft w:val="0"/>
      <w:marRight w:val="0"/>
      <w:marTop w:val="100"/>
      <w:marBottom w:val="60"/>
      <w:divBdr>
        <w:top w:val="none" w:sz="0" w:space="0" w:color="auto"/>
        <w:left w:val="none" w:sz="0" w:space="0" w:color="auto"/>
        <w:bottom w:val="none" w:sz="0" w:space="0" w:color="auto"/>
        <w:right w:val="none" w:sz="0" w:space="0" w:color="auto"/>
      </w:divBdr>
    </w:div>
    <w:div w:id="596059533">
      <w:marLeft w:val="0"/>
      <w:marRight w:val="0"/>
      <w:marTop w:val="0"/>
      <w:marBottom w:val="0"/>
      <w:divBdr>
        <w:top w:val="none" w:sz="0" w:space="0" w:color="auto"/>
        <w:left w:val="none" w:sz="0" w:space="0" w:color="auto"/>
        <w:bottom w:val="none" w:sz="0" w:space="0" w:color="auto"/>
        <w:right w:val="none" w:sz="0" w:space="0" w:color="auto"/>
      </w:divBdr>
      <w:divsChild>
        <w:div w:id="1334721681">
          <w:marLeft w:val="0"/>
          <w:marRight w:val="0"/>
          <w:marTop w:val="0"/>
          <w:marBottom w:val="0"/>
          <w:divBdr>
            <w:top w:val="none" w:sz="0" w:space="0" w:color="auto"/>
            <w:left w:val="none" w:sz="0" w:space="0" w:color="auto"/>
            <w:bottom w:val="none" w:sz="0" w:space="0" w:color="auto"/>
            <w:right w:val="none" w:sz="0" w:space="0" w:color="auto"/>
          </w:divBdr>
        </w:div>
      </w:divsChild>
    </w:div>
    <w:div w:id="602349016">
      <w:marLeft w:val="0"/>
      <w:marRight w:val="0"/>
      <w:marTop w:val="0"/>
      <w:marBottom w:val="0"/>
      <w:divBdr>
        <w:top w:val="none" w:sz="0" w:space="0" w:color="auto"/>
        <w:left w:val="none" w:sz="0" w:space="0" w:color="auto"/>
        <w:bottom w:val="none" w:sz="0" w:space="0" w:color="auto"/>
        <w:right w:val="none" w:sz="0" w:space="0" w:color="auto"/>
      </w:divBdr>
    </w:div>
    <w:div w:id="602878247">
      <w:marLeft w:val="0"/>
      <w:marRight w:val="0"/>
      <w:marTop w:val="0"/>
      <w:marBottom w:val="0"/>
      <w:divBdr>
        <w:top w:val="none" w:sz="0" w:space="0" w:color="auto"/>
        <w:left w:val="none" w:sz="0" w:space="0" w:color="auto"/>
        <w:bottom w:val="none" w:sz="0" w:space="0" w:color="auto"/>
        <w:right w:val="none" w:sz="0" w:space="0" w:color="auto"/>
      </w:divBdr>
      <w:divsChild>
        <w:div w:id="347366738">
          <w:marLeft w:val="0"/>
          <w:marRight w:val="0"/>
          <w:marTop w:val="0"/>
          <w:marBottom w:val="0"/>
          <w:divBdr>
            <w:top w:val="none" w:sz="0" w:space="0" w:color="auto"/>
            <w:left w:val="none" w:sz="0" w:space="0" w:color="auto"/>
            <w:bottom w:val="none" w:sz="0" w:space="0" w:color="auto"/>
            <w:right w:val="none" w:sz="0" w:space="0" w:color="auto"/>
          </w:divBdr>
        </w:div>
      </w:divsChild>
    </w:div>
    <w:div w:id="603656355">
      <w:marLeft w:val="0"/>
      <w:marRight w:val="0"/>
      <w:marTop w:val="0"/>
      <w:marBottom w:val="200"/>
      <w:divBdr>
        <w:top w:val="none" w:sz="0" w:space="0" w:color="auto"/>
        <w:left w:val="none" w:sz="0" w:space="0" w:color="auto"/>
        <w:bottom w:val="none" w:sz="0" w:space="0" w:color="auto"/>
        <w:right w:val="none" w:sz="0" w:space="0" w:color="auto"/>
      </w:divBdr>
    </w:div>
    <w:div w:id="624845611">
      <w:marLeft w:val="0"/>
      <w:marRight w:val="0"/>
      <w:marTop w:val="0"/>
      <w:marBottom w:val="200"/>
      <w:divBdr>
        <w:top w:val="none" w:sz="0" w:space="0" w:color="auto"/>
        <w:left w:val="none" w:sz="0" w:space="0" w:color="auto"/>
        <w:bottom w:val="none" w:sz="0" w:space="0" w:color="auto"/>
        <w:right w:val="none" w:sz="0" w:space="0" w:color="auto"/>
      </w:divBdr>
    </w:div>
    <w:div w:id="624851009">
      <w:marLeft w:val="0"/>
      <w:marRight w:val="0"/>
      <w:marTop w:val="0"/>
      <w:marBottom w:val="0"/>
      <w:divBdr>
        <w:top w:val="none" w:sz="0" w:space="0" w:color="auto"/>
        <w:left w:val="none" w:sz="0" w:space="0" w:color="auto"/>
        <w:bottom w:val="none" w:sz="0" w:space="0" w:color="auto"/>
        <w:right w:val="none" w:sz="0" w:space="0" w:color="auto"/>
      </w:divBdr>
      <w:divsChild>
        <w:div w:id="1811441899">
          <w:marLeft w:val="0"/>
          <w:marRight w:val="0"/>
          <w:marTop w:val="0"/>
          <w:marBottom w:val="0"/>
          <w:divBdr>
            <w:top w:val="none" w:sz="0" w:space="0" w:color="auto"/>
            <w:left w:val="none" w:sz="0" w:space="0" w:color="auto"/>
            <w:bottom w:val="none" w:sz="0" w:space="0" w:color="auto"/>
            <w:right w:val="none" w:sz="0" w:space="0" w:color="auto"/>
          </w:divBdr>
        </w:div>
      </w:divsChild>
    </w:div>
    <w:div w:id="625889227">
      <w:marLeft w:val="0"/>
      <w:marRight w:val="0"/>
      <w:marTop w:val="0"/>
      <w:marBottom w:val="0"/>
      <w:divBdr>
        <w:top w:val="none" w:sz="0" w:space="0" w:color="auto"/>
        <w:left w:val="none" w:sz="0" w:space="0" w:color="auto"/>
        <w:bottom w:val="none" w:sz="0" w:space="0" w:color="auto"/>
        <w:right w:val="none" w:sz="0" w:space="0" w:color="auto"/>
      </w:divBdr>
      <w:divsChild>
        <w:div w:id="293753559">
          <w:marLeft w:val="0"/>
          <w:marRight w:val="0"/>
          <w:marTop w:val="0"/>
          <w:marBottom w:val="0"/>
          <w:divBdr>
            <w:top w:val="none" w:sz="0" w:space="0" w:color="auto"/>
            <w:left w:val="none" w:sz="0" w:space="0" w:color="auto"/>
            <w:bottom w:val="none" w:sz="0" w:space="0" w:color="auto"/>
            <w:right w:val="none" w:sz="0" w:space="0" w:color="auto"/>
          </w:divBdr>
        </w:div>
      </w:divsChild>
    </w:div>
    <w:div w:id="635180932">
      <w:marLeft w:val="0"/>
      <w:marRight w:val="0"/>
      <w:marTop w:val="100"/>
      <w:marBottom w:val="0"/>
      <w:divBdr>
        <w:top w:val="none" w:sz="0" w:space="0" w:color="auto"/>
        <w:left w:val="none" w:sz="0" w:space="0" w:color="auto"/>
        <w:bottom w:val="none" w:sz="0" w:space="0" w:color="auto"/>
        <w:right w:val="none" w:sz="0" w:space="0" w:color="auto"/>
      </w:divBdr>
    </w:div>
    <w:div w:id="635837816">
      <w:marLeft w:val="0"/>
      <w:marRight w:val="0"/>
      <w:marTop w:val="0"/>
      <w:marBottom w:val="0"/>
      <w:divBdr>
        <w:top w:val="none" w:sz="0" w:space="0" w:color="auto"/>
        <w:left w:val="none" w:sz="0" w:space="0" w:color="auto"/>
        <w:bottom w:val="none" w:sz="0" w:space="0" w:color="auto"/>
        <w:right w:val="none" w:sz="0" w:space="0" w:color="auto"/>
      </w:divBdr>
    </w:div>
    <w:div w:id="639964939">
      <w:marLeft w:val="0"/>
      <w:marRight w:val="0"/>
      <w:marTop w:val="100"/>
      <w:marBottom w:val="0"/>
      <w:divBdr>
        <w:top w:val="none" w:sz="0" w:space="0" w:color="auto"/>
        <w:left w:val="none" w:sz="0" w:space="0" w:color="auto"/>
        <w:bottom w:val="none" w:sz="0" w:space="0" w:color="auto"/>
        <w:right w:val="none" w:sz="0" w:space="0" w:color="auto"/>
      </w:divBdr>
    </w:div>
    <w:div w:id="650407875">
      <w:marLeft w:val="0"/>
      <w:marRight w:val="0"/>
      <w:marTop w:val="100"/>
      <w:marBottom w:val="0"/>
      <w:divBdr>
        <w:top w:val="none" w:sz="0" w:space="0" w:color="auto"/>
        <w:left w:val="none" w:sz="0" w:space="0" w:color="auto"/>
        <w:bottom w:val="none" w:sz="0" w:space="0" w:color="auto"/>
        <w:right w:val="none" w:sz="0" w:space="0" w:color="auto"/>
      </w:divBdr>
    </w:div>
    <w:div w:id="656953806">
      <w:marLeft w:val="0"/>
      <w:marRight w:val="0"/>
      <w:marTop w:val="0"/>
      <w:marBottom w:val="0"/>
      <w:divBdr>
        <w:top w:val="none" w:sz="0" w:space="0" w:color="auto"/>
        <w:left w:val="none" w:sz="0" w:space="0" w:color="auto"/>
        <w:bottom w:val="none" w:sz="0" w:space="0" w:color="auto"/>
        <w:right w:val="none" w:sz="0" w:space="0" w:color="auto"/>
      </w:divBdr>
    </w:div>
    <w:div w:id="657002332">
      <w:marLeft w:val="0"/>
      <w:marRight w:val="0"/>
      <w:marTop w:val="0"/>
      <w:marBottom w:val="0"/>
      <w:divBdr>
        <w:top w:val="none" w:sz="0" w:space="0" w:color="auto"/>
        <w:left w:val="none" w:sz="0" w:space="0" w:color="auto"/>
        <w:bottom w:val="none" w:sz="0" w:space="0" w:color="auto"/>
        <w:right w:val="none" w:sz="0" w:space="0" w:color="auto"/>
      </w:divBdr>
    </w:div>
    <w:div w:id="662053078">
      <w:marLeft w:val="0"/>
      <w:marRight w:val="0"/>
      <w:marTop w:val="0"/>
      <w:marBottom w:val="0"/>
      <w:divBdr>
        <w:top w:val="none" w:sz="0" w:space="0" w:color="auto"/>
        <w:left w:val="none" w:sz="0" w:space="0" w:color="auto"/>
        <w:bottom w:val="none" w:sz="0" w:space="0" w:color="auto"/>
        <w:right w:val="none" w:sz="0" w:space="0" w:color="auto"/>
      </w:divBdr>
      <w:divsChild>
        <w:div w:id="784346586">
          <w:marLeft w:val="0"/>
          <w:marRight w:val="0"/>
          <w:marTop w:val="0"/>
          <w:marBottom w:val="0"/>
          <w:divBdr>
            <w:top w:val="none" w:sz="0" w:space="0" w:color="auto"/>
            <w:left w:val="none" w:sz="0" w:space="0" w:color="auto"/>
            <w:bottom w:val="none" w:sz="0" w:space="0" w:color="auto"/>
            <w:right w:val="none" w:sz="0" w:space="0" w:color="auto"/>
          </w:divBdr>
        </w:div>
      </w:divsChild>
    </w:div>
    <w:div w:id="667369277">
      <w:marLeft w:val="0"/>
      <w:marRight w:val="0"/>
      <w:marTop w:val="0"/>
      <w:marBottom w:val="0"/>
      <w:divBdr>
        <w:top w:val="none" w:sz="0" w:space="0" w:color="auto"/>
        <w:left w:val="none" w:sz="0" w:space="0" w:color="auto"/>
        <w:bottom w:val="none" w:sz="0" w:space="0" w:color="auto"/>
        <w:right w:val="none" w:sz="0" w:space="0" w:color="auto"/>
      </w:divBdr>
      <w:divsChild>
        <w:div w:id="470751311">
          <w:marLeft w:val="0"/>
          <w:marRight w:val="0"/>
          <w:marTop w:val="0"/>
          <w:marBottom w:val="0"/>
          <w:divBdr>
            <w:top w:val="none" w:sz="0" w:space="0" w:color="auto"/>
            <w:left w:val="none" w:sz="0" w:space="0" w:color="auto"/>
            <w:bottom w:val="none" w:sz="0" w:space="0" w:color="auto"/>
            <w:right w:val="none" w:sz="0" w:space="0" w:color="auto"/>
          </w:divBdr>
        </w:div>
      </w:divsChild>
    </w:div>
    <w:div w:id="676463819">
      <w:marLeft w:val="0"/>
      <w:marRight w:val="0"/>
      <w:marTop w:val="200"/>
      <w:marBottom w:val="0"/>
      <w:divBdr>
        <w:top w:val="none" w:sz="0" w:space="0" w:color="auto"/>
        <w:left w:val="none" w:sz="0" w:space="0" w:color="auto"/>
        <w:bottom w:val="none" w:sz="0" w:space="0" w:color="auto"/>
        <w:right w:val="none" w:sz="0" w:space="0" w:color="auto"/>
      </w:divBdr>
    </w:div>
    <w:div w:id="680820629">
      <w:marLeft w:val="0"/>
      <w:marRight w:val="0"/>
      <w:marTop w:val="0"/>
      <w:marBottom w:val="0"/>
      <w:divBdr>
        <w:top w:val="none" w:sz="0" w:space="0" w:color="auto"/>
        <w:left w:val="none" w:sz="0" w:space="0" w:color="auto"/>
        <w:bottom w:val="none" w:sz="0" w:space="0" w:color="auto"/>
        <w:right w:val="none" w:sz="0" w:space="0" w:color="auto"/>
      </w:divBdr>
      <w:divsChild>
        <w:div w:id="526337076">
          <w:marLeft w:val="0"/>
          <w:marRight w:val="0"/>
          <w:marTop w:val="0"/>
          <w:marBottom w:val="0"/>
          <w:divBdr>
            <w:top w:val="none" w:sz="0" w:space="0" w:color="auto"/>
            <w:left w:val="none" w:sz="0" w:space="0" w:color="auto"/>
            <w:bottom w:val="none" w:sz="0" w:space="0" w:color="auto"/>
            <w:right w:val="none" w:sz="0" w:space="0" w:color="auto"/>
          </w:divBdr>
        </w:div>
      </w:divsChild>
    </w:div>
    <w:div w:id="689257252">
      <w:marLeft w:val="0"/>
      <w:marRight w:val="0"/>
      <w:marTop w:val="0"/>
      <w:marBottom w:val="200"/>
      <w:divBdr>
        <w:top w:val="none" w:sz="0" w:space="0" w:color="auto"/>
        <w:left w:val="none" w:sz="0" w:space="0" w:color="auto"/>
        <w:bottom w:val="none" w:sz="0" w:space="0" w:color="auto"/>
        <w:right w:val="none" w:sz="0" w:space="0" w:color="auto"/>
      </w:divBdr>
    </w:div>
    <w:div w:id="704909301">
      <w:marLeft w:val="0"/>
      <w:marRight w:val="0"/>
      <w:marTop w:val="100"/>
      <w:marBottom w:val="0"/>
      <w:divBdr>
        <w:top w:val="none" w:sz="0" w:space="0" w:color="auto"/>
        <w:left w:val="none" w:sz="0" w:space="0" w:color="auto"/>
        <w:bottom w:val="none" w:sz="0" w:space="0" w:color="auto"/>
        <w:right w:val="none" w:sz="0" w:space="0" w:color="auto"/>
      </w:divBdr>
    </w:div>
    <w:div w:id="709064402">
      <w:marLeft w:val="0"/>
      <w:marRight w:val="0"/>
      <w:marTop w:val="0"/>
      <w:marBottom w:val="200"/>
      <w:divBdr>
        <w:top w:val="none" w:sz="0" w:space="0" w:color="auto"/>
        <w:left w:val="none" w:sz="0" w:space="0" w:color="auto"/>
        <w:bottom w:val="none" w:sz="0" w:space="0" w:color="auto"/>
        <w:right w:val="none" w:sz="0" w:space="0" w:color="auto"/>
      </w:divBdr>
    </w:div>
    <w:div w:id="714937912">
      <w:marLeft w:val="0"/>
      <w:marRight w:val="0"/>
      <w:marTop w:val="0"/>
      <w:marBottom w:val="0"/>
      <w:divBdr>
        <w:top w:val="none" w:sz="0" w:space="0" w:color="auto"/>
        <w:left w:val="none" w:sz="0" w:space="0" w:color="auto"/>
        <w:bottom w:val="none" w:sz="0" w:space="0" w:color="auto"/>
        <w:right w:val="none" w:sz="0" w:space="0" w:color="auto"/>
      </w:divBdr>
    </w:div>
    <w:div w:id="717172072">
      <w:marLeft w:val="0"/>
      <w:marRight w:val="0"/>
      <w:marTop w:val="0"/>
      <w:marBottom w:val="200"/>
      <w:divBdr>
        <w:top w:val="none" w:sz="0" w:space="0" w:color="auto"/>
        <w:left w:val="none" w:sz="0" w:space="0" w:color="auto"/>
        <w:bottom w:val="none" w:sz="0" w:space="0" w:color="auto"/>
        <w:right w:val="none" w:sz="0" w:space="0" w:color="auto"/>
      </w:divBdr>
    </w:div>
    <w:div w:id="722406911">
      <w:marLeft w:val="0"/>
      <w:marRight w:val="0"/>
      <w:marTop w:val="0"/>
      <w:marBottom w:val="0"/>
      <w:divBdr>
        <w:top w:val="none" w:sz="0" w:space="0" w:color="auto"/>
        <w:left w:val="none" w:sz="0" w:space="0" w:color="auto"/>
        <w:bottom w:val="none" w:sz="0" w:space="0" w:color="auto"/>
        <w:right w:val="none" w:sz="0" w:space="0" w:color="auto"/>
      </w:divBdr>
      <w:divsChild>
        <w:div w:id="452215944">
          <w:marLeft w:val="0"/>
          <w:marRight w:val="0"/>
          <w:marTop w:val="0"/>
          <w:marBottom w:val="0"/>
          <w:divBdr>
            <w:top w:val="none" w:sz="0" w:space="0" w:color="auto"/>
            <w:left w:val="none" w:sz="0" w:space="0" w:color="auto"/>
            <w:bottom w:val="none" w:sz="0" w:space="0" w:color="auto"/>
            <w:right w:val="none" w:sz="0" w:space="0" w:color="auto"/>
          </w:divBdr>
        </w:div>
      </w:divsChild>
    </w:div>
    <w:div w:id="724648543">
      <w:marLeft w:val="0"/>
      <w:marRight w:val="0"/>
      <w:marTop w:val="0"/>
      <w:marBottom w:val="0"/>
      <w:divBdr>
        <w:top w:val="none" w:sz="0" w:space="0" w:color="auto"/>
        <w:left w:val="none" w:sz="0" w:space="0" w:color="auto"/>
        <w:bottom w:val="none" w:sz="0" w:space="0" w:color="auto"/>
        <w:right w:val="none" w:sz="0" w:space="0" w:color="auto"/>
      </w:divBdr>
      <w:divsChild>
        <w:div w:id="1080106019">
          <w:marLeft w:val="0"/>
          <w:marRight w:val="0"/>
          <w:marTop w:val="0"/>
          <w:marBottom w:val="0"/>
          <w:divBdr>
            <w:top w:val="none" w:sz="0" w:space="0" w:color="auto"/>
            <w:left w:val="none" w:sz="0" w:space="0" w:color="auto"/>
            <w:bottom w:val="none" w:sz="0" w:space="0" w:color="auto"/>
            <w:right w:val="none" w:sz="0" w:space="0" w:color="auto"/>
          </w:divBdr>
        </w:div>
        <w:div w:id="1880822179">
          <w:marLeft w:val="0"/>
          <w:marRight w:val="0"/>
          <w:marTop w:val="180"/>
          <w:marBottom w:val="0"/>
          <w:divBdr>
            <w:top w:val="none" w:sz="0" w:space="0" w:color="auto"/>
            <w:left w:val="none" w:sz="0" w:space="0" w:color="auto"/>
            <w:bottom w:val="none" w:sz="0" w:space="0" w:color="auto"/>
            <w:right w:val="none" w:sz="0" w:space="0" w:color="auto"/>
          </w:divBdr>
        </w:div>
      </w:divsChild>
    </w:div>
    <w:div w:id="725572557">
      <w:marLeft w:val="0"/>
      <w:marRight w:val="0"/>
      <w:marTop w:val="0"/>
      <w:marBottom w:val="200"/>
      <w:divBdr>
        <w:top w:val="none" w:sz="0" w:space="0" w:color="auto"/>
        <w:left w:val="none" w:sz="0" w:space="0" w:color="auto"/>
        <w:bottom w:val="none" w:sz="0" w:space="0" w:color="auto"/>
        <w:right w:val="none" w:sz="0" w:space="0" w:color="auto"/>
      </w:divBdr>
    </w:div>
    <w:div w:id="739982107">
      <w:marLeft w:val="0"/>
      <w:marRight w:val="0"/>
      <w:marTop w:val="0"/>
      <w:marBottom w:val="0"/>
      <w:divBdr>
        <w:top w:val="none" w:sz="0" w:space="0" w:color="auto"/>
        <w:left w:val="none" w:sz="0" w:space="0" w:color="auto"/>
        <w:bottom w:val="none" w:sz="0" w:space="0" w:color="auto"/>
        <w:right w:val="none" w:sz="0" w:space="0" w:color="auto"/>
      </w:divBdr>
      <w:divsChild>
        <w:div w:id="2122798013">
          <w:marLeft w:val="0"/>
          <w:marRight w:val="0"/>
          <w:marTop w:val="0"/>
          <w:marBottom w:val="0"/>
          <w:divBdr>
            <w:top w:val="none" w:sz="0" w:space="0" w:color="auto"/>
            <w:left w:val="none" w:sz="0" w:space="0" w:color="auto"/>
            <w:bottom w:val="none" w:sz="0" w:space="0" w:color="auto"/>
            <w:right w:val="none" w:sz="0" w:space="0" w:color="auto"/>
          </w:divBdr>
        </w:div>
      </w:divsChild>
    </w:div>
    <w:div w:id="754057853">
      <w:marLeft w:val="0"/>
      <w:marRight w:val="0"/>
      <w:marTop w:val="100"/>
      <w:marBottom w:val="0"/>
      <w:divBdr>
        <w:top w:val="none" w:sz="0" w:space="0" w:color="auto"/>
        <w:left w:val="none" w:sz="0" w:space="0" w:color="auto"/>
        <w:bottom w:val="none" w:sz="0" w:space="0" w:color="auto"/>
        <w:right w:val="none" w:sz="0" w:space="0" w:color="auto"/>
      </w:divBdr>
    </w:div>
    <w:div w:id="754058981">
      <w:marLeft w:val="0"/>
      <w:marRight w:val="0"/>
      <w:marTop w:val="0"/>
      <w:marBottom w:val="200"/>
      <w:divBdr>
        <w:top w:val="none" w:sz="0" w:space="0" w:color="auto"/>
        <w:left w:val="none" w:sz="0" w:space="0" w:color="auto"/>
        <w:bottom w:val="none" w:sz="0" w:space="0" w:color="auto"/>
        <w:right w:val="none" w:sz="0" w:space="0" w:color="auto"/>
      </w:divBdr>
    </w:div>
    <w:div w:id="756563901">
      <w:marLeft w:val="0"/>
      <w:marRight w:val="0"/>
      <w:marTop w:val="0"/>
      <w:marBottom w:val="0"/>
      <w:divBdr>
        <w:top w:val="none" w:sz="0" w:space="0" w:color="auto"/>
        <w:left w:val="none" w:sz="0" w:space="0" w:color="auto"/>
        <w:bottom w:val="none" w:sz="0" w:space="0" w:color="auto"/>
        <w:right w:val="none" w:sz="0" w:space="0" w:color="auto"/>
      </w:divBdr>
    </w:div>
    <w:div w:id="763307642">
      <w:marLeft w:val="0"/>
      <w:marRight w:val="0"/>
      <w:marTop w:val="0"/>
      <w:marBottom w:val="0"/>
      <w:divBdr>
        <w:top w:val="none" w:sz="0" w:space="0" w:color="auto"/>
        <w:left w:val="none" w:sz="0" w:space="0" w:color="auto"/>
        <w:bottom w:val="none" w:sz="0" w:space="0" w:color="auto"/>
        <w:right w:val="none" w:sz="0" w:space="0" w:color="auto"/>
      </w:divBdr>
      <w:divsChild>
        <w:div w:id="1997999082">
          <w:marLeft w:val="0"/>
          <w:marRight w:val="0"/>
          <w:marTop w:val="0"/>
          <w:marBottom w:val="0"/>
          <w:divBdr>
            <w:top w:val="none" w:sz="0" w:space="0" w:color="auto"/>
            <w:left w:val="none" w:sz="0" w:space="0" w:color="auto"/>
            <w:bottom w:val="none" w:sz="0" w:space="0" w:color="auto"/>
            <w:right w:val="none" w:sz="0" w:space="0" w:color="auto"/>
          </w:divBdr>
        </w:div>
      </w:divsChild>
    </w:div>
    <w:div w:id="768162477">
      <w:marLeft w:val="0"/>
      <w:marRight w:val="0"/>
      <w:marTop w:val="0"/>
      <w:marBottom w:val="0"/>
      <w:divBdr>
        <w:top w:val="none" w:sz="0" w:space="0" w:color="auto"/>
        <w:left w:val="none" w:sz="0" w:space="0" w:color="auto"/>
        <w:bottom w:val="none" w:sz="0" w:space="0" w:color="auto"/>
        <w:right w:val="none" w:sz="0" w:space="0" w:color="auto"/>
      </w:divBdr>
      <w:divsChild>
        <w:div w:id="962614359">
          <w:marLeft w:val="0"/>
          <w:marRight w:val="0"/>
          <w:marTop w:val="0"/>
          <w:marBottom w:val="0"/>
          <w:divBdr>
            <w:top w:val="none" w:sz="0" w:space="0" w:color="auto"/>
            <w:left w:val="none" w:sz="0" w:space="0" w:color="auto"/>
            <w:bottom w:val="none" w:sz="0" w:space="0" w:color="auto"/>
            <w:right w:val="none" w:sz="0" w:space="0" w:color="auto"/>
          </w:divBdr>
        </w:div>
        <w:div w:id="944119881">
          <w:marLeft w:val="0"/>
          <w:marRight w:val="0"/>
          <w:marTop w:val="180"/>
          <w:marBottom w:val="0"/>
          <w:divBdr>
            <w:top w:val="none" w:sz="0" w:space="0" w:color="auto"/>
            <w:left w:val="none" w:sz="0" w:space="0" w:color="auto"/>
            <w:bottom w:val="none" w:sz="0" w:space="0" w:color="auto"/>
            <w:right w:val="none" w:sz="0" w:space="0" w:color="auto"/>
          </w:divBdr>
        </w:div>
      </w:divsChild>
    </w:div>
    <w:div w:id="773135828">
      <w:marLeft w:val="0"/>
      <w:marRight w:val="0"/>
      <w:marTop w:val="200"/>
      <w:marBottom w:val="0"/>
      <w:divBdr>
        <w:top w:val="none" w:sz="0" w:space="0" w:color="auto"/>
        <w:left w:val="none" w:sz="0" w:space="0" w:color="auto"/>
        <w:bottom w:val="none" w:sz="0" w:space="0" w:color="auto"/>
        <w:right w:val="none" w:sz="0" w:space="0" w:color="auto"/>
      </w:divBdr>
    </w:div>
    <w:div w:id="775714622">
      <w:marLeft w:val="0"/>
      <w:marRight w:val="0"/>
      <w:marTop w:val="0"/>
      <w:marBottom w:val="0"/>
      <w:divBdr>
        <w:top w:val="none" w:sz="0" w:space="0" w:color="auto"/>
        <w:left w:val="none" w:sz="0" w:space="0" w:color="auto"/>
        <w:bottom w:val="none" w:sz="0" w:space="0" w:color="auto"/>
        <w:right w:val="none" w:sz="0" w:space="0" w:color="auto"/>
      </w:divBdr>
      <w:divsChild>
        <w:div w:id="169830592">
          <w:marLeft w:val="0"/>
          <w:marRight w:val="0"/>
          <w:marTop w:val="0"/>
          <w:marBottom w:val="0"/>
          <w:divBdr>
            <w:top w:val="none" w:sz="0" w:space="0" w:color="auto"/>
            <w:left w:val="none" w:sz="0" w:space="0" w:color="auto"/>
            <w:bottom w:val="none" w:sz="0" w:space="0" w:color="auto"/>
            <w:right w:val="none" w:sz="0" w:space="0" w:color="auto"/>
          </w:divBdr>
        </w:div>
      </w:divsChild>
    </w:div>
    <w:div w:id="779451146">
      <w:marLeft w:val="0"/>
      <w:marRight w:val="0"/>
      <w:marTop w:val="0"/>
      <w:marBottom w:val="0"/>
      <w:divBdr>
        <w:top w:val="none" w:sz="0" w:space="0" w:color="auto"/>
        <w:left w:val="none" w:sz="0" w:space="0" w:color="auto"/>
        <w:bottom w:val="none" w:sz="0" w:space="0" w:color="auto"/>
        <w:right w:val="none" w:sz="0" w:space="0" w:color="auto"/>
      </w:divBdr>
      <w:divsChild>
        <w:div w:id="327559065">
          <w:marLeft w:val="0"/>
          <w:marRight w:val="0"/>
          <w:marTop w:val="0"/>
          <w:marBottom w:val="0"/>
          <w:divBdr>
            <w:top w:val="none" w:sz="0" w:space="0" w:color="auto"/>
            <w:left w:val="none" w:sz="0" w:space="0" w:color="auto"/>
            <w:bottom w:val="none" w:sz="0" w:space="0" w:color="auto"/>
            <w:right w:val="none" w:sz="0" w:space="0" w:color="auto"/>
          </w:divBdr>
        </w:div>
      </w:divsChild>
    </w:div>
    <w:div w:id="783306027">
      <w:marLeft w:val="0"/>
      <w:marRight w:val="0"/>
      <w:marTop w:val="0"/>
      <w:marBottom w:val="0"/>
      <w:divBdr>
        <w:top w:val="none" w:sz="0" w:space="0" w:color="auto"/>
        <w:left w:val="none" w:sz="0" w:space="0" w:color="auto"/>
        <w:bottom w:val="none" w:sz="0" w:space="0" w:color="auto"/>
        <w:right w:val="none" w:sz="0" w:space="0" w:color="auto"/>
      </w:divBdr>
      <w:divsChild>
        <w:div w:id="758256893">
          <w:marLeft w:val="0"/>
          <w:marRight w:val="0"/>
          <w:marTop w:val="0"/>
          <w:marBottom w:val="0"/>
          <w:divBdr>
            <w:top w:val="none" w:sz="0" w:space="0" w:color="auto"/>
            <w:left w:val="none" w:sz="0" w:space="0" w:color="auto"/>
            <w:bottom w:val="none" w:sz="0" w:space="0" w:color="auto"/>
            <w:right w:val="none" w:sz="0" w:space="0" w:color="auto"/>
          </w:divBdr>
        </w:div>
      </w:divsChild>
    </w:div>
    <w:div w:id="788088414">
      <w:marLeft w:val="0"/>
      <w:marRight w:val="0"/>
      <w:marTop w:val="0"/>
      <w:marBottom w:val="200"/>
      <w:divBdr>
        <w:top w:val="none" w:sz="0" w:space="0" w:color="auto"/>
        <w:left w:val="none" w:sz="0" w:space="0" w:color="auto"/>
        <w:bottom w:val="none" w:sz="0" w:space="0" w:color="auto"/>
        <w:right w:val="none" w:sz="0" w:space="0" w:color="auto"/>
      </w:divBdr>
    </w:div>
    <w:div w:id="788205871">
      <w:marLeft w:val="0"/>
      <w:marRight w:val="0"/>
      <w:marTop w:val="0"/>
      <w:marBottom w:val="200"/>
      <w:divBdr>
        <w:top w:val="none" w:sz="0" w:space="0" w:color="auto"/>
        <w:left w:val="none" w:sz="0" w:space="0" w:color="auto"/>
        <w:bottom w:val="none" w:sz="0" w:space="0" w:color="auto"/>
        <w:right w:val="none" w:sz="0" w:space="0" w:color="auto"/>
      </w:divBdr>
    </w:div>
    <w:div w:id="799374228">
      <w:marLeft w:val="0"/>
      <w:marRight w:val="0"/>
      <w:marTop w:val="100"/>
      <w:marBottom w:val="0"/>
      <w:divBdr>
        <w:top w:val="none" w:sz="0" w:space="0" w:color="auto"/>
        <w:left w:val="none" w:sz="0" w:space="0" w:color="auto"/>
        <w:bottom w:val="none" w:sz="0" w:space="0" w:color="auto"/>
        <w:right w:val="none" w:sz="0" w:space="0" w:color="auto"/>
      </w:divBdr>
      <w:divsChild>
        <w:div w:id="1508977671">
          <w:marLeft w:val="0"/>
          <w:marRight w:val="0"/>
          <w:marTop w:val="0"/>
          <w:marBottom w:val="44"/>
          <w:divBdr>
            <w:top w:val="none" w:sz="0" w:space="0" w:color="auto"/>
            <w:left w:val="none" w:sz="0" w:space="0" w:color="auto"/>
            <w:bottom w:val="none" w:sz="0" w:space="0" w:color="auto"/>
            <w:right w:val="none" w:sz="0" w:space="0" w:color="auto"/>
          </w:divBdr>
        </w:div>
        <w:div w:id="774642990">
          <w:marLeft w:val="0"/>
          <w:marRight w:val="0"/>
          <w:marTop w:val="0"/>
          <w:marBottom w:val="44"/>
          <w:divBdr>
            <w:top w:val="none" w:sz="0" w:space="0" w:color="auto"/>
            <w:left w:val="none" w:sz="0" w:space="0" w:color="auto"/>
            <w:bottom w:val="none" w:sz="0" w:space="0" w:color="auto"/>
            <w:right w:val="none" w:sz="0" w:space="0" w:color="auto"/>
          </w:divBdr>
        </w:div>
        <w:div w:id="80413599">
          <w:marLeft w:val="0"/>
          <w:marRight w:val="0"/>
          <w:marTop w:val="0"/>
          <w:marBottom w:val="44"/>
          <w:divBdr>
            <w:top w:val="none" w:sz="0" w:space="0" w:color="auto"/>
            <w:left w:val="none" w:sz="0" w:space="0" w:color="auto"/>
            <w:bottom w:val="none" w:sz="0" w:space="0" w:color="auto"/>
            <w:right w:val="none" w:sz="0" w:space="0" w:color="auto"/>
          </w:divBdr>
        </w:div>
        <w:div w:id="1731463475">
          <w:marLeft w:val="0"/>
          <w:marRight w:val="0"/>
          <w:marTop w:val="0"/>
          <w:marBottom w:val="44"/>
          <w:divBdr>
            <w:top w:val="none" w:sz="0" w:space="0" w:color="auto"/>
            <w:left w:val="none" w:sz="0" w:space="0" w:color="auto"/>
            <w:bottom w:val="none" w:sz="0" w:space="0" w:color="auto"/>
            <w:right w:val="none" w:sz="0" w:space="0" w:color="auto"/>
          </w:divBdr>
        </w:div>
        <w:div w:id="1648976833">
          <w:marLeft w:val="0"/>
          <w:marRight w:val="0"/>
          <w:marTop w:val="0"/>
          <w:marBottom w:val="44"/>
          <w:divBdr>
            <w:top w:val="none" w:sz="0" w:space="0" w:color="auto"/>
            <w:left w:val="none" w:sz="0" w:space="0" w:color="auto"/>
            <w:bottom w:val="none" w:sz="0" w:space="0" w:color="auto"/>
            <w:right w:val="none" w:sz="0" w:space="0" w:color="auto"/>
          </w:divBdr>
        </w:div>
        <w:div w:id="99877422">
          <w:marLeft w:val="0"/>
          <w:marRight w:val="0"/>
          <w:marTop w:val="0"/>
          <w:marBottom w:val="44"/>
          <w:divBdr>
            <w:top w:val="none" w:sz="0" w:space="0" w:color="auto"/>
            <w:left w:val="none" w:sz="0" w:space="0" w:color="auto"/>
            <w:bottom w:val="none" w:sz="0" w:space="0" w:color="auto"/>
            <w:right w:val="none" w:sz="0" w:space="0" w:color="auto"/>
          </w:divBdr>
        </w:div>
      </w:divsChild>
    </w:div>
    <w:div w:id="799956216">
      <w:marLeft w:val="0"/>
      <w:marRight w:val="0"/>
      <w:marTop w:val="0"/>
      <w:marBottom w:val="0"/>
      <w:divBdr>
        <w:top w:val="none" w:sz="0" w:space="0" w:color="auto"/>
        <w:left w:val="none" w:sz="0" w:space="0" w:color="auto"/>
        <w:bottom w:val="none" w:sz="0" w:space="0" w:color="auto"/>
        <w:right w:val="none" w:sz="0" w:space="0" w:color="auto"/>
      </w:divBdr>
      <w:divsChild>
        <w:div w:id="1151363682">
          <w:marLeft w:val="0"/>
          <w:marRight w:val="0"/>
          <w:marTop w:val="0"/>
          <w:marBottom w:val="0"/>
          <w:divBdr>
            <w:top w:val="none" w:sz="0" w:space="0" w:color="auto"/>
            <w:left w:val="none" w:sz="0" w:space="0" w:color="auto"/>
            <w:bottom w:val="none" w:sz="0" w:space="0" w:color="auto"/>
            <w:right w:val="none" w:sz="0" w:space="0" w:color="auto"/>
          </w:divBdr>
        </w:div>
        <w:div w:id="1203861854">
          <w:marLeft w:val="0"/>
          <w:marRight w:val="0"/>
          <w:marTop w:val="180"/>
          <w:marBottom w:val="0"/>
          <w:divBdr>
            <w:top w:val="none" w:sz="0" w:space="0" w:color="auto"/>
            <w:left w:val="none" w:sz="0" w:space="0" w:color="auto"/>
            <w:bottom w:val="none" w:sz="0" w:space="0" w:color="auto"/>
            <w:right w:val="none" w:sz="0" w:space="0" w:color="auto"/>
          </w:divBdr>
        </w:div>
      </w:divsChild>
    </w:div>
    <w:div w:id="800805492">
      <w:marLeft w:val="0"/>
      <w:marRight w:val="0"/>
      <w:marTop w:val="0"/>
      <w:marBottom w:val="0"/>
      <w:divBdr>
        <w:top w:val="none" w:sz="0" w:space="0" w:color="auto"/>
        <w:left w:val="none" w:sz="0" w:space="0" w:color="auto"/>
        <w:bottom w:val="none" w:sz="0" w:space="0" w:color="auto"/>
        <w:right w:val="none" w:sz="0" w:space="0" w:color="auto"/>
      </w:divBdr>
    </w:div>
    <w:div w:id="804005597">
      <w:marLeft w:val="0"/>
      <w:marRight w:val="0"/>
      <w:marTop w:val="0"/>
      <w:marBottom w:val="60"/>
      <w:divBdr>
        <w:top w:val="none" w:sz="0" w:space="0" w:color="auto"/>
        <w:left w:val="none" w:sz="0" w:space="0" w:color="auto"/>
        <w:bottom w:val="none" w:sz="0" w:space="0" w:color="auto"/>
        <w:right w:val="none" w:sz="0" w:space="0" w:color="auto"/>
      </w:divBdr>
    </w:div>
    <w:div w:id="805007248">
      <w:marLeft w:val="0"/>
      <w:marRight w:val="0"/>
      <w:marTop w:val="0"/>
      <w:marBottom w:val="200"/>
      <w:divBdr>
        <w:top w:val="none" w:sz="0" w:space="0" w:color="auto"/>
        <w:left w:val="none" w:sz="0" w:space="0" w:color="auto"/>
        <w:bottom w:val="none" w:sz="0" w:space="0" w:color="auto"/>
        <w:right w:val="none" w:sz="0" w:space="0" w:color="auto"/>
      </w:divBdr>
    </w:div>
    <w:div w:id="808471708">
      <w:marLeft w:val="0"/>
      <w:marRight w:val="0"/>
      <w:marTop w:val="100"/>
      <w:marBottom w:val="0"/>
      <w:divBdr>
        <w:top w:val="none" w:sz="0" w:space="0" w:color="auto"/>
        <w:left w:val="none" w:sz="0" w:space="0" w:color="auto"/>
        <w:bottom w:val="none" w:sz="0" w:space="0" w:color="auto"/>
        <w:right w:val="none" w:sz="0" w:space="0" w:color="auto"/>
      </w:divBdr>
    </w:div>
    <w:div w:id="811218845">
      <w:marLeft w:val="0"/>
      <w:marRight w:val="0"/>
      <w:marTop w:val="0"/>
      <w:marBottom w:val="200"/>
      <w:divBdr>
        <w:top w:val="none" w:sz="0" w:space="0" w:color="auto"/>
        <w:left w:val="none" w:sz="0" w:space="0" w:color="auto"/>
        <w:bottom w:val="none" w:sz="0" w:space="0" w:color="auto"/>
        <w:right w:val="none" w:sz="0" w:space="0" w:color="auto"/>
      </w:divBdr>
    </w:div>
    <w:div w:id="820465474">
      <w:marLeft w:val="0"/>
      <w:marRight w:val="0"/>
      <w:marTop w:val="0"/>
      <w:marBottom w:val="200"/>
      <w:divBdr>
        <w:top w:val="none" w:sz="0" w:space="0" w:color="auto"/>
        <w:left w:val="none" w:sz="0" w:space="0" w:color="auto"/>
        <w:bottom w:val="none" w:sz="0" w:space="0" w:color="auto"/>
        <w:right w:val="none" w:sz="0" w:space="0" w:color="auto"/>
      </w:divBdr>
    </w:div>
    <w:div w:id="823008443">
      <w:marLeft w:val="0"/>
      <w:marRight w:val="0"/>
      <w:marTop w:val="100"/>
      <w:marBottom w:val="0"/>
      <w:divBdr>
        <w:top w:val="none" w:sz="0" w:space="0" w:color="auto"/>
        <w:left w:val="none" w:sz="0" w:space="0" w:color="auto"/>
        <w:bottom w:val="none" w:sz="0" w:space="0" w:color="auto"/>
        <w:right w:val="none" w:sz="0" w:space="0" w:color="auto"/>
      </w:divBdr>
    </w:div>
    <w:div w:id="826357981">
      <w:marLeft w:val="0"/>
      <w:marRight w:val="0"/>
      <w:marTop w:val="120"/>
      <w:marBottom w:val="0"/>
      <w:divBdr>
        <w:top w:val="none" w:sz="0" w:space="0" w:color="auto"/>
        <w:left w:val="none" w:sz="0" w:space="0" w:color="auto"/>
        <w:bottom w:val="none" w:sz="0" w:space="0" w:color="auto"/>
        <w:right w:val="none" w:sz="0" w:space="0" w:color="auto"/>
      </w:divBdr>
    </w:div>
    <w:div w:id="836382094">
      <w:marLeft w:val="0"/>
      <w:marRight w:val="0"/>
      <w:marTop w:val="0"/>
      <w:marBottom w:val="0"/>
      <w:divBdr>
        <w:top w:val="none" w:sz="0" w:space="0" w:color="auto"/>
        <w:left w:val="none" w:sz="0" w:space="0" w:color="auto"/>
        <w:bottom w:val="none" w:sz="0" w:space="0" w:color="auto"/>
        <w:right w:val="none" w:sz="0" w:space="0" w:color="auto"/>
      </w:divBdr>
      <w:divsChild>
        <w:div w:id="60760057">
          <w:marLeft w:val="0"/>
          <w:marRight w:val="0"/>
          <w:marTop w:val="0"/>
          <w:marBottom w:val="0"/>
          <w:divBdr>
            <w:top w:val="none" w:sz="0" w:space="0" w:color="auto"/>
            <w:left w:val="none" w:sz="0" w:space="0" w:color="auto"/>
            <w:bottom w:val="none" w:sz="0" w:space="0" w:color="auto"/>
            <w:right w:val="none" w:sz="0" w:space="0" w:color="auto"/>
          </w:divBdr>
        </w:div>
        <w:div w:id="466751710">
          <w:marLeft w:val="0"/>
          <w:marRight w:val="0"/>
          <w:marTop w:val="180"/>
          <w:marBottom w:val="0"/>
          <w:divBdr>
            <w:top w:val="none" w:sz="0" w:space="0" w:color="auto"/>
            <w:left w:val="none" w:sz="0" w:space="0" w:color="auto"/>
            <w:bottom w:val="none" w:sz="0" w:space="0" w:color="auto"/>
            <w:right w:val="none" w:sz="0" w:space="0" w:color="auto"/>
          </w:divBdr>
        </w:div>
      </w:divsChild>
    </w:div>
    <w:div w:id="843978330">
      <w:marLeft w:val="0"/>
      <w:marRight w:val="0"/>
      <w:marTop w:val="0"/>
      <w:marBottom w:val="200"/>
      <w:divBdr>
        <w:top w:val="none" w:sz="0" w:space="0" w:color="auto"/>
        <w:left w:val="none" w:sz="0" w:space="0" w:color="auto"/>
        <w:bottom w:val="none" w:sz="0" w:space="0" w:color="auto"/>
        <w:right w:val="none" w:sz="0" w:space="0" w:color="auto"/>
      </w:divBdr>
    </w:div>
    <w:div w:id="856309050">
      <w:marLeft w:val="0"/>
      <w:marRight w:val="0"/>
      <w:marTop w:val="100"/>
      <w:marBottom w:val="0"/>
      <w:divBdr>
        <w:top w:val="none" w:sz="0" w:space="0" w:color="auto"/>
        <w:left w:val="none" w:sz="0" w:space="0" w:color="auto"/>
        <w:bottom w:val="none" w:sz="0" w:space="0" w:color="auto"/>
        <w:right w:val="none" w:sz="0" w:space="0" w:color="auto"/>
      </w:divBdr>
      <w:divsChild>
        <w:div w:id="675232758">
          <w:marLeft w:val="0"/>
          <w:marRight w:val="0"/>
          <w:marTop w:val="0"/>
          <w:marBottom w:val="0"/>
          <w:divBdr>
            <w:top w:val="none" w:sz="0" w:space="0" w:color="auto"/>
            <w:left w:val="none" w:sz="0" w:space="0" w:color="auto"/>
            <w:bottom w:val="none" w:sz="0" w:space="0" w:color="auto"/>
            <w:right w:val="none" w:sz="0" w:space="0" w:color="auto"/>
          </w:divBdr>
        </w:div>
        <w:div w:id="1541820402">
          <w:marLeft w:val="0"/>
          <w:marRight w:val="0"/>
          <w:marTop w:val="0"/>
          <w:marBottom w:val="0"/>
          <w:divBdr>
            <w:top w:val="none" w:sz="0" w:space="0" w:color="auto"/>
            <w:left w:val="none" w:sz="0" w:space="0" w:color="auto"/>
            <w:bottom w:val="none" w:sz="0" w:space="0" w:color="auto"/>
            <w:right w:val="none" w:sz="0" w:space="0" w:color="auto"/>
          </w:divBdr>
        </w:div>
        <w:div w:id="454644510">
          <w:marLeft w:val="0"/>
          <w:marRight w:val="0"/>
          <w:marTop w:val="0"/>
          <w:marBottom w:val="0"/>
          <w:divBdr>
            <w:top w:val="none" w:sz="0" w:space="0" w:color="auto"/>
            <w:left w:val="none" w:sz="0" w:space="0" w:color="auto"/>
            <w:bottom w:val="none" w:sz="0" w:space="0" w:color="auto"/>
            <w:right w:val="none" w:sz="0" w:space="0" w:color="auto"/>
          </w:divBdr>
        </w:div>
        <w:div w:id="991103356">
          <w:marLeft w:val="0"/>
          <w:marRight w:val="0"/>
          <w:marTop w:val="0"/>
          <w:marBottom w:val="0"/>
          <w:divBdr>
            <w:top w:val="none" w:sz="0" w:space="0" w:color="auto"/>
            <w:left w:val="none" w:sz="0" w:space="0" w:color="auto"/>
            <w:bottom w:val="none" w:sz="0" w:space="0" w:color="auto"/>
            <w:right w:val="none" w:sz="0" w:space="0" w:color="auto"/>
          </w:divBdr>
        </w:div>
        <w:div w:id="1981418875">
          <w:marLeft w:val="0"/>
          <w:marRight w:val="0"/>
          <w:marTop w:val="0"/>
          <w:marBottom w:val="0"/>
          <w:divBdr>
            <w:top w:val="none" w:sz="0" w:space="0" w:color="auto"/>
            <w:left w:val="none" w:sz="0" w:space="0" w:color="auto"/>
            <w:bottom w:val="none" w:sz="0" w:space="0" w:color="auto"/>
            <w:right w:val="none" w:sz="0" w:space="0" w:color="auto"/>
          </w:divBdr>
        </w:div>
        <w:div w:id="1066954694">
          <w:marLeft w:val="0"/>
          <w:marRight w:val="0"/>
          <w:marTop w:val="0"/>
          <w:marBottom w:val="0"/>
          <w:divBdr>
            <w:top w:val="none" w:sz="0" w:space="0" w:color="auto"/>
            <w:left w:val="none" w:sz="0" w:space="0" w:color="auto"/>
            <w:bottom w:val="none" w:sz="0" w:space="0" w:color="auto"/>
            <w:right w:val="none" w:sz="0" w:space="0" w:color="auto"/>
          </w:divBdr>
        </w:div>
        <w:div w:id="372073722">
          <w:marLeft w:val="0"/>
          <w:marRight w:val="0"/>
          <w:marTop w:val="0"/>
          <w:marBottom w:val="0"/>
          <w:divBdr>
            <w:top w:val="none" w:sz="0" w:space="0" w:color="auto"/>
            <w:left w:val="none" w:sz="0" w:space="0" w:color="auto"/>
            <w:bottom w:val="none" w:sz="0" w:space="0" w:color="auto"/>
            <w:right w:val="none" w:sz="0" w:space="0" w:color="auto"/>
          </w:divBdr>
        </w:div>
      </w:divsChild>
    </w:div>
    <w:div w:id="856504779">
      <w:marLeft w:val="0"/>
      <w:marRight w:val="0"/>
      <w:marTop w:val="0"/>
      <w:marBottom w:val="100"/>
      <w:divBdr>
        <w:top w:val="none" w:sz="0" w:space="0" w:color="auto"/>
        <w:left w:val="none" w:sz="0" w:space="0" w:color="auto"/>
        <w:bottom w:val="none" w:sz="0" w:space="0" w:color="auto"/>
        <w:right w:val="none" w:sz="0" w:space="0" w:color="auto"/>
      </w:divBdr>
      <w:divsChild>
        <w:div w:id="1178615123">
          <w:marLeft w:val="0"/>
          <w:marRight w:val="0"/>
          <w:marTop w:val="0"/>
          <w:marBottom w:val="0"/>
          <w:divBdr>
            <w:top w:val="none" w:sz="0" w:space="0" w:color="auto"/>
            <w:left w:val="none" w:sz="0" w:space="0" w:color="auto"/>
            <w:bottom w:val="none" w:sz="0" w:space="0" w:color="auto"/>
            <w:right w:val="none" w:sz="0" w:space="0" w:color="auto"/>
          </w:divBdr>
        </w:div>
        <w:div w:id="868226890">
          <w:marLeft w:val="0"/>
          <w:marRight w:val="0"/>
          <w:marTop w:val="0"/>
          <w:marBottom w:val="0"/>
          <w:divBdr>
            <w:top w:val="none" w:sz="0" w:space="0" w:color="auto"/>
            <w:left w:val="none" w:sz="0" w:space="0" w:color="auto"/>
            <w:bottom w:val="none" w:sz="0" w:space="0" w:color="auto"/>
            <w:right w:val="none" w:sz="0" w:space="0" w:color="auto"/>
          </w:divBdr>
        </w:div>
        <w:div w:id="259922169">
          <w:marLeft w:val="0"/>
          <w:marRight w:val="0"/>
          <w:marTop w:val="0"/>
          <w:marBottom w:val="0"/>
          <w:divBdr>
            <w:top w:val="none" w:sz="0" w:space="0" w:color="auto"/>
            <w:left w:val="none" w:sz="0" w:space="0" w:color="auto"/>
            <w:bottom w:val="none" w:sz="0" w:space="0" w:color="auto"/>
            <w:right w:val="none" w:sz="0" w:space="0" w:color="auto"/>
          </w:divBdr>
        </w:div>
        <w:div w:id="183635392">
          <w:marLeft w:val="0"/>
          <w:marRight w:val="0"/>
          <w:marTop w:val="0"/>
          <w:marBottom w:val="0"/>
          <w:divBdr>
            <w:top w:val="none" w:sz="0" w:space="0" w:color="auto"/>
            <w:left w:val="none" w:sz="0" w:space="0" w:color="auto"/>
            <w:bottom w:val="none" w:sz="0" w:space="0" w:color="auto"/>
            <w:right w:val="none" w:sz="0" w:space="0" w:color="auto"/>
          </w:divBdr>
        </w:div>
        <w:div w:id="414323232">
          <w:marLeft w:val="0"/>
          <w:marRight w:val="0"/>
          <w:marTop w:val="0"/>
          <w:marBottom w:val="0"/>
          <w:divBdr>
            <w:top w:val="none" w:sz="0" w:space="0" w:color="auto"/>
            <w:left w:val="none" w:sz="0" w:space="0" w:color="auto"/>
            <w:bottom w:val="none" w:sz="0" w:space="0" w:color="auto"/>
            <w:right w:val="none" w:sz="0" w:space="0" w:color="auto"/>
          </w:divBdr>
        </w:div>
        <w:div w:id="1804301326">
          <w:marLeft w:val="0"/>
          <w:marRight w:val="0"/>
          <w:marTop w:val="0"/>
          <w:marBottom w:val="0"/>
          <w:divBdr>
            <w:top w:val="none" w:sz="0" w:space="0" w:color="auto"/>
            <w:left w:val="none" w:sz="0" w:space="0" w:color="auto"/>
            <w:bottom w:val="none" w:sz="0" w:space="0" w:color="auto"/>
            <w:right w:val="none" w:sz="0" w:space="0" w:color="auto"/>
          </w:divBdr>
        </w:div>
      </w:divsChild>
    </w:div>
    <w:div w:id="862979062">
      <w:marLeft w:val="0"/>
      <w:marRight w:val="0"/>
      <w:marTop w:val="0"/>
      <w:marBottom w:val="200"/>
      <w:divBdr>
        <w:top w:val="none" w:sz="0" w:space="0" w:color="auto"/>
        <w:left w:val="none" w:sz="0" w:space="0" w:color="auto"/>
        <w:bottom w:val="none" w:sz="0" w:space="0" w:color="auto"/>
        <w:right w:val="none" w:sz="0" w:space="0" w:color="auto"/>
      </w:divBdr>
    </w:div>
    <w:div w:id="865171113">
      <w:marLeft w:val="0"/>
      <w:marRight w:val="0"/>
      <w:marTop w:val="0"/>
      <w:marBottom w:val="0"/>
      <w:divBdr>
        <w:top w:val="none" w:sz="0" w:space="0" w:color="auto"/>
        <w:left w:val="none" w:sz="0" w:space="0" w:color="auto"/>
        <w:bottom w:val="none" w:sz="0" w:space="0" w:color="auto"/>
        <w:right w:val="none" w:sz="0" w:space="0" w:color="auto"/>
      </w:divBdr>
    </w:div>
    <w:div w:id="874467266">
      <w:marLeft w:val="0"/>
      <w:marRight w:val="0"/>
      <w:marTop w:val="100"/>
      <w:marBottom w:val="60"/>
      <w:divBdr>
        <w:top w:val="none" w:sz="0" w:space="0" w:color="auto"/>
        <w:left w:val="none" w:sz="0" w:space="0" w:color="auto"/>
        <w:bottom w:val="none" w:sz="0" w:space="0" w:color="auto"/>
        <w:right w:val="none" w:sz="0" w:space="0" w:color="auto"/>
      </w:divBdr>
    </w:div>
    <w:div w:id="875000215">
      <w:marLeft w:val="0"/>
      <w:marRight w:val="0"/>
      <w:marTop w:val="0"/>
      <w:marBottom w:val="0"/>
      <w:divBdr>
        <w:top w:val="none" w:sz="0" w:space="0" w:color="auto"/>
        <w:left w:val="none" w:sz="0" w:space="0" w:color="auto"/>
        <w:bottom w:val="none" w:sz="0" w:space="0" w:color="auto"/>
        <w:right w:val="none" w:sz="0" w:space="0" w:color="auto"/>
      </w:divBdr>
    </w:div>
    <w:div w:id="876743461">
      <w:marLeft w:val="0"/>
      <w:marRight w:val="0"/>
      <w:marTop w:val="0"/>
      <w:marBottom w:val="0"/>
      <w:divBdr>
        <w:top w:val="none" w:sz="0" w:space="0" w:color="auto"/>
        <w:left w:val="none" w:sz="0" w:space="0" w:color="auto"/>
        <w:bottom w:val="none" w:sz="0" w:space="0" w:color="auto"/>
        <w:right w:val="none" w:sz="0" w:space="0" w:color="auto"/>
      </w:divBdr>
      <w:divsChild>
        <w:div w:id="1294867346">
          <w:marLeft w:val="0"/>
          <w:marRight w:val="0"/>
          <w:marTop w:val="0"/>
          <w:marBottom w:val="0"/>
          <w:divBdr>
            <w:top w:val="none" w:sz="0" w:space="0" w:color="auto"/>
            <w:left w:val="none" w:sz="0" w:space="0" w:color="auto"/>
            <w:bottom w:val="none" w:sz="0" w:space="0" w:color="auto"/>
            <w:right w:val="none" w:sz="0" w:space="0" w:color="auto"/>
          </w:divBdr>
        </w:div>
      </w:divsChild>
    </w:div>
    <w:div w:id="889923657">
      <w:marLeft w:val="0"/>
      <w:marRight w:val="0"/>
      <w:marTop w:val="200"/>
      <w:marBottom w:val="0"/>
      <w:divBdr>
        <w:top w:val="none" w:sz="0" w:space="0" w:color="auto"/>
        <w:left w:val="none" w:sz="0" w:space="0" w:color="auto"/>
        <w:bottom w:val="none" w:sz="0" w:space="0" w:color="auto"/>
        <w:right w:val="none" w:sz="0" w:space="0" w:color="auto"/>
      </w:divBdr>
    </w:div>
    <w:div w:id="894243842">
      <w:marLeft w:val="0"/>
      <w:marRight w:val="0"/>
      <w:marTop w:val="160"/>
      <w:marBottom w:val="0"/>
      <w:divBdr>
        <w:top w:val="none" w:sz="0" w:space="0" w:color="auto"/>
        <w:left w:val="none" w:sz="0" w:space="0" w:color="auto"/>
        <w:bottom w:val="none" w:sz="0" w:space="0" w:color="auto"/>
        <w:right w:val="none" w:sz="0" w:space="0" w:color="auto"/>
      </w:divBdr>
    </w:div>
    <w:div w:id="894971334">
      <w:marLeft w:val="0"/>
      <w:marRight w:val="0"/>
      <w:marTop w:val="0"/>
      <w:marBottom w:val="200"/>
      <w:divBdr>
        <w:top w:val="none" w:sz="0" w:space="0" w:color="auto"/>
        <w:left w:val="none" w:sz="0" w:space="0" w:color="auto"/>
        <w:bottom w:val="none" w:sz="0" w:space="0" w:color="auto"/>
        <w:right w:val="none" w:sz="0" w:space="0" w:color="auto"/>
      </w:divBdr>
    </w:div>
    <w:div w:id="897592999">
      <w:marLeft w:val="0"/>
      <w:marRight w:val="0"/>
      <w:marTop w:val="0"/>
      <w:marBottom w:val="0"/>
      <w:divBdr>
        <w:top w:val="none" w:sz="0" w:space="0" w:color="auto"/>
        <w:left w:val="none" w:sz="0" w:space="0" w:color="auto"/>
        <w:bottom w:val="none" w:sz="0" w:space="0" w:color="auto"/>
        <w:right w:val="none" w:sz="0" w:space="0" w:color="auto"/>
      </w:divBdr>
      <w:divsChild>
        <w:div w:id="2006587138">
          <w:marLeft w:val="0"/>
          <w:marRight w:val="0"/>
          <w:marTop w:val="0"/>
          <w:marBottom w:val="0"/>
          <w:divBdr>
            <w:top w:val="none" w:sz="0" w:space="0" w:color="auto"/>
            <w:left w:val="none" w:sz="0" w:space="0" w:color="auto"/>
            <w:bottom w:val="none" w:sz="0" w:space="0" w:color="auto"/>
            <w:right w:val="none" w:sz="0" w:space="0" w:color="auto"/>
          </w:divBdr>
        </w:div>
      </w:divsChild>
    </w:div>
    <w:div w:id="908658532">
      <w:marLeft w:val="0"/>
      <w:marRight w:val="0"/>
      <w:marTop w:val="0"/>
      <w:marBottom w:val="200"/>
      <w:divBdr>
        <w:top w:val="none" w:sz="0" w:space="0" w:color="auto"/>
        <w:left w:val="none" w:sz="0" w:space="0" w:color="auto"/>
        <w:bottom w:val="none" w:sz="0" w:space="0" w:color="auto"/>
        <w:right w:val="none" w:sz="0" w:space="0" w:color="auto"/>
      </w:divBdr>
    </w:div>
    <w:div w:id="910239566">
      <w:marLeft w:val="0"/>
      <w:marRight w:val="0"/>
      <w:marTop w:val="0"/>
      <w:marBottom w:val="20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918291128">
      <w:marLeft w:val="0"/>
      <w:marRight w:val="0"/>
      <w:marTop w:val="0"/>
      <w:marBottom w:val="0"/>
      <w:divBdr>
        <w:top w:val="none" w:sz="0" w:space="0" w:color="auto"/>
        <w:left w:val="none" w:sz="0" w:space="0" w:color="auto"/>
        <w:bottom w:val="none" w:sz="0" w:space="0" w:color="auto"/>
        <w:right w:val="none" w:sz="0" w:space="0" w:color="auto"/>
      </w:divBdr>
    </w:div>
    <w:div w:id="919558344">
      <w:marLeft w:val="0"/>
      <w:marRight w:val="0"/>
      <w:marTop w:val="0"/>
      <w:marBottom w:val="200"/>
      <w:divBdr>
        <w:top w:val="none" w:sz="0" w:space="0" w:color="auto"/>
        <w:left w:val="none" w:sz="0" w:space="0" w:color="auto"/>
        <w:bottom w:val="none" w:sz="0" w:space="0" w:color="auto"/>
        <w:right w:val="none" w:sz="0" w:space="0" w:color="auto"/>
      </w:divBdr>
    </w:div>
    <w:div w:id="924149410">
      <w:marLeft w:val="0"/>
      <w:marRight w:val="0"/>
      <w:marTop w:val="0"/>
      <w:marBottom w:val="200"/>
      <w:divBdr>
        <w:top w:val="none" w:sz="0" w:space="0" w:color="auto"/>
        <w:left w:val="none" w:sz="0" w:space="0" w:color="auto"/>
        <w:bottom w:val="none" w:sz="0" w:space="0" w:color="auto"/>
        <w:right w:val="none" w:sz="0" w:space="0" w:color="auto"/>
      </w:divBdr>
    </w:div>
    <w:div w:id="926577223">
      <w:marLeft w:val="0"/>
      <w:marRight w:val="0"/>
      <w:marTop w:val="100"/>
      <w:marBottom w:val="0"/>
      <w:divBdr>
        <w:top w:val="none" w:sz="0" w:space="0" w:color="auto"/>
        <w:left w:val="none" w:sz="0" w:space="0" w:color="auto"/>
        <w:bottom w:val="none" w:sz="0" w:space="0" w:color="auto"/>
        <w:right w:val="none" w:sz="0" w:space="0" w:color="auto"/>
      </w:divBdr>
    </w:div>
    <w:div w:id="943617189">
      <w:marLeft w:val="0"/>
      <w:marRight w:val="0"/>
      <w:marTop w:val="0"/>
      <w:marBottom w:val="0"/>
      <w:divBdr>
        <w:top w:val="none" w:sz="0" w:space="0" w:color="auto"/>
        <w:left w:val="none" w:sz="0" w:space="0" w:color="auto"/>
        <w:bottom w:val="none" w:sz="0" w:space="0" w:color="auto"/>
        <w:right w:val="none" w:sz="0" w:space="0" w:color="auto"/>
      </w:divBdr>
    </w:div>
    <w:div w:id="956763490">
      <w:marLeft w:val="0"/>
      <w:marRight w:val="0"/>
      <w:marTop w:val="0"/>
      <w:marBottom w:val="0"/>
      <w:divBdr>
        <w:top w:val="none" w:sz="0" w:space="0" w:color="auto"/>
        <w:left w:val="none" w:sz="0" w:space="0" w:color="auto"/>
        <w:bottom w:val="none" w:sz="0" w:space="0" w:color="auto"/>
        <w:right w:val="none" w:sz="0" w:space="0" w:color="auto"/>
      </w:divBdr>
    </w:div>
    <w:div w:id="957760463">
      <w:marLeft w:val="0"/>
      <w:marRight w:val="0"/>
      <w:marTop w:val="0"/>
      <w:marBottom w:val="0"/>
      <w:divBdr>
        <w:top w:val="none" w:sz="0" w:space="0" w:color="auto"/>
        <w:left w:val="none" w:sz="0" w:space="0" w:color="auto"/>
        <w:bottom w:val="none" w:sz="0" w:space="0" w:color="auto"/>
        <w:right w:val="none" w:sz="0" w:space="0" w:color="auto"/>
      </w:divBdr>
      <w:divsChild>
        <w:div w:id="218711960">
          <w:marLeft w:val="0"/>
          <w:marRight w:val="0"/>
          <w:marTop w:val="0"/>
          <w:marBottom w:val="0"/>
          <w:divBdr>
            <w:top w:val="none" w:sz="0" w:space="0" w:color="auto"/>
            <w:left w:val="none" w:sz="0" w:space="0" w:color="auto"/>
            <w:bottom w:val="none" w:sz="0" w:space="0" w:color="auto"/>
            <w:right w:val="none" w:sz="0" w:space="0" w:color="auto"/>
          </w:divBdr>
        </w:div>
      </w:divsChild>
    </w:div>
    <w:div w:id="979698300">
      <w:marLeft w:val="0"/>
      <w:marRight w:val="0"/>
      <w:marTop w:val="0"/>
      <w:marBottom w:val="0"/>
      <w:divBdr>
        <w:top w:val="none" w:sz="0" w:space="0" w:color="auto"/>
        <w:left w:val="none" w:sz="0" w:space="0" w:color="auto"/>
        <w:bottom w:val="none" w:sz="0" w:space="0" w:color="auto"/>
        <w:right w:val="none" w:sz="0" w:space="0" w:color="auto"/>
      </w:divBdr>
      <w:divsChild>
        <w:div w:id="68162304">
          <w:marLeft w:val="0"/>
          <w:marRight w:val="0"/>
          <w:marTop w:val="0"/>
          <w:marBottom w:val="0"/>
          <w:divBdr>
            <w:top w:val="none" w:sz="0" w:space="0" w:color="auto"/>
            <w:left w:val="none" w:sz="0" w:space="0" w:color="auto"/>
            <w:bottom w:val="none" w:sz="0" w:space="0" w:color="auto"/>
            <w:right w:val="none" w:sz="0" w:space="0" w:color="auto"/>
          </w:divBdr>
        </w:div>
        <w:div w:id="1951204500">
          <w:marLeft w:val="0"/>
          <w:marRight w:val="0"/>
          <w:marTop w:val="180"/>
          <w:marBottom w:val="0"/>
          <w:divBdr>
            <w:top w:val="none" w:sz="0" w:space="0" w:color="auto"/>
            <w:left w:val="none" w:sz="0" w:space="0" w:color="auto"/>
            <w:bottom w:val="none" w:sz="0" w:space="0" w:color="auto"/>
            <w:right w:val="none" w:sz="0" w:space="0" w:color="auto"/>
          </w:divBdr>
        </w:div>
      </w:divsChild>
    </w:div>
    <w:div w:id="992411694">
      <w:marLeft w:val="0"/>
      <w:marRight w:val="0"/>
      <w:marTop w:val="0"/>
      <w:marBottom w:val="200"/>
      <w:divBdr>
        <w:top w:val="none" w:sz="0" w:space="0" w:color="auto"/>
        <w:left w:val="none" w:sz="0" w:space="0" w:color="auto"/>
        <w:bottom w:val="none" w:sz="0" w:space="0" w:color="auto"/>
        <w:right w:val="none" w:sz="0" w:space="0" w:color="auto"/>
      </w:divBdr>
    </w:div>
    <w:div w:id="995033192">
      <w:marLeft w:val="0"/>
      <w:marRight w:val="0"/>
      <w:marTop w:val="0"/>
      <w:marBottom w:val="0"/>
      <w:divBdr>
        <w:top w:val="none" w:sz="0" w:space="0" w:color="auto"/>
        <w:left w:val="none" w:sz="0" w:space="0" w:color="auto"/>
        <w:bottom w:val="none" w:sz="0" w:space="0" w:color="auto"/>
        <w:right w:val="none" w:sz="0" w:space="0" w:color="auto"/>
      </w:divBdr>
    </w:div>
    <w:div w:id="1010526712">
      <w:marLeft w:val="0"/>
      <w:marRight w:val="0"/>
      <w:marTop w:val="0"/>
      <w:marBottom w:val="120"/>
      <w:divBdr>
        <w:top w:val="none" w:sz="0" w:space="0" w:color="auto"/>
        <w:left w:val="none" w:sz="0" w:space="0" w:color="auto"/>
        <w:bottom w:val="none" w:sz="0" w:space="0" w:color="auto"/>
        <w:right w:val="none" w:sz="0" w:space="0" w:color="auto"/>
      </w:divBdr>
    </w:div>
    <w:div w:id="1012416472">
      <w:marLeft w:val="0"/>
      <w:marRight w:val="0"/>
      <w:marTop w:val="0"/>
      <w:marBottom w:val="0"/>
      <w:divBdr>
        <w:top w:val="none" w:sz="0" w:space="0" w:color="auto"/>
        <w:left w:val="none" w:sz="0" w:space="0" w:color="auto"/>
        <w:bottom w:val="none" w:sz="0" w:space="0" w:color="auto"/>
        <w:right w:val="none" w:sz="0" w:space="0" w:color="auto"/>
      </w:divBdr>
    </w:div>
    <w:div w:id="1017735100">
      <w:marLeft w:val="0"/>
      <w:marRight w:val="0"/>
      <w:marTop w:val="0"/>
      <w:marBottom w:val="0"/>
      <w:divBdr>
        <w:top w:val="none" w:sz="0" w:space="0" w:color="auto"/>
        <w:left w:val="none" w:sz="0" w:space="0" w:color="auto"/>
        <w:bottom w:val="none" w:sz="0" w:space="0" w:color="auto"/>
        <w:right w:val="none" w:sz="0" w:space="0" w:color="auto"/>
      </w:divBdr>
    </w:div>
    <w:div w:id="1018577425">
      <w:marLeft w:val="0"/>
      <w:marRight w:val="0"/>
      <w:marTop w:val="0"/>
      <w:marBottom w:val="200"/>
      <w:divBdr>
        <w:top w:val="none" w:sz="0" w:space="0" w:color="auto"/>
        <w:left w:val="none" w:sz="0" w:space="0" w:color="auto"/>
        <w:bottom w:val="none" w:sz="0" w:space="0" w:color="auto"/>
        <w:right w:val="none" w:sz="0" w:space="0" w:color="auto"/>
      </w:divBdr>
    </w:div>
    <w:div w:id="1024331873">
      <w:marLeft w:val="0"/>
      <w:marRight w:val="0"/>
      <w:marTop w:val="0"/>
      <w:marBottom w:val="0"/>
      <w:divBdr>
        <w:top w:val="none" w:sz="0" w:space="0" w:color="auto"/>
        <w:left w:val="none" w:sz="0" w:space="0" w:color="auto"/>
        <w:bottom w:val="none" w:sz="0" w:space="0" w:color="auto"/>
        <w:right w:val="none" w:sz="0" w:space="0" w:color="auto"/>
      </w:divBdr>
      <w:divsChild>
        <w:div w:id="54621944">
          <w:marLeft w:val="0"/>
          <w:marRight w:val="0"/>
          <w:marTop w:val="0"/>
          <w:marBottom w:val="0"/>
          <w:divBdr>
            <w:top w:val="none" w:sz="0" w:space="0" w:color="auto"/>
            <w:left w:val="none" w:sz="0" w:space="0" w:color="auto"/>
            <w:bottom w:val="none" w:sz="0" w:space="0" w:color="auto"/>
            <w:right w:val="none" w:sz="0" w:space="0" w:color="auto"/>
          </w:divBdr>
        </w:div>
      </w:divsChild>
    </w:div>
    <w:div w:id="1024794227">
      <w:marLeft w:val="0"/>
      <w:marRight w:val="0"/>
      <w:marTop w:val="0"/>
      <w:marBottom w:val="200"/>
      <w:divBdr>
        <w:top w:val="none" w:sz="0" w:space="0" w:color="auto"/>
        <w:left w:val="none" w:sz="0" w:space="0" w:color="auto"/>
        <w:bottom w:val="none" w:sz="0" w:space="0" w:color="auto"/>
        <w:right w:val="none" w:sz="0" w:space="0" w:color="auto"/>
      </w:divBdr>
    </w:div>
    <w:div w:id="1032615113">
      <w:marLeft w:val="0"/>
      <w:marRight w:val="0"/>
      <w:marTop w:val="100"/>
      <w:marBottom w:val="0"/>
      <w:divBdr>
        <w:top w:val="none" w:sz="0" w:space="0" w:color="auto"/>
        <w:left w:val="none" w:sz="0" w:space="0" w:color="auto"/>
        <w:bottom w:val="none" w:sz="0" w:space="0" w:color="auto"/>
        <w:right w:val="none" w:sz="0" w:space="0" w:color="auto"/>
      </w:divBdr>
    </w:div>
    <w:div w:id="1039814842">
      <w:marLeft w:val="0"/>
      <w:marRight w:val="0"/>
      <w:marTop w:val="0"/>
      <w:marBottom w:val="0"/>
      <w:divBdr>
        <w:top w:val="none" w:sz="0" w:space="0" w:color="auto"/>
        <w:left w:val="none" w:sz="0" w:space="0" w:color="auto"/>
        <w:bottom w:val="none" w:sz="0" w:space="0" w:color="auto"/>
        <w:right w:val="none" w:sz="0" w:space="0" w:color="auto"/>
      </w:divBdr>
      <w:divsChild>
        <w:div w:id="1066223916">
          <w:marLeft w:val="0"/>
          <w:marRight w:val="0"/>
          <w:marTop w:val="0"/>
          <w:marBottom w:val="0"/>
          <w:divBdr>
            <w:top w:val="none" w:sz="0" w:space="0" w:color="auto"/>
            <w:left w:val="none" w:sz="0" w:space="0" w:color="auto"/>
            <w:bottom w:val="none" w:sz="0" w:space="0" w:color="auto"/>
            <w:right w:val="none" w:sz="0" w:space="0" w:color="auto"/>
          </w:divBdr>
        </w:div>
      </w:divsChild>
    </w:div>
    <w:div w:id="1041593664">
      <w:marLeft w:val="0"/>
      <w:marRight w:val="0"/>
      <w:marTop w:val="0"/>
      <w:marBottom w:val="200"/>
      <w:divBdr>
        <w:top w:val="none" w:sz="0" w:space="0" w:color="auto"/>
        <w:left w:val="none" w:sz="0" w:space="0" w:color="auto"/>
        <w:bottom w:val="none" w:sz="0" w:space="0" w:color="auto"/>
        <w:right w:val="none" w:sz="0" w:space="0" w:color="auto"/>
      </w:divBdr>
    </w:div>
    <w:div w:id="1043562067">
      <w:marLeft w:val="0"/>
      <w:marRight w:val="0"/>
      <w:marTop w:val="0"/>
      <w:marBottom w:val="0"/>
      <w:divBdr>
        <w:top w:val="none" w:sz="0" w:space="0" w:color="auto"/>
        <w:left w:val="none" w:sz="0" w:space="0" w:color="auto"/>
        <w:bottom w:val="none" w:sz="0" w:space="0" w:color="auto"/>
        <w:right w:val="none" w:sz="0" w:space="0" w:color="auto"/>
      </w:divBdr>
      <w:divsChild>
        <w:div w:id="756563874">
          <w:marLeft w:val="0"/>
          <w:marRight w:val="0"/>
          <w:marTop w:val="0"/>
          <w:marBottom w:val="0"/>
          <w:divBdr>
            <w:top w:val="none" w:sz="0" w:space="0" w:color="auto"/>
            <w:left w:val="none" w:sz="0" w:space="0" w:color="auto"/>
            <w:bottom w:val="none" w:sz="0" w:space="0" w:color="auto"/>
            <w:right w:val="none" w:sz="0" w:space="0" w:color="auto"/>
          </w:divBdr>
        </w:div>
      </w:divsChild>
    </w:div>
    <w:div w:id="1048144308">
      <w:marLeft w:val="0"/>
      <w:marRight w:val="0"/>
      <w:marTop w:val="0"/>
      <w:marBottom w:val="0"/>
      <w:divBdr>
        <w:top w:val="none" w:sz="0" w:space="0" w:color="auto"/>
        <w:left w:val="none" w:sz="0" w:space="0" w:color="auto"/>
        <w:bottom w:val="none" w:sz="0" w:space="0" w:color="auto"/>
        <w:right w:val="none" w:sz="0" w:space="0" w:color="auto"/>
      </w:divBdr>
      <w:divsChild>
        <w:div w:id="1737968105">
          <w:marLeft w:val="0"/>
          <w:marRight w:val="0"/>
          <w:marTop w:val="0"/>
          <w:marBottom w:val="0"/>
          <w:divBdr>
            <w:top w:val="none" w:sz="0" w:space="0" w:color="auto"/>
            <w:left w:val="none" w:sz="0" w:space="0" w:color="auto"/>
            <w:bottom w:val="none" w:sz="0" w:space="0" w:color="auto"/>
            <w:right w:val="none" w:sz="0" w:space="0" w:color="auto"/>
          </w:divBdr>
        </w:div>
        <w:div w:id="132873673">
          <w:marLeft w:val="0"/>
          <w:marRight w:val="0"/>
          <w:marTop w:val="180"/>
          <w:marBottom w:val="0"/>
          <w:divBdr>
            <w:top w:val="none" w:sz="0" w:space="0" w:color="auto"/>
            <w:left w:val="none" w:sz="0" w:space="0" w:color="auto"/>
            <w:bottom w:val="none" w:sz="0" w:space="0" w:color="auto"/>
            <w:right w:val="none" w:sz="0" w:space="0" w:color="auto"/>
          </w:divBdr>
        </w:div>
      </w:divsChild>
    </w:div>
    <w:div w:id="1056395437">
      <w:marLeft w:val="0"/>
      <w:marRight w:val="0"/>
      <w:marTop w:val="0"/>
      <w:marBottom w:val="200"/>
      <w:divBdr>
        <w:top w:val="none" w:sz="0" w:space="0" w:color="auto"/>
        <w:left w:val="none" w:sz="0" w:space="0" w:color="auto"/>
        <w:bottom w:val="none" w:sz="0" w:space="0" w:color="auto"/>
        <w:right w:val="none" w:sz="0" w:space="0" w:color="auto"/>
      </w:divBdr>
    </w:div>
    <w:div w:id="1060639078">
      <w:marLeft w:val="0"/>
      <w:marRight w:val="0"/>
      <w:marTop w:val="200"/>
      <w:marBottom w:val="0"/>
      <w:divBdr>
        <w:top w:val="none" w:sz="0" w:space="0" w:color="auto"/>
        <w:left w:val="none" w:sz="0" w:space="0" w:color="auto"/>
        <w:bottom w:val="none" w:sz="0" w:space="0" w:color="auto"/>
        <w:right w:val="none" w:sz="0" w:space="0" w:color="auto"/>
      </w:divBdr>
    </w:div>
    <w:div w:id="1064370293">
      <w:marLeft w:val="0"/>
      <w:marRight w:val="0"/>
      <w:marTop w:val="0"/>
      <w:marBottom w:val="0"/>
      <w:divBdr>
        <w:top w:val="none" w:sz="0" w:space="0" w:color="auto"/>
        <w:left w:val="none" w:sz="0" w:space="0" w:color="auto"/>
        <w:bottom w:val="none" w:sz="0" w:space="0" w:color="auto"/>
        <w:right w:val="none" w:sz="0" w:space="0" w:color="auto"/>
      </w:divBdr>
      <w:divsChild>
        <w:div w:id="1720469617">
          <w:marLeft w:val="0"/>
          <w:marRight w:val="0"/>
          <w:marTop w:val="0"/>
          <w:marBottom w:val="0"/>
          <w:divBdr>
            <w:top w:val="none" w:sz="0" w:space="0" w:color="auto"/>
            <w:left w:val="none" w:sz="0" w:space="0" w:color="auto"/>
            <w:bottom w:val="none" w:sz="0" w:space="0" w:color="auto"/>
            <w:right w:val="none" w:sz="0" w:space="0" w:color="auto"/>
          </w:divBdr>
        </w:div>
      </w:divsChild>
    </w:div>
    <w:div w:id="1067531161">
      <w:marLeft w:val="0"/>
      <w:marRight w:val="0"/>
      <w:marTop w:val="0"/>
      <w:marBottom w:val="0"/>
      <w:divBdr>
        <w:top w:val="none" w:sz="0" w:space="0" w:color="auto"/>
        <w:left w:val="none" w:sz="0" w:space="0" w:color="auto"/>
        <w:bottom w:val="none" w:sz="0" w:space="0" w:color="auto"/>
        <w:right w:val="none" w:sz="0" w:space="0" w:color="auto"/>
      </w:divBdr>
      <w:divsChild>
        <w:div w:id="870142213">
          <w:marLeft w:val="0"/>
          <w:marRight w:val="0"/>
          <w:marTop w:val="0"/>
          <w:marBottom w:val="0"/>
          <w:divBdr>
            <w:top w:val="none" w:sz="0" w:space="0" w:color="auto"/>
            <w:left w:val="none" w:sz="0" w:space="0" w:color="auto"/>
            <w:bottom w:val="none" w:sz="0" w:space="0" w:color="auto"/>
            <w:right w:val="none" w:sz="0" w:space="0" w:color="auto"/>
          </w:divBdr>
        </w:div>
      </w:divsChild>
    </w:div>
    <w:div w:id="1073893546">
      <w:marLeft w:val="0"/>
      <w:marRight w:val="0"/>
      <w:marTop w:val="0"/>
      <w:marBottom w:val="0"/>
      <w:divBdr>
        <w:top w:val="none" w:sz="0" w:space="0" w:color="auto"/>
        <w:left w:val="none" w:sz="0" w:space="0" w:color="auto"/>
        <w:bottom w:val="none" w:sz="0" w:space="0" w:color="auto"/>
        <w:right w:val="none" w:sz="0" w:space="0" w:color="auto"/>
      </w:divBdr>
    </w:div>
    <w:div w:id="1096636420">
      <w:marLeft w:val="0"/>
      <w:marRight w:val="0"/>
      <w:marTop w:val="0"/>
      <w:marBottom w:val="0"/>
      <w:divBdr>
        <w:top w:val="none" w:sz="0" w:space="0" w:color="auto"/>
        <w:left w:val="none" w:sz="0" w:space="0" w:color="auto"/>
        <w:bottom w:val="none" w:sz="0" w:space="0" w:color="auto"/>
        <w:right w:val="none" w:sz="0" w:space="0" w:color="auto"/>
      </w:divBdr>
    </w:div>
    <w:div w:id="1101146920">
      <w:marLeft w:val="0"/>
      <w:marRight w:val="0"/>
      <w:marTop w:val="0"/>
      <w:marBottom w:val="0"/>
      <w:divBdr>
        <w:top w:val="none" w:sz="0" w:space="0" w:color="auto"/>
        <w:left w:val="none" w:sz="0" w:space="0" w:color="auto"/>
        <w:bottom w:val="none" w:sz="0" w:space="0" w:color="auto"/>
        <w:right w:val="none" w:sz="0" w:space="0" w:color="auto"/>
      </w:divBdr>
    </w:div>
    <w:div w:id="1110055000">
      <w:marLeft w:val="0"/>
      <w:marRight w:val="0"/>
      <w:marTop w:val="0"/>
      <w:marBottom w:val="0"/>
      <w:divBdr>
        <w:top w:val="none" w:sz="0" w:space="0" w:color="auto"/>
        <w:left w:val="none" w:sz="0" w:space="0" w:color="auto"/>
        <w:bottom w:val="none" w:sz="0" w:space="0" w:color="auto"/>
        <w:right w:val="none" w:sz="0" w:space="0" w:color="auto"/>
      </w:divBdr>
    </w:div>
    <w:div w:id="1115714005">
      <w:marLeft w:val="0"/>
      <w:marRight w:val="0"/>
      <w:marTop w:val="0"/>
      <w:marBottom w:val="200"/>
      <w:divBdr>
        <w:top w:val="none" w:sz="0" w:space="0" w:color="auto"/>
        <w:left w:val="none" w:sz="0" w:space="0" w:color="auto"/>
        <w:bottom w:val="none" w:sz="0" w:space="0" w:color="auto"/>
        <w:right w:val="none" w:sz="0" w:space="0" w:color="auto"/>
      </w:divBdr>
    </w:div>
    <w:div w:id="1116413725">
      <w:marLeft w:val="0"/>
      <w:marRight w:val="0"/>
      <w:marTop w:val="0"/>
      <w:marBottom w:val="0"/>
      <w:divBdr>
        <w:top w:val="none" w:sz="0" w:space="0" w:color="auto"/>
        <w:left w:val="none" w:sz="0" w:space="0" w:color="auto"/>
        <w:bottom w:val="none" w:sz="0" w:space="0" w:color="auto"/>
        <w:right w:val="none" w:sz="0" w:space="0" w:color="auto"/>
      </w:divBdr>
      <w:divsChild>
        <w:div w:id="1433085239">
          <w:marLeft w:val="0"/>
          <w:marRight w:val="0"/>
          <w:marTop w:val="0"/>
          <w:marBottom w:val="0"/>
          <w:divBdr>
            <w:top w:val="none" w:sz="0" w:space="0" w:color="auto"/>
            <w:left w:val="none" w:sz="0" w:space="0" w:color="auto"/>
            <w:bottom w:val="none" w:sz="0" w:space="0" w:color="auto"/>
            <w:right w:val="none" w:sz="0" w:space="0" w:color="auto"/>
          </w:divBdr>
        </w:div>
      </w:divsChild>
    </w:div>
    <w:div w:id="1120537178">
      <w:marLeft w:val="0"/>
      <w:marRight w:val="0"/>
      <w:marTop w:val="0"/>
      <w:marBottom w:val="0"/>
      <w:divBdr>
        <w:top w:val="none" w:sz="0" w:space="0" w:color="auto"/>
        <w:left w:val="none" w:sz="0" w:space="0" w:color="auto"/>
        <w:bottom w:val="none" w:sz="0" w:space="0" w:color="auto"/>
        <w:right w:val="none" w:sz="0" w:space="0" w:color="auto"/>
      </w:divBdr>
    </w:div>
    <w:div w:id="1126386257">
      <w:marLeft w:val="0"/>
      <w:marRight w:val="0"/>
      <w:marTop w:val="0"/>
      <w:marBottom w:val="0"/>
      <w:divBdr>
        <w:top w:val="none" w:sz="0" w:space="0" w:color="auto"/>
        <w:left w:val="none" w:sz="0" w:space="0" w:color="auto"/>
        <w:bottom w:val="none" w:sz="0" w:space="0" w:color="auto"/>
        <w:right w:val="none" w:sz="0" w:space="0" w:color="auto"/>
      </w:divBdr>
      <w:divsChild>
        <w:div w:id="1296445195">
          <w:marLeft w:val="0"/>
          <w:marRight w:val="0"/>
          <w:marTop w:val="0"/>
          <w:marBottom w:val="0"/>
          <w:divBdr>
            <w:top w:val="none" w:sz="0" w:space="0" w:color="auto"/>
            <w:left w:val="none" w:sz="0" w:space="0" w:color="auto"/>
            <w:bottom w:val="none" w:sz="0" w:space="0" w:color="auto"/>
            <w:right w:val="none" w:sz="0" w:space="0" w:color="auto"/>
          </w:divBdr>
        </w:div>
      </w:divsChild>
    </w:div>
    <w:div w:id="1127771595">
      <w:marLeft w:val="0"/>
      <w:marRight w:val="0"/>
      <w:marTop w:val="0"/>
      <w:marBottom w:val="0"/>
      <w:divBdr>
        <w:top w:val="none" w:sz="0" w:space="0" w:color="auto"/>
        <w:left w:val="none" w:sz="0" w:space="0" w:color="auto"/>
        <w:bottom w:val="none" w:sz="0" w:space="0" w:color="auto"/>
        <w:right w:val="none" w:sz="0" w:space="0" w:color="auto"/>
      </w:divBdr>
      <w:divsChild>
        <w:div w:id="1518541604">
          <w:marLeft w:val="0"/>
          <w:marRight w:val="0"/>
          <w:marTop w:val="0"/>
          <w:marBottom w:val="0"/>
          <w:divBdr>
            <w:top w:val="none" w:sz="0" w:space="0" w:color="auto"/>
            <w:left w:val="none" w:sz="0" w:space="0" w:color="auto"/>
            <w:bottom w:val="none" w:sz="0" w:space="0" w:color="auto"/>
            <w:right w:val="none" w:sz="0" w:space="0" w:color="auto"/>
          </w:divBdr>
        </w:div>
      </w:divsChild>
    </w:div>
    <w:div w:id="1129278501">
      <w:marLeft w:val="0"/>
      <w:marRight w:val="0"/>
      <w:marTop w:val="0"/>
      <w:marBottom w:val="200"/>
      <w:divBdr>
        <w:top w:val="none" w:sz="0" w:space="0" w:color="auto"/>
        <w:left w:val="none" w:sz="0" w:space="0" w:color="auto"/>
        <w:bottom w:val="none" w:sz="0" w:space="0" w:color="auto"/>
        <w:right w:val="none" w:sz="0" w:space="0" w:color="auto"/>
      </w:divBdr>
    </w:div>
    <w:div w:id="1135179710">
      <w:marLeft w:val="0"/>
      <w:marRight w:val="0"/>
      <w:marTop w:val="0"/>
      <w:marBottom w:val="0"/>
      <w:divBdr>
        <w:top w:val="none" w:sz="0" w:space="0" w:color="auto"/>
        <w:left w:val="none" w:sz="0" w:space="0" w:color="auto"/>
        <w:bottom w:val="none" w:sz="0" w:space="0" w:color="auto"/>
        <w:right w:val="none" w:sz="0" w:space="0" w:color="auto"/>
      </w:divBdr>
      <w:divsChild>
        <w:div w:id="2095200502">
          <w:marLeft w:val="0"/>
          <w:marRight w:val="0"/>
          <w:marTop w:val="0"/>
          <w:marBottom w:val="0"/>
          <w:divBdr>
            <w:top w:val="none" w:sz="0" w:space="0" w:color="auto"/>
            <w:left w:val="none" w:sz="0" w:space="0" w:color="auto"/>
            <w:bottom w:val="none" w:sz="0" w:space="0" w:color="auto"/>
            <w:right w:val="none" w:sz="0" w:space="0" w:color="auto"/>
          </w:divBdr>
        </w:div>
      </w:divsChild>
    </w:div>
    <w:div w:id="1140536959">
      <w:marLeft w:val="0"/>
      <w:marRight w:val="0"/>
      <w:marTop w:val="0"/>
      <w:marBottom w:val="0"/>
      <w:divBdr>
        <w:top w:val="none" w:sz="0" w:space="0" w:color="auto"/>
        <w:left w:val="none" w:sz="0" w:space="0" w:color="auto"/>
        <w:bottom w:val="none" w:sz="0" w:space="0" w:color="auto"/>
        <w:right w:val="none" w:sz="0" w:space="0" w:color="auto"/>
      </w:divBdr>
      <w:divsChild>
        <w:div w:id="2011902501">
          <w:marLeft w:val="0"/>
          <w:marRight w:val="0"/>
          <w:marTop w:val="0"/>
          <w:marBottom w:val="0"/>
          <w:divBdr>
            <w:top w:val="none" w:sz="0" w:space="0" w:color="auto"/>
            <w:left w:val="none" w:sz="0" w:space="0" w:color="auto"/>
            <w:bottom w:val="none" w:sz="0" w:space="0" w:color="auto"/>
            <w:right w:val="none" w:sz="0" w:space="0" w:color="auto"/>
          </w:divBdr>
        </w:div>
        <w:div w:id="1488017693">
          <w:marLeft w:val="0"/>
          <w:marRight w:val="0"/>
          <w:marTop w:val="180"/>
          <w:marBottom w:val="0"/>
          <w:divBdr>
            <w:top w:val="none" w:sz="0" w:space="0" w:color="auto"/>
            <w:left w:val="none" w:sz="0" w:space="0" w:color="auto"/>
            <w:bottom w:val="none" w:sz="0" w:space="0" w:color="auto"/>
            <w:right w:val="none" w:sz="0" w:space="0" w:color="auto"/>
          </w:divBdr>
        </w:div>
      </w:divsChild>
    </w:div>
    <w:div w:id="1153791389">
      <w:marLeft w:val="0"/>
      <w:marRight w:val="0"/>
      <w:marTop w:val="0"/>
      <w:marBottom w:val="200"/>
      <w:divBdr>
        <w:top w:val="none" w:sz="0" w:space="0" w:color="auto"/>
        <w:left w:val="none" w:sz="0" w:space="0" w:color="auto"/>
        <w:bottom w:val="none" w:sz="0" w:space="0" w:color="auto"/>
        <w:right w:val="none" w:sz="0" w:space="0" w:color="auto"/>
      </w:divBdr>
    </w:div>
    <w:div w:id="1156722625">
      <w:marLeft w:val="0"/>
      <w:marRight w:val="0"/>
      <w:marTop w:val="0"/>
      <w:marBottom w:val="0"/>
      <w:divBdr>
        <w:top w:val="none" w:sz="0" w:space="0" w:color="auto"/>
        <w:left w:val="none" w:sz="0" w:space="0" w:color="auto"/>
        <w:bottom w:val="none" w:sz="0" w:space="0" w:color="auto"/>
        <w:right w:val="none" w:sz="0" w:space="0" w:color="auto"/>
      </w:divBdr>
      <w:divsChild>
        <w:div w:id="1651639533">
          <w:marLeft w:val="0"/>
          <w:marRight w:val="0"/>
          <w:marTop w:val="0"/>
          <w:marBottom w:val="0"/>
          <w:divBdr>
            <w:top w:val="none" w:sz="0" w:space="0" w:color="auto"/>
            <w:left w:val="none" w:sz="0" w:space="0" w:color="auto"/>
            <w:bottom w:val="none" w:sz="0" w:space="0" w:color="auto"/>
            <w:right w:val="none" w:sz="0" w:space="0" w:color="auto"/>
          </w:divBdr>
        </w:div>
        <w:div w:id="2109035030">
          <w:marLeft w:val="0"/>
          <w:marRight w:val="0"/>
          <w:marTop w:val="0"/>
          <w:marBottom w:val="0"/>
          <w:divBdr>
            <w:top w:val="none" w:sz="0" w:space="0" w:color="auto"/>
            <w:left w:val="none" w:sz="0" w:space="0" w:color="auto"/>
            <w:bottom w:val="none" w:sz="0" w:space="0" w:color="auto"/>
            <w:right w:val="none" w:sz="0" w:space="0" w:color="auto"/>
          </w:divBdr>
        </w:div>
      </w:divsChild>
    </w:div>
    <w:div w:id="1159425753">
      <w:marLeft w:val="0"/>
      <w:marRight w:val="0"/>
      <w:marTop w:val="0"/>
      <w:marBottom w:val="200"/>
      <w:divBdr>
        <w:top w:val="none" w:sz="0" w:space="0" w:color="auto"/>
        <w:left w:val="none" w:sz="0" w:space="0" w:color="auto"/>
        <w:bottom w:val="none" w:sz="0" w:space="0" w:color="auto"/>
        <w:right w:val="none" w:sz="0" w:space="0" w:color="auto"/>
      </w:divBdr>
    </w:div>
    <w:div w:id="1168401713">
      <w:marLeft w:val="0"/>
      <w:marRight w:val="0"/>
      <w:marTop w:val="0"/>
      <w:marBottom w:val="0"/>
      <w:divBdr>
        <w:top w:val="none" w:sz="0" w:space="0" w:color="auto"/>
        <w:left w:val="none" w:sz="0" w:space="0" w:color="auto"/>
        <w:bottom w:val="none" w:sz="0" w:space="0" w:color="auto"/>
        <w:right w:val="none" w:sz="0" w:space="0" w:color="auto"/>
      </w:divBdr>
      <w:divsChild>
        <w:div w:id="1208882579">
          <w:marLeft w:val="0"/>
          <w:marRight w:val="0"/>
          <w:marTop w:val="0"/>
          <w:marBottom w:val="0"/>
          <w:divBdr>
            <w:top w:val="none" w:sz="0" w:space="0" w:color="auto"/>
            <w:left w:val="none" w:sz="0" w:space="0" w:color="auto"/>
            <w:bottom w:val="none" w:sz="0" w:space="0" w:color="auto"/>
            <w:right w:val="none" w:sz="0" w:space="0" w:color="auto"/>
          </w:divBdr>
        </w:div>
      </w:divsChild>
    </w:div>
    <w:div w:id="1169561911">
      <w:marLeft w:val="0"/>
      <w:marRight w:val="0"/>
      <w:marTop w:val="0"/>
      <w:marBottom w:val="200"/>
      <w:divBdr>
        <w:top w:val="none" w:sz="0" w:space="0" w:color="auto"/>
        <w:left w:val="none" w:sz="0" w:space="0" w:color="auto"/>
        <w:bottom w:val="none" w:sz="0" w:space="0" w:color="auto"/>
        <w:right w:val="none" w:sz="0" w:space="0" w:color="auto"/>
      </w:divBdr>
    </w:div>
    <w:div w:id="1175925509">
      <w:marLeft w:val="0"/>
      <w:marRight w:val="0"/>
      <w:marTop w:val="0"/>
      <w:marBottom w:val="0"/>
      <w:divBdr>
        <w:top w:val="none" w:sz="0" w:space="0" w:color="auto"/>
        <w:left w:val="none" w:sz="0" w:space="0" w:color="auto"/>
        <w:bottom w:val="none" w:sz="0" w:space="0" w:color="auto"/>
        <w:right w:val="none" w:sz="0" w:space="0" w:color="auto"/>
      </w:divBdr>
    </w:div>
    <w:div w:id="1178616420">
      <w:marLeft w:val="0"/>
      <w:marRight w:val="0"/>
      <w:marTop w:val="0"/>
      <w:marBottom w:val="0"/>
      <w:divBdr>
        <w:top w:val="none" w:sz="0" w:space="0" w:color="auto"/>
        <w:left w:val="none" w:sz="0" w:space="0" w:color="auto"/>
        <w:bottom w:val="none" w:sz="0" w:space="0" w:color="auto"/>
        <w:right w:val="none" w:sz="0" w:space="0" w:color="auto"/>
      </w:divBdr>
    </w:div>
    <w:div w:id="1180118587">
      <w:marLeft w:val="0"/>
      <w:marRight w:val="0"/>
      <w:marTop w:val="100"/>
      <w:marBottom w:val="0"/>
      <w:divBdr>
        <w:top w:val="none" w:sz="0" w:space="0" w:color="auto"/>
        <w:left w:val="none" w:sz="0" w:space="0" w:color="auto"/>
        <w:bottom w:val="none" w:sz="0" w:space="0" w:color="auto"/>
        <w:right w:val="none" w:sz="0" w:space="0" w:color="auto"/>
      </w:divBdr>
    </w:div>
    <w:div w:id="1184050479">
      <w:marLeft w:val="0"/>
      <w:marRight w:val="0"/>
      <w:marTop w:val="0"/>
      <w:marBottom w:val="0"/>
      <w:divBdr>
        <w:top w:val="none" w:sz="0" w:space="0" w:color="auto"/>
        <w:left w:val="none" w:sz="0" w:space="0" w:color="auto"/>
        <w:bottom w:val="none" w:sz="0" w:space="0" w:color="auto"/>
        <w:right w:val="none" w:sz="0" w:space="0" w:color="auto"/>
      </w:divBdr>
      <w:divsChild>
        <w:div w:id="89860087">
          <w:marLeft w:val="0"/>
          <w:marRight w:val="0"/>
          <w:marTop w:val="0"/>
          <w:marBottom w:val="0"/>
          <w:divBdr>
            <w:top w:val="none" w:sz="0" w:space="0" w:color="auto"/>
            <w:left w:val="none" w:sz="0" w:space="0" w:color="auto"/>
            <w:bottom w:val="none" w:sz="0" w:space="0" w:color="auto"/>
            <w:right w:val="none" w:sz="0" w:space="0" w:color="auto"/>
          </w:divBdr>
        </w:div>
      </w:divsChild>
    </w:div>
    <w:div w:id="1186015944">
      <w:marLeft w:val="0"/>
      <w:marRight w:val="0"/>
      <w:marTop w:val="100"/>
      <w:marBottom w:val="0"/>
      <w:divBdr>
        <w:top w:val="none" w:sz="0" w:space="0" w:color="auto"/>
        <w:left w:val="none" w:sz="0" w:space="0" w:color="auto"/>
        <w:bottom w:val="none" w:sz="0" w:space="0" w:color="auto"/>
        <w:right w:val="none" w:sz="0" w:space="0" w:color="auto"/>
      </w:divBdr>
    </w:div>
    <w:div w:id="1193806424">
      <w:marLeft w:val="0"/>
      <w:marRight w:val="0"/>
      <w:marTop w:val="100"/>
      <w:marBottom w:val="0"/>
      <w:divBdr>
        <w:top w:val="none" w:sz="0" w:space="0" w:color="auto"/>
        <w:left w:val="none" w:sz="0" w:space="0" w:color="auto"/>
        <w:bottom w:val="none" w:sz="0" w:space="0" w:color="auto"/>
        <w:right w:val="none" w:sz="0" w:space="0" w:color="auto"/>
      </w:divBdr>
      <w:divsChild>
        <w:div w:id="666205878">
          <w:marLeft w:val="0"/>
          <w:marRight w:val="0"/>
          <w:marTop w:val="0"/>
          <w:marBottom w:val="0"/>
          <w:divBdr>
            <w:top w:val="none" w:sz="0" w:space="0" w:color="auto"/>
            <w:left w:val="none" w:sz="0" w:space="0" w:color="auto"/>
            <w:bottom w:val="none" w:sz="0" w:space="0" w:color="auto"/>
            <w:right w:val="none" w:sz="0" w:space="0" w:color="auto"/>
          </w:divBdr>
        </w:div>
      </w:divsChild>
    </w:div>
    <w:div w:id="1195073583">
      <w:marLeft w:val="0"/>
      <w:marRight w:val="0"/>
      <w:marTop w:val="0"/>
      <w:marBottom w:val="200"/>
      <w:divBdr>
        <w:top w:val="none" w:sz="0" w:space="0" w:color="auto"/>
        <w:left w:val="none" w:sz="0" w:space="0" w:color="auto"/>
        <w:bottom w:val="none" w:sz="0" w:space="0" w:color="auto"/>
        <w:right w:val="none" w:sz="0" w:space="0" w:color="auto"/>
      </w:divBdr>
    </w:div>
    <w:div w:id="1196385545">
      <w:marLeft w:val="0"/>
      <w:marRight w:val="0"/>
      <w:marTop w:val="0"/>
      <w:marBottom w:val="200"/>
      <w:divBdr>
        <w:top w:val="none" w:sz="0" w:space="0" w:color="auto"/>
        <w:left w:val="none" w:sz="0" w:space="0" w:color="auto"/>
        <w:bottom w:val="none" w:sz="0" w:space="0" w:color="auto"/>
        <w:right w:val="none" w:sz="0" w:space="0" w:color="auto"/>
      </w:divBdr>
    </w:div>
    <w:div w:id="1198545809">
      <w:marLeft w:val="0"/>
      <w:marRight w:val="0"/>
      <w:marTop w:val="0"/>
      <w:marBottom w:val="0"/>
      <w:divBdr>
        <w:top w:val="none" w:sz="0" w:space="0" w:color="auto"/>
        <w:left w:val="none" w:sz="0" w:space="0" w:color="auto"/>
        <w:bottom w:val="none" w:sz="0" w:space="0" w:color="auto"/>
        <w:right w:val="none" w:sz="0" w:space="0" w:color="auto"/>
      </w:divBdr>
    </w:div>
    <w:div w:id="1201086105">
      <w:marLeft w:val="0"/>
      <w:marRight w:val="0"/>
      <w:marTop w:val="0"/>
      <w:marBottom w:val="0"/>
      <w:divBdr>
        <w:top w:val="none" w:sz="0" w:space="0" w:color="auto"/>
        <w:left w:val="none" w:sz="0" w:space="0" w:color="auto"/>
        <w:bottom w:val="none" w:sz="0" w:space="0" w:color="auto"/>
        <w:right w:val="none" w:sz="0" w:space="0" w:color="auto"/>
      </w:divBdr>
      <w:divsChild>
        <w:div w:id="1419138938">
          <w:marLeft w:val="0"/>
          <w:marRight w:val="0"/>
          <w:marTop w:val="0"/>
          <w:marBottom w:val="0"/>
          <w:divBdr>
            <w:top w:val="none" w:sz="0" w:space="0" w:color="auto"/>
            <w:left w:val="none" w:sz="0" w:space="0" w:color="auto"/>
            <w:bottom w:val="none" w:sz="0" w:space="0" w:color="auto"/>
            <w:right w:val="none" w:sz="0" w:space="0" w:color="auto"/>
          </w:divBdr>
        </w:div>
        <w:div w:id="248467910">
          <w:marLeft w:val="0"/>
          <w:marRight w:val="0"/>
          <w:marTop w:val="0"/>
          <w:marBottom w:val="0"/>
          <w:divBdr>
            <w:top w:val="none" w:sz="0" w:space="0" w:color="auto"/>
            <w:left w:val="none" w:sz="0" w:space="0" w:color="auto"/>
            <w:bottom w:val="none" w:sz="0" w:space="0" w:color="auto"/>
            <w:right w:val="none" w:sz="0" w:space="0" w:color="auto"/>
          </w:divBdr>
        </w:div>
      </w:divsChild>
    </w:div>
    <w:div w:id="1203253679">
      <w:marLeft w:val="0"/>
      <w:marRight w:val="0"/>
      <w:marTop w:val="0"/>
      <w:marBottom w:val="200"/>
      <w:divBdr>
        <w:top w:val="none" w:sz="0" w:space="0" w:color="auto"/>
        <w:left w:val="none" w:sz="0" w:space="0" w:color="auto"/>
        <w:bottom w:val="none" w:sz="0" w:space="0" w:color="auto"/>
        <w:right w:val="none" w:sz="0" w:space="0" w:color="auto"/>
      </w:divBdr>
    </w:div>
    <w:div w:id="1205606255">
      <w:marLeft w:val="0"/>
      <w:marRight w:val="0"/>
      <w:marTop w:val="0"/>
      <w:marBottom w:val="0"/>
      <w:divBdr>
        <w:top w:val="none" w:sz="0" w:space="0" w:color="auto"/>
        <w:left w:val="none" w:sz="0" w:space="0" w:color="auto"/>
        <w:bottom w:val="none" w:sz="0" w:space="0" w:color="auto"/>
        <w:right w:val="none" w:sz="0" w:space="0" w:color="auto"/>
      </w:divBdr>
      <w:divsChild>
        <w:div w:id="376854696">
          <w:marLeft w:val="0"/>
          <w:marRight w:val="0"/>
          <w:marTop w:val="0"/>
          <w:marBottom w:val="0"/>
          <w:divBdr>
            <w:top w:val="none" w:sz="0" w:space="0" w:color="auto"/>
            <w:left w:val="none" w:sz="0" w:space="0" w:color="auto"/>
            <w:bottom w:val="none" w:sz="0" w:space="0" w:color="auto"/>
            <w:right w:val="none" w:sz="0" w:space="0" w:color="auto"/>
          </w:divBdr>
        </w:div>
      </w:divsChild>
    </w:div>
    <w:div w:id="1213612321">
      <w:marLeft w:val="0"/>
      <w:marRight w:val="0"/>
      <w:marTop w:val="0"/>
      <w:marBottom w:val="0"/>
      <w:divBdr>
        <w:top w:val="none" w:sz="0" w:space="0" w:color="auto"/>
        <w:left w:val="none" w:sz="0" w:space="0" w:color="auto"/>
        <w:bottom w:val="none" w:sz="0" w:space="0" w:color="auto"/>
        <w:right w:val="none" w:sz="0" w:space="0" w:color="auto"/>
      </w:divBdr>
      <w:divsChild>
        <w:div w:id="935091528">
          <w:marLeft w:val="0"/>
          <w:marRight w:val="0"/>
          <w:marTop w:val="0"/>
          <w:marBottom w:val="0"/>
          <w:divBdr>
            <w:top w:val="none" w:sz="0" w:space="0" w:color="auto"/>
            <w:left w:val="none" w:sz="0" w:space="0" w:color="auto"/>
            <w:bottom w:val="none" w:sz="0" w:space="0" w:color="auto"/>
            <w:right w:val="none" w:sz="0" w:space="0" w:color="auto"/>
          </w:divBdr>
        </w:div>
      </w:divsChild>
    </w:div>
    <w:div w:id="1216161439">
      <w:marLeft w:val="0"/>
      <w:marRight w:val="0"/>
      <w:marTop w:val="0"/>
      <w:marBottom w:val="0"/>
      <w:divBdr>
        <w:top w:val="none" w:sz="0" w:space="0" w:color="auto"/>
        <w:left w:val="none" w:sz="0" w:space="0" w:color="auto"/>
        <w:bottom w:val="none" w:sz="0" w:space="0" w:color="auto"/>
        <w:right w:val="none" w:sz="0" w:space="0" w:color="auto"/>
      </w:divBdr>
    </w:div>
    <w:div w:id="1226332679">
      <w:marLeft w:val="0"/>
      <w:marRight w:val="0"/>
      <w:marTop w:val="0"/>
      <w:marBottom w:val="0"/>
      <w:divBdr>
        <w:top w:val="none" w:sz="0" w:space="0" w:color="auto"/>
        <w:left w:val="none" w:sz="0" w:space="0" w:color="auto"/>
        <w:bottom w:val="none" w:sz="0" w:space="0" w:color="auto"/>
        <w:right w:val="none" w:sz="0" w:space="0" w:color="auto"/>
      </w:divBdr>
      <w:divsChild>
        <w:div w:id="1846826612">
          <w:marLeft w:val="0"/>
          <w:marRight w:val="0"/>
          <w:marTop w:val="0"/>
          <w:marBottom w:val="0"/>
          <w:divBdr>
            <w:top w:val="none" w:sz="0" w:space="0" w:color="auto"/>
            <w:left w:val="none" w:sz="0" w:space="0" w:color="auto"/>
            <w:bottom w:val="none" w:sz="0" w:space="0" w:color="auto"/>
            <w:right w:val="none" w:sz="0" w:space="0" w:color="auto"/>
          </w:divBdr>
        </w:div>
      </w:divsChild>
    </w:div>
    <w:div w:id="1238705645">
      <w:marLeft w:val="0"/>
      <w:marRight w:val="0"/>
      <w:marTop w:val="0"/>
      <w:marBottom w:val="200"/>
      <w:divBdr>
        <w:top w:val="none" w:sz="0" w:space="0" w:color="auto"/>
        <w:left w:val="none" w:sz="0" w:space="0" w:color="auto"/>
        <w:bottom w:val="none" w:sz="0" w:space="0" w:color="auto"/>
        <w:right w:val="none" w:sz="0" w:space="0" w:color="auto"/>
      </w:divBdr>
    </w:div>
    <w:div w:id="1246261173">
      <w:marLeft w:val="0"/>
      <w:marRight w:val="0"/>
      <w:marTop w:val="0"/>
      <w:marBottom w:val="200"/>
      <w:divBdr>
        <w:top w:val="none" w:sz="0" w:space="0" w:color="auto"/>
        <w:left w:val="none" w:sz="0" w:space="0" w:color="auto"/>
        <w:bottom w:val="none" w:sz="0" w:space="0" w:color="auto"/>
        <w:right w:val="none" w:sz="0" w:space="0" w:color="auto"/>
      </w:divBdr>
    </w:div>
    <w:div w:id="1248877828">
      <w:marLeft w:val="0"/>
      <w:marRight w:val="0"/>
      <w:marTop w:val="0"/>
      <w:marBottom w:val="200"/>
      <w:divBdr>
        <w:top w:val="none" w:sz="0" w:space="0" w:color="auto"/>
        <w:left w:val="none" w:sz="0" w:space="0" w:color="auto"/>
        <w:bottom w:val="none" w:sz="0" w:space="0" w:color="auto"/>
        <w:right w:val="none" w:sz="0" w:space="0" w:color="auto"/>
      </w:divBdr>
    </w:div>
    <w:div w:id="1252473468">
      <w:marLeft w:val="0"/>
      <w:marRight w:val="0"/>
      <w:marTop w:val="0"/>
      <w:marBottom w:val="200"/>
      <w:divBdr>
        <w:top w:val="none" w:sz="0" w:space="0" w:color="auto"/>
        <w:left w:val="none" w:sz="0" w:space="0" w:color="auto"/>
        <w:bottom w:val="none" w:sz="0" w:space="0" w:color="auto"/>
        <w:right w:val="none" w:sz="0" w:space="0" w:color="auto"/>
      </w:divBdr>
    </w:div>
    <w:div w:id="1289361598">
      <w:marLeft w:val="0"/>
      <w:marRight w:val="0"/>
      <w:marTop w:val="0"/>
      <w:marBottom w:val="0"/>
      <w:divBdr>
        <w:top w:val="none" w:sz="0" w:space="0" w:color="auto"/>
        <w:left w:val="none" w:sz="0" w:space="0" w:color="auto"/>
        <w:bottom w:val="none" w:sz="0" w:space="0" w:color="auto"/>
        <w:right w:val="none" w:sz="0" w:space="0" w:color="auto"/>
      </w:divBdr>
    </w:div>
    <w:div w:id="1297372228">
      <w:marLeft w:val="0"/>
      <w:marRight w:val="0"/>
      <w:marTop w:val="0"/>
      <w:marBottom w:val="200"/>
      <w:divBdr>
        <w:top w:val="none" w:sz="0" w:space="0" w:color="auto"/>
        <w:left w:val="none" w:sz="0" w:space="0" w:color="auto"/>
        <w:bottom w:val="none" w:sz="0" w:space="0" w:color="auto"/>
        <w:right w:val="none" w:sz="0" w:space="0" w:color="auto"/>
      </w:divBdr>
    </w:div>
    <w:div w:id="1302232574">
      <w:marLeft w:val="0"/>
      <w:marRight w:val="0"/>
      <w:marTop w:val="180"/>
      <w:marBottom w:val="0"/>
      <w:divBdr>
        <w:top w:val="none" w:sz="0" w:space="0" w:color="auto"/>
        <w:left w:val="none" w:sz="0" w:space="0" w:color="auto"/>
        <w:bottom w:val="none" w:sz="0" w:space="0" w:color="auto"/>
        <w:right w:val="none" w:sz="0" w:space="0" w:color="auto"/>
      </w:divBdr>
    </w:div>
    <w:div w:id="1313215821">
      <w:marLeft w:val="0"/>
      <w:marRight w:val="0"/>
      <w:marTop w:val="100"/>
      <w:marBottom w:val="60"/>
      <w:divBdr>
        <w:top w:val="none" w:sz="0" w:space="0" w:color="auto"/>
        <w:left w:val="none" w:sz="0" w:space="0" w:color="auto"/>
        <w:bottom w:val="none" w:sz="0" w:space="0" w:color="auto"/>
        <w:right w:val="none" w:sz="0" w:space="0" w:color="auto"/>
      </w:divBdr>
    </w:div>
    <w:div w:id="1319189434">
      <w:marLeft w:val="0"/>
      <w:marRight w:val="0"/>
      <w:marTop w:val="0"/>
      <w:marBottom w:val="0"/>
      <w:divBdr>
        <w:top w:val="none" w:sz="0" w:space="0" w:color="auto"/>
        <w:left w:val="none" w:sz="0" w:space="0" w:color="auto"/>
        <w:bottom w:val="none" w:sz="0" w:space="0" w:color="auto"/>
        <w:right w:val="none" w:sz="0" w:space="0" w:color="auto"/>
      </w:divBdr>
      <w:divsChild>
        <w:div w:id="1802916165">
          <w:marLeft w:val="0"/>
          <w:marRight w:val="0"/>
          <w:marTop w:val="0"/>
          <w:marBottom w:val="0"/>
          <w:divBdr>
            <w:top w:val="none" w:sz="0" w:space="0" w:color="auto"/>
            <w:left w:val="none" w:sz="0" w:space="0" w:color="auto"/>
            <w:bottom w:val="none" w:sz="0" w:space="0" w:color="auto"/>
            <w:right w:val="none" w:sz="0" w:space="0" w:color="auto"/>
          </w:divBdr>
        </w:div>
        <w:div w:id="1809935259">
          <w:marLeft w:val="0"/>
          <w:marRight w:val="0"/>
          <w:marTop w:val="180"/>
          <w:marBottom w:val="0"/>
          <w:divBdr>
            <w:top w:val="none" w:sz="0" w:space="0" w:color="auto"/>
            <w:left w:val="none" w:sz="0" w:space="0" w:color="auto"/>
            <w:bottom w:val="none" w:sz="0" w:space="0" w:color="auto"/>
            <w:right w:val="none" w:sz="0" w:space="0" w:color="auto"/>
          </w:divBdr>
        </w:div>
      </w:divsChild>
    </w:div>
    <w:div w:id="1320381499">
      <w:marLeft w:val="0"/>
      <w:marRight w:val="0"/>
      <w:marTop w:val="0"/>
      <w:marBottom w:val="200"/>
      <w:divBdr>
        <w:top w:val="none" w:sz="0" w:space="0" w:color="auto"/>
        <w:left w:val="none" w:sz="0" w:space="0" w:color="auto"/>
        <w:bottom w:val="none" w:sz="0" w:space="0" w:color="auto"/>
        <w:right w:val="none" w:sz="0" w:space="0" w:color="auto"/>
      </w:divBdr>
    </w:div>
    <w:div w:id="1321344223">
      <w:marLeft w:val="0"/>
      <w:marRight w:val="0"/>
      <w:marTop w:val="0"/>
      <w:marBottom w:val="0"/>
      <w:divBdr>
        <w:top w:val="none" w:sz="0" w:space="0" w:color="auto"/>
        <w:left w:val="none" w:sz="0" w:space="0" w:color="auto"/>
        <w:bottom w:val="none" w:sz="0" w:space="0" w:color="auto"/>
        <w:right w:val="none" w:sz="0" w:space="0" w:color="auto"/>
      </w:divBdr>
      <w:divsChild>
        <w:div w:id="1907646947">
          <w:marLeft w:val="0"/>
          <w:marRight w:val="0"/>
          <w:marTop w:val="0"/>
          <w:marBottom w:val="0"/>
          <w:divBdr>
            <w:top w:val="none" w:sz="0" w:space="0" w:color="auto"/>
            <w:left w:val="none" w:sz="0" w:space="0" w:color="auto"/>
            <w:bottom w:val="none" w:sz="0" w:space="0" w:color="auto"/>
            <w:right w:val="none" w:sz="0" w:space="0" w:color="auto"/>
          </w:divBdr>
        </w:div>
        <w:div w:id="1995914773">
          <w:marLeft w:val="0"/>
          <w:marRight w:val="0"/>
          <w:marTop w:val="180"/>
          <w:marBottom w:val="0"/>
          <w:divBdr>
            <w:top w:val="none" w:sz="0" w:space="0" w:color="auto"/>
            <w:left w:val="none" w:sz="0" w:space="0" w:color="auto"/>
            <w:bottom w:val="none" w:sz="0" w:space="0" w:color="auto"/>
            <w:right w:val="none" w:sz="0" w:space="0" w:color="auto"/>
          </w:divBdr>
        </w:div>
      </w:divsChild>
    </w:div>
    <w:div w:id="1322588398">
      <w:marLeft w:val="0"/>
      <w:marRight w:val="0"/>
      <w:marTop w:val="0"/>
      <w:marBottom w:val="200"/>
      <w:divBdr>
        <w:top w:val="none" w:sz="0" w:space="0" w:color="auto"/>
        <w:left w:val="none" w:sz="0" w:space="0" w:color="auto"/>
        <w:bottom w:val="none" w:sz="0" w:space="0" w:color="auto"/>
        <w:right w:val="none" w:sz="0" w:space="0" w:color="auto"/>
      </w:divBdr>
    </w:div>
    <w:div w:id="1328023822">
      <w:marLeft w:val="0"/>
      <w:marRight w:val="0"/>
      <w:marTop w:val="0"/>
      <w:marBottom w:val="0"/>
      <w:divBdr>
        <w:top w:val="none" w:sz="0" w:space="0" w:color="auto"/>
        <w:left w:val="none" w:sz="0" w:space="0" w:color="auto"/>
        <w:bottom w:val="none" w:sz="0" w:space="0" w:color="auto"/>
        <w:right w:val="none" w:sz="0" w:space="0" w:color="auto"/>
      </w:divBdr>
    </w:div>
    <w:div w:id="1329941010">
      <w:marLeft w:val="0"/>
      <w:marRight w:val="0"/>
      <w:marTop w:val="0"/>
      <w:marBottom w:val="0"/>
      <w:divBdr>
        <w:top w:val="none" w:sz="0" w:space="0" w:color="auto"/>
        <w:left w:val="none" w:sz="0" w:space="0" w:color="auto"/>
        <w:bottom w:val="none" w:sz="0" w:space="0" w:color="auto"/>
        <w:right w:val="none" w:sz="0" w:space="0" w:color="auto"/>
      </w:divBdr>
    </w:div>
    <w:div w:id="1332761661">
      <w:marLeft w:val="0"/>
      <w:marRight w:val="0"/>
      <w:marTop w:val="0"/>
      <w:marBottom w:val="0"/>
      <w:divBdr>
        <w:top w:val="none" w:sz="0" w:space="0" w:color="auto"/>
        <w:left w:val="none" w:sz="0" w:space="0" w:color="auto"/>
        <w:bottom w:val="none" w:sz="0" w:space="0" w:color="auto"/>
        <w:right w:val="none" w:sz="0" w:space="0" w:color="auto"/>
      </w:divBdr>
    </w:div>
    <w:div w:id="1351689176">
      <w:marLeft w:val="0"/>
      <w:marRight w:val="0"/>
      <w:marTop w:val="0"/>
      <w:marBottom w:val="200"/>
      <w:divBdr>
        <w:top w:val="none" w:sz="0" w:space="0" w:color="auto"/>
        <w:left w:val="none" w:sz="0" w:space="0" w:color="auto"/>
        <w:bottom w:val="none" w:sz="0" w:space="0" w:color="auto"/>
        <w:right w:val="none" w:sz="0" w:space="0" w:color="auto"/>
      </w:divBdr>
    </w:div>
    <w:div w:id="1381368636">
      <w:marLeft w:val="0"/>
      <w:marRight w:val="0"/>
      <w:marTop w:val="0"/>
      <w:marBottom w:val="0"/>
      <w:divBdr>
        <w:top w:val="none" w:sz="0" w:space="0" w:color="auto"/>
        <w:left w:val="none" w:sz="0" w:space="0" w:color="auto"/>
        <w:bottom w:val="none" w:sz="0" w:space="0" w:color="auto"/>
        <w:right w:val="none" w:sz="0" w:space="0" w:color="auto"/>
      </w:divBdr>
    </w:div>
    <w:div w:id="1385643136">
      <w:marLeft w:val="0"/>
      <w:marRight w:val="0"/>
      <w:marTop w:val="0"/>
      <w:marBottom w:val="200"/>
      <w:divBdr>
        <w:top w:val="none" w:sz="0" w:space="0" w:color="auto"/>
        <w:left w:val="none" w:sz="0" w:space="0" w:color="auto"/>
        <w:bottom w:val="none" w:sz="0" w:space="0" w:color="auto"/>
        <w:right w:val="none" w:sz="0" w:space="0" w:color="auto"/>
      </w:divBdr>
    </w:div>
    <w:div w:id="1392776836">
      <w:marLeft w:val="0"/>
      <w:marRight w:val="0"/>
      <w:marTop w:val="0"/>
      <w:marBottom w:val="0"/>
      <w:divBdr>
        <w:top w:val="none" w:sz="0" w:space="0" w:color="auto"/>
        <w:left w:val="none" w:sz="0" w:space="0" w:color="auto"/>
        <w:bottom w:val="none" w:sz="0" w:space="0" w:color="auto"/>
        <w:right w:val="none" w:sz="0" w:space="0" w:color="auto"/>
      </w:divBdr>
    </w:div>
    <w:div w:id="1394307878">
      <w:marLeft w:val="0"/>
      <w:marRight w:val="0"/>
      <w:marTop w:val="0"/>
      <w:marBottom w:val="200"/>
      <w:divBdr>
        <w:top w:val="none" w:sz="0" w:space="0" w:color="auto"/>
        <w:left w:val="none" w:sz="0" w:space="0" w:color="auto"/>
        <w:bottom w:val="none" w:sz="0" w:space="0" w:color="auto"/>
        <w:right w:val="none" w:sz="0" w:space="0" w:color="auto"/>
      </w:divBdr>
    </w:div>
    <w:div w:id="1401714004">
      <w:marLeft w:val="0"/>
      <w:marRight w:val="0"/>
      <w:marTop w:val="0"/>
      <w:marBottom w:val="200"/>
      <w:divBdr>
        <w:top w:val="none" w:sz="0" w:space="0" w:color="auto"/>
        <w:left w:val="none" w:sz="0" w:space="0" w:color="auto"/>
        <w:bottom w:val="none" w:sz="0" w:space="0" w:color="auto"/>
        <w:right w:val="none" w:sz="0" w:space="0" w:color="auto"/>
      </w:divBdr>
    </w:div>
    <w:div w:id="1409964167">
      <w:marLeft w:val="0"/>
      <w:marRight w:val="0"/>
      <w:marTop w:val="0"/>
      <w:marBottom w:val="0"/>
      <w:divBdr>
        <w:top w:val="none" w:sz="0" w:space="0" w:color="auto"/>
        <w:left w:val="none" w:sz="0" w:space="0" w:color="auto"/>
        <w:bottom w:val="none" w:sz="0" w:space="0" w:color="auto"/>
        <w:right w:val="none" w:sz="0" w:space="0" w:color="auto"/>
      </w:divBdr>
    </w:div>
    <w:div w:id="1416440496">
      <w:marLeft w:val="0"/>
      <w:marRight w:val="0"/>
      <w:marTop w:val="0"/>
      <w:marBottom w:val="0"/>
      <w:divBdr>
        <w:top w:val="none" w:sz="0" w:space="0" w:color="auto"/>
        <w:left w:val="none" w:sz="0" w:space="0" w:color="auto"/>
        <w:bottom w:val="none" w:sz="0" w:space="0" w:color="auto"/>
        <w:right w:val="none" w:sz="0" w:space="0" w:color="auto"/>
      </w:divBdr>
    </w:div>
    <w:div w:id="1420567455">
      <w:marLeft w:val="0"/>
      <w:marRight w:val="0"/>
      <w:marTop w:val="0"/>
      <w:marBottom w:val="200"/>
      <w:divBdr>
        <w:top w:val="none" w:sz="0" w:space="0" w:color="auto"/>
        <w:left w:val="none" w:sz="0" w:space="0" w:color="auto"/>
        <w:bottom w:val="none" w:sz="0" w:space="0" w:color="auto"/>
        <w:right w:val="none" w:sz="0" w:space="0" w:color="auto"/>
      </w:divBdr>
    </w:div>
    <w:div w:id="1429471388">
      <w:marLeft w:val="0"/>
      <w:marRight w:val="0"/>
      <w:marTop w:val="0"/>
      <w:marBottom w:val="200"/>
      <w:divBdr>
        <w:top w:val="none" w:sz="0" w:space="0" w:color="auto"/>
        <w:left w:val="none" w:sz="0" w:space="0" w:color="auto"/>
        <w:bottom w:val="none" w:sz="0" w:space="0" w:color="auto"/>
        <w:right w:val="none" w:sz="0" w:space="0" w:color="auto"/>
      </w:divBdr>
    </w:div>
    <w:div w:id="1436558031">
      <w:marLeft w:val="0"/>
      <w:marRight w:val="0"/>
      <w:marTop w:val="0"/>
      <w:marBottom w:val="0"/>
      <w:divBdr>
        <w:top w:val="none" w:sz="0" w:space="0" w:color="auto"/>
        <w:left w:val="none" w:sz="0" w:space="0" w:color="auto"/>
        <w:bottom w:val="none" w:sz="0" w:space="0" w:color="auto"/>
        <w:right w:val="none" w:sz="0" w:space="0" w:color="auto"/>
      </w:divBdr>
    </w:div>
    <w:div w:id="1436753219">
      <w:marLeft w:val="0"/>
      <w:marRight w:val="0"/>
      <w:marTop w:val="200"/>
      <w:marBottom w:val="0"/>
      <w:divBdr>
        <w:top w:val="none" w:sz="0" w:space="0" w:color="auto"/>
        <w:left w:val="none" w:sz="0" w:space="0" w:color="auto"/>
        <w:bottom w:val="none" w:sz="0" w:space="0" w:color="auto"/>
        <w:right w:val="none" w:sz="0" w:space="0" w:color="auto"/>
      </w:divBdr>
    </w:div>
    <w:div w:id="1447583997">
      <w:marLeft w:val="0"/>
      <w:marRight w:val="0"/>
      <w:marTop w:val="100"/>
      <w:marBottom w:val="0"/>
      <w:divBdr>
        <w:top w:val="none" w:sz="0" w:space="0" w:color="auto"/>
        <w:left w:val="none" w:sz="0" w:space="0" w:color="auto"/>
        <w:bottom w:val="none" w:sz="0" w:space="0" w:color="auto"/>
        <w:right w:val="none" w:sz="0" w:space="0" w:color="auto"/>
      </w:divBdr>
    </w:div>
    <w:div w:id="1455177739">
      <w:marLeft w:val="0"/>
      <w:marRight w:val="0"/>
      <w:marTop w:val="0"/>
      <w:marBottom w:val="0"/>
      <w:divBdr>
        <w:top w:val="none" w:sz="0" w:space="0" w:color="auto"/>
        <w:left w:val="none" w:sz="0" w:space="0" w:color="auto"/>
        <w:bottom w:val="none" w:sz="0" w:space="0" w:color="auto"/>
        <w:right w:val="none" w:sz="0" w:space="0" w:color="auto"/>
      </w:divBdr>
      <w:divsChild>
        <w:div w:id="316425620">
          <w:marLeft w:val="0"/>
          <w:marRight w:val="0"/>
          <w:marTop w:val="0"/>
          <w:marBottom w:val="0"/>
          <w:divBdr>
            <w:top w:val="none" w:sz="0" w:space="0" w:color="auto"/>
            <w:left w:val="none" w:sz="0" w:space="0" w:color="auto"/>
            <w:bottom w:val="none" w:sz="0" w:space="0" w:color="auto"/>
            <w:right w:val="none" w:sz="0" w:space="0" w:color="auto"/>
          </w:divBdr>
        </w:div>
      </w:divsChild>
    </w:div>
    <w:div w:id="1462646768">
      <w:marLeft w:val="0"/>
      <w:marRight w:val="0"/>
      <w:marTop w:val="0"/>
      <w:marBottom w:val="0"/>
      <w:divBdr>
        <w:top w:val="none" w:sz="0" w:space="0" w:color="auto"/>
        <w:left w:val="none" w:sz="0" w:space="0" w:color="auto"/>
        <w:bottom w:val="none" w:sz="0" w:space="0" w:color="auto"/>
        <w:right w:val="none" w:sz="0" w:space="0" w:color="auto"/>
      </w:divBdr>
      <w:divsChild>
        <w:div w:id="1905486581">
          <w:marLeft w:val="0"/>
          <w:marRight w:val="0"/>
          <w:marTop w:val="0"/>
          <w:marBottom w:val="0"/>
          <w:divBdr>
            <w:top w:val="none" w:sz="0" w:space="0" w:color="auto"/>
            <w:left w:val="none" w:sz="0" w:space="0" w:color="auto"/>
            <w:bottom w:val="none" w:sz="0" w:space="0" w:color="auto"/>
            <w:right w:val="none" w:sz="0" w:space="0" w:color="auto"/>
          </w:divBdr>
        </w:div>
      </w:divsChild>
    </w:div>
    <w:div w:id="1468694426">
      <w:marLeft w:val="0"/>
      <w:marRight w:val="0"/>
      <w:marTop w:val="0"/>
      <w:marBottom w:val="200"/>
      <w:divBdr>
        <w:top w:val="none" w:sz="0" w:space="0" w:color="auto"/>
        <w:left w:val="none" w:sz="0" w:space="0" w:color="auto"/>
        <w:bottom w:val="none" w:sz="0" w:space="0" w:color="auto"/>
        <w:right w:val="none" w:sz="0" w:space="0" w:color="auto"/>
      </w:divBdr>
    </w:div>
    <w:div w:id="1475950882">
      <w:marLeft w:val="0"/>
      <w:marRight w:val="0"/>
      <w:marTop w:val="0"/>
      <w:marBottom w:val="200"/>
      <w:divBdr>
        <w:top w:val="none" w:sz="0" w:space="0" w:color="auto"/>
        <w:left w:val="none" w:sz="0" w:space="0" w:color="auto"/>
        <w:bottom w:val="none" w:sz="0" w:space="0" w:color="auto"/>
        <w:right w:val="none" w:sz="0" w:space="0" w:color="auto"/>
      </w:divBdr>
    </w:div>
    <w:div w:id="1478693159">
      <w:marLeft w:val="0"/>
      <w:marRight w:val="0"/>
      <w:marTop w:val="0"/>
      <w:marBottom w:val="200"/>
      <w:divBdr>
        <w:top w:val="none" w:sz="0" w:space="0" w:color="auto"/>
        <w:left w:val="none" w:sz="0" w:space="0" w:color="auto"/>
        <w:bottom w:val="none" w:sz="0" w:space="0" w:color="auto"/>
        <w:right w:val="none" w:sz="0" w:space="0" w:color="auto"/>
      </w:divBdr>
    </w:div>
    <w:div w:id="1486387685">
      <w:marLeft w:val="0"/>
      <w:marRight w:val="0"/>
      <w:marTop w:val="0"/>
      <w:marBottom w:val="200"/>
      <w:divBdr>
        <w:top w:val="none" w:sz="0" w:space="0" w:color="auto"/>
        <w:left w:val="none" w:sz="0" w:space="0" w:color="auto"/>
        <w:bottom w:val="none" w:sz="0" w:space="0" w:color="auto"/>
        <w:right w:val="none" w:sz="0" w:space="0" w:color="auto"/>
      </w:divBdr>
    </w:div>
    <w:div w:id="1504201121">
      <w:marLeft w:val="0"/>
      <w:marRight w:val="0"/>
      <w:marTop w:val="100"/>
      <w:marBottom w:val="60"/>
      <w:divBdr>
        <w:top w:val="none" w:sz="0" w:space="0" w:color="auto"/>
        <w:left w:val="none" w:sz="0" w:space="0" w:color="auto"/>
        <w:bottom w:val="none" w:sz="0" w:space="0" w:color="auto"/>
        <w:right w:val="none" w:sz="0" w:space="0" w:color="auto"/>
      </w:divBdr>
    </w:div>
    <w:div w:id="1507939106">
      <w:marLeft w:val="0"/>
      <w:marRight w:val="0"/>
      <w:marTop w:val="0"/>
      <w:marBottom w:val="0"/>
      <w:divBdr>
        <w:top w:val="none" w:sz="0" w:space="0" w:color="auto"/>
        <w:left w:val="none" w:sz="0" w:space="0" w:color="auto"/>
        <w:bottom w:val="none" w:sz="0" w:space="0" w:color="auto"/>
        <w:right w:val="none" w:sz="0" w:space="0" w:color="auto"/>
      </w:divBdr>
      <w:divsChild>
        <w:div w:id="18628178">
          <w:marLeft w:val="0"/>
          <w:marRight w:val="0"/>
          <w:marTop w:val="0"/>
          <w:marBottom w:val="0"/>
          <w:divBdr>
            <w:top w:val="none" w:sz="0" w:space="0" w:color="auto"/>
            <w:left w:val="none" w:sz="0" w:space="0" w:color="auto"/>
            <w:bottom w:val="none" w:sz="0" w:space="0" w:color="auto"/>
            <w:right w:val="none" w:sz="0" w:space="0" w:color="auto"/>
          </w:divBdr>
        </w:div>
      </w:divsChild>
    </w:div>
    <w:div w:id="1509098320">
      <w:marLeft w:val="0"/>
      <w:marRight w:val="0"/>
      <w:marTop w:val="0"/>
      <w:marBottom w:val="0"/>
      <w:divBdr>
        <w:top w:val="none" w:sz="0" w:space="0" w:color="auto"/>
        <w:left w:val="none" w:sz="0" w:space="0" w:color="auto"/>
        <w:bottom w:val="none" w:sz="0" w:space="0" w:color="auto"/>
        <w:right w:val="none" w:sz="0" w:space="0" w:color="auto"/>
      </w:divBdr>
      <w:divsChild>
        <w:div w:id="384372781">
          <w:marLeft w:val="0"/>
          <w:marRight w:val="0"/>
          <w:marTop w:val="0"/>
          <w:marBottom w:val="0"/>
          <w:divBdr>
            <w:top w:val="none" w:sz="0" w:space="0" w:color="auto"/>
            <w:left w:val="none" w:sz="0" w:space="0" w:color="auto"/>
            <w:bottom w:val="none" w:sz="0" w:space="0" w:color="auto"/>
            <w:right w:val="none" w:sz="0" w:space="0" w:color="auto"/>
          </w:divBdr>
        </w:div>
        <w:div w:id="567619449">
          <w:marLeft w:val="0"/>
          <w:marRight w:val="0"/>
          <w:marTop w:val="0"/>
          <w:marBottom w:val="0"/>
          <w:divBdr>
            <w:top w:val="none" w:sz="0" w:space="0" w:color="auto"/>
            <w:left w:val="none" w:sz="0" w:space="0" w:color="auto"/>
            <w:bottom w:val="none" w:sz="0" w:space="0" w:color="auto"/>
            <w:right w:val="none" w:sz="0" w:space="0" w:color="auto"/>
          </w:divBdr>
        </w:div>
      </w:divsChild>
    </w:div>
    <w:div w:id="1510028465">
      <w:marLeft w:val="0"/>
      <w:marRight w:val="0"/>
      <w:marTop w:val="0"/>
      <w:marBottom w:val="0"/>
      <w:divBdr>
        <w:top w:val="none" w:sz="0" w:space="0" w:color="auto"/>
        <w:left w:val="none" w:sz="0" w:space="0" w:color="auto"/>
        <w:bottom w:val="none" w:sz="0" w:space="0" w:color="auto"/>
        <w:right w:val="none" w:sz="0" w:space="0" w:color="auto"/>
      </w:divBdr>
      <w:divsChild>
        <w:div w:id="801927725">
          <w:marLeft w:val="0"/>
          <w:marRight w:val="0"/>
          <w:marTop w:val="0"/>
          <w:marBottom w:val="0"/>
          <w:divBdr>
            <w:top w:val="none" w:sz="0" w:space="0" w:color="auto"/>
            <w:left w:val="none" w:sz="0" w:space="0" w:color="auto"/>
            <w:bottom w:val="none" w:sz="0" w:space="0" w:color="auto"/>
            <w:right w:val="none" w:sz="0" w:space="0" w:color="auto"/>
          </w:divBdr>
        </w:div>
      </w:divsChild>
    </w:div>
    <w:div w:id="1511869374">
      <w:marLeft w:val="0"/>
      <w:marRight w:val="0"/>
      <w:marTop w:val="0"/>
      <w:marBottom w:val="0"/>
      <w:divBdr>
        <w:top w:val="none" w:sz="0" w:space="0" w:color="auto"/>
        <w:left w:val="none" w:sz="0" w:space="0" w:color="auto"/>
        <w:bottom w:val="none" w:sz="0" w:space="0" w:color="auto"/>
        <w:right w:val="none" w:sz="0" w:space="0" w:color="auto"/>
      </w:divBdr>
      <w:divsChild>
        <w:div w:id="1126966600">
          <w:marLeft w:val="0"/>
          <w:marRight w:val="0"/>
          <w:marTop w:val="0"/>
          <w:marBottom w:val="0"/>
          <w:divBdr>
            <w:top w:val="none" w:sz="0" w:space="0" w:color="auto"/>
            <w:left w:val="none" w:sz="0" w:space="0" w:color="auto"/>
            <w:bottom w:val="none" w:sz="0" w:space="0" w:color="auto"/>
            <w:right w:val="none" w:sz="0" w:space="0" w:color="auto"/>
          </w:divBdr>
        </w:div>
      </w:divsChild>
    </w:div>
    <w:div w:id="1512988883">
      <w:marLeft w:val="0"/>
      <w:marRight w:val="0"/>
      <w:marTop w:val="0"/>
      <w:marBottom w:val="0"/>
      <w:divBdr>
        <w:top w:val="none" w:sz="0" w:space="0" w:color="auto"/>
        <w:left w:val="none" w:sz="0" w:space="0" w:color="auto"/>
        <w:bottom w:val="none" w:sz="0" w:space="0" w:color="auto"/>
        <w:right w:val="none" w:sz="0" w:space="0" w:color="auto"/>
      </w:divBdr>
      <w:divsChild>
        <w:div w:id="794065138">
          <w:marLeft w:val="0"/>
          <w:marRight w:val="0"/>
          <w:marTop w:val="0"/>
          <w:marBottom w:val="0"/>
          <w:divBdr>
            <w:top w:val="none" w:sz="0" w:space="0" w:color="auto"/>
            <w:left w:val="none" w:sz="0" w:space="0" w:color="auto"/>
            <w:bottom w:val="none" w:sz="0" w:space="0" w:color="auto"/>
            <w:right w:val="none" w:sz="0" w:space="0" w:color="auto"/>
          </w:divBdr>
        </w:div>
        <w:div w:id="350693601">
          <w:marLeft w:val="0"/>
          <w:marRight w:val="0"/>
          <w:marTop w:val="180"/>
          <w:marBottom w:val="0"/>
          <w:divBdr>
            <w:top w:val="none" w:sz="0" w:space="0" w:color="auto"/>
            <w:left w:val="none" w:sz="0" w:space="0" w:color="auto"/>
            <w:bottom w:val="none" w:sz="0" w:space="0" w:color="auto"/>
            <w:right w:val="none" w:sz="0" w:space="0" w:color="auto"/>
          </w:divBdr>
        </w:div>
      </w:divsChild>
    </w:div>
    <w:div w:id="1523978380">
      <w:marLeft w:val="0"/>
      <w:marRight w:val="0"/>
      <w:marTop w:val="0"/>
      <w:marBottom w:val="120"/>
      <w:divBdr>
        <w:top w:val="none" w:sz="0" w:space="0" w:color="auto"/>
        <w:left w:val="none" w:sz="0" w:space="0" w:color="auto"/>
        <w:bottom w:val="none" w:sz="0" w:space="0" w:color="auto"/>
        <w:right w:val="none" w:sz="0" w:space="0" w:color="auto"/>
      </w:divBdr>
    </w:div>
    <w:div w:id="1528057778">
      <w:marLeft w:val="0"/>
      <w:marRight w:val="0"/>
      <w:marTop w:val="0"/>
      <w:marBottom w:val="0"/>
      <w:divBdr>
        <w:top w:val="none" w:sz="0" w:space="0" w:color="auto"/>
        <w:left w:val="none" w:sz="0" w:space="0" w:color="auto"/>
        <w:bottom w:val="none" w:sz="0" w:space="0" w:color="auto"/>
        <w:right w:val="none" w:sz="0" w:space="0" w:color="auto"/>
      </w:divBdr>
      <w:divsChild>
        <w:div w:id="814489931">
          <w:marLeft w:val="0"/>
          <w:marRight w:val="0"/>
          <w:marTop w:val="0"/>
          <w:marBottom w:val="0"/>
          <w:divBdr>
            <w:top w:val="none" w:sz="0" w:space="0" w:color="auto"/>
            <w:left w:val="none" w:sz="0" w:space="0" w:color="auto"/>
            <w:bottom w:val="none" w:sz="0" w:space="0" w:color="auto"/>
            <w:right w:val="none" w:sz="0" w:space="0" w:color="auto"/>
          </w:divBdr>
        </w:div>
      </w:divsChild>
    </w:div>
    <w:div w:id="1532494445">
      <w:marLeft w:val="0"/>
      <w:marRight w:val="0"/>
      <w:marTop w:val="100"/>
      <w:marBottom w:val="0"/>
      <w:divBdr>
        <w:top w:val="none" w:sz="0" w:space="0" w:color="auto"/>
        <w:left w:val="none" w:sz="0" w:space="0" w:color="auto"/>
        <w:bottom w:val="none" w:sz="0" w:space="0" w:color="auto"/>
        <w:right w:val="none" w:sz="0" w:space="0" w:color="auto"/>
      </w:divBdr>
      <w:divsChild>
        <w:div w:id="1101219999">
          <w:marLeft w:val="0"/>
          <w:marRight w:val="0"/>
          <w:marTop w:val="0"/>
          <w:marBottom w:val="0"/>
          <w:divBdr>
            <w:top w:val="none" w:sz="0" w:space="0" w:color="auto"/>
            <w:left w:val="none" w:sz="0" w:space="0" w:color="auto"/>
            <w:bottom w:val="none" w:sz="0" w:space="0" w:color="auto"/>
            <w:right w:val="none" w:sz="0" w:space="0" w:color="auto"/>
          </w:divBdr>
        </w:div>
        <w:div w:id="519051860">
          <w:marLeft w:val="0"/>
          <w:marRight w:val="0"/>
          <w:marTop w:val="0"/>
          <w:marBottom w:val="0"/>
          <w:divBdr>
            <w:top w:val="none" w:sz="0" w:space="0" w:color="auto"/>
            <w:left w:val="none" w:sz="0" w:space="0" w:color="auto"/>
            <w:bottom w:val="none" w:sz="0" w:space="0" w:color="auto"/>
            <w:right w:val="none" w:sz="0" w:space="0" w:color="auto"/>
          </w:divBdr>
        </w:div>
        <w:div w:id="441534755">
          <w:marLeft w:val="0"/>
          <w:marRight w:val="0"/>
          <w:marTop w:val="0"/>
          <w:marBottom w:val="0"/>
          <w:divBdr>
            <w:top w:val="none" w:sz="0" w:space="0" w:color="auto"/>
            <w:left w:val="none" w:sz="0" w:space="0" w:color="auto"/>
            <w:bottom w:val="none" w:sz="0" w:space="0" w:color="auto"/>
            <w:right w:val="none" w:sz="0" w:space="0" w:color="auto"/>
          </w:divBdr>
        </w:div>
        <w:div w:id="1692993986">
          <w:marLeft w:val="0"/>
          <w:marRight w:val="0"/>
          <w:marTop w:val="0"/>
          <w:marBottom w:val="0"/>
          <w:divBdr>
            <w:top w:val="none" w:sz="0" w:space="0" w:color="auto"/>
            <w:left w:val="none" w:sz="0" w:space="0" w:color="auto"/>
            <w:bottom w:val="none" w:sz="0" w:space="0" w:color="auto"/>
            <w:right w:val="none" w:sz="0" w:space="0" w:color="auto"/>
          </w:divBdr>
        </w:div>
      </w:divsChild>
    </w:div>
    <w:div w:id="1533959960">
      <w:marLeft w:val="0"/>
      <w:marRight w:val="0"/>
      <w:marTop w:val="100"/>
      <w:marBottom w:val="0"/>
      <w:divBdr>
        <w:top w:val="none" w:sz="0" w:space="0" w:color="auto"/>
        <w:left w:val="none" w:sz="0" w:space="0" w:color="auto"/>
        <w:bottom w:val="none" w:sz="0" w:space="0" w:color="auto"/>
        <w:right w:val="none" w:sz="0" w:space="0" w:color="auto"/>
      </w:divBdr>
      <w:divsChild>
        <w:div w:id="1258559576">
          <w:marLeft w:val="0"/>
          <w:marRight w:val="0"/>
          <w:marTop w:val="0"/>
          <w:marBottom w:val="0"/>
          <w:divBdr>
            <w:top w:val="none" w:sz="0" w:space="0" w:color="auto"/>
            <w:left w:val="none" w:sz="0" w:space="0" w:color="auto"/>
            <w:bottom w:val="none" w:sz="0" w:space="0" w:color="auto"/>
            <w:right w:val="none" w:sz="0" w:space="0" w:color="auto"/>
          </w:divBdr>
        </w:div>
        <w:div w:id="2098555061">
          <w:marLeft w:val="0"/>
          <w:marRight w:val="0"/>
          <w:marTop w:val="0"/>
          <w:marBottom w:val="0"/>
          <w:divBdr>
            <w:top w:val="none" w:sz="0" w:space="0" w:color="auto"/>
            <w:left w:val="none" w:sz="0" w:space="0" w:color="auto"/>
            <w:bottom w:val="none" w:sz="0" w:space="0" w:color="auto"/>
            <w:right w:val="none" w:sz="0" w:space="0" w:color="auto"/>
          </w:divBdr>
        </w:div>
        <w:div w:id="72826474">
          <w:marLeft w:val="0"/>
          <w:marRight w:val="0"/>
          <w:marTop w:val="0"/>
          <w:marBottom w:val="0"/>
          <w:divBdr>
            <w:top w:val="none" w:sz="0" w:space="0" w:color="auto"/>
            <w:left w:val="none" w:sz="0" w:space="0" w:color="auto"/>
            <w:bottom w:val="none" w:sz="0" w:space="0" w:color="auto"/>
            <w:right w:val="none" w:sz="0" w:space="0" w:color="auto"/>
          </w:divBdr>
        </w:div>
        <w:div w:id="122768701">
          <w:marLeft w:val="0"/>
          <w:marRight w:val="0"/>
          <w:marTop w:val="0"/>
          <w:marBottom w:val="0"/>
          <w:divBdr>
            <w:top w:val="none" w:sz="0" w:space="0" w:color="auto"/>
            <w:left w:val="none" w:sz="0" w:space="0" w:color="auto"/>
            <w:bottom w:val="none" w:sz="0" w:space="0" w:color="auto"/>
            <w:right w:val="none" w:sz="0" w:space="0" w:color="auto"/>
          </w:divBdr>
        </w:div>
        <w:div w:id="1127161380">
          <w:marLeft w:val="0"/>
          <w:marRight w:val="0"/>
          <w:marTop w:val="0"/>
          <w:marBottom w:val="0"/>
          <w:divBdr>
            <w:top w:val="none" w:sz="0" w:space="0" w:color="auto"/>
            <w:left w:val="none" w:sz="0" w:space="0" w:color="auto"/>
            <w:bottom w:val="none" w:sz="0" w:space="0" w:color="auto"/>
            <w:right w:val="none" w:sz="0" w:space="0" w:color="auto"/>
          </w:divBdr>
        </w:div>
        <w:div w:id="1588926665">
          <w:marLeft w:val="0"/>
          <w:marRight w:val="0"/>
          <w:marTop w:val="0"/>
          <w:marBottom w:val="0"/>
          <w:divBdr>
            <w:top w:val="none" w:sz="0" w:space="0" w:color="auto"/>
            <w:left w:val="none" w:sz="0" w:space="0" w:color="auto"/>
            <w:bottom w:val="none" w:sz="0" w:space="0" w:color="auto"/>
            <w:right w:val="none" w:sz="0" w:space="0" w:color="auto"/>
          </w:divBdr>
        </w:div>
        <w:div w:id="1421679284">
          <w:marLeft w:val="0"/>
          <w:marRight w:val="0"/>
          <w:marTop w:val="0"/>
          <w:marBottom w:val="0"/>
          <w:divBdr>
            <w:top w:val="none" w:sz="0" w:space="0" w:color="auto"/>
            <w:left w:val="none" w:sz="0" w:space="0" w:color="auto"/>
            <w:bottom w:val="none" w:sz="0" w:space="0" w:color="auto"/>
            <w:right w:val="none" w:sz="0" w:space="0" w:color="auto"/>
          </w:divBdr>
        </w:div>
        <w:div w:id="2105804609">
          <w:marLeft w:val="0"/>
          <w:marRight w:val="0"/>
          <w:marTop w:val="0"/>
          <w:marBottom w:val="0"/>
          <w:divBdr>
            <w:top w:val="none" w:sz="0" w:space="0" w:color="auto"/>
            <w:left w:val="none" w:sz="0" w:space="0" w:color="auto"/>
            <w:bottom w:val="none" w:sz="0" w:space="0" w:color="auto"/>
            <w:right w:val="none" w:sz="0" w:space="0" w:color="auto"/>
          </w:divBdr>
        </w:div>
        <w:div w:id="1090587274">
          <w:marLeft w:val="0"/>
          <w:marRight w:val="0"/>
          <w:marTop w:val="0"/>
          <w:marBottom w:val="0"/>
          <w:divBdr>
            <w:top w:val="none" w:sz="0" w:space="0" w:color="auto"/>
            <w:left w:val="none" w:sz="0" w:space="0" w:color="auto"/>
            <w:bottom w:val="none" w:sz="0" w:space="0" w:color="auto"/>
            <w:right w:val="none" w:sz="0" w:space="0" w:color="auto"/>
          </w:divBdr>
        </w:div>
        <w:div w:id="1401831822">
          <w:marLeft w:val="0"/>
          <w:marRight w:val="0"/>
          <w:marTop w:val="0"/>
          <w:marBottom w:val="0"/>
          <w:divBdr>
            <w:top w:val="none" w:sz="0" w:space="0" w:color="auto"/>
            <w:left w:val="none" w:sz="0" w:space="0" w:color="auto"/>
            <w:bottom w:val="none" w:sz="0" w:space="0" w:color="auto"/>
            <w:right w:val="none" w:sz="0" w:space="0" w:color="auto"/>
          </w:divBdr>
        </w:div>
        <w:div w:id="246619761">
          <w:marLeft w:val="0"/>
          <w:marRight w:val="0"/>
          <w:marTop w:val="0"/>
          <w:marBottom w:val="0"/>
          <w:divBdr>
            <w:top w:val="none" w:sz="0" w:space="0" w:color="auto"/>
            <w:left w:val="none" w:sz="0" w:space="0" w:color="auto"/>
            <w:bottom w:val="none" w:sz="0" w:space="0" w:color="auto"/>
            <w:right w:val="none" w:sz="0" w:space="0" w:color="auto"/>
          </w:divBdr>
        </w:div>
        <w:div w:id="1551764094">
          <w:marLeft w:val="0"/>
          <w:marRight w:val="0"/>
          <w:marTop w:val="0"/>
          <w:marBottom w:val="0"/>
          <w:divBdr>
            <w:top w:val="none" w:sz="0" w:space="0" w:color="auto"/>
            <w:left w:val="none" w:sz="0" w:space="0" w:color="auto"/>
            <w:bottom w:val="none" w:sz="0" w:space="0" w:color="auto"/>
            <w:right w:val="none" w:sz="0" w:space="0" w:color="auto"/>
          </w:divBdr>
        </w:div>
        <w:div w:id="417136838">
          <w:marLeft w:val="0"/>
          <w:marRight w:val="0"/>
          <w:marTop w:val="0"/>
          <w:marBottom w:val="0"/>
          <w:divBdr>
            <w:top w:val="none" w:sz="0" w:space="0" w:color="auto"/>
            <w:left w:val="none" w:sz="0" w:space="0" w:color="auto"/>
            <w:bottom w:val="none" w:sz="0" w:space="0" w:color="auto"/>
            <w:right w:val="none" w:sz="0" w:space="0" w:color="auto"/>
          </w:divBdr>
        </w:div>
        <w:div w:id="1053820178">
          <w:marLeft w:val="0"/>
          <w:marRight w:val="0"/>
          <w:marTop w:val="0"/>
          <w:marBottom w:val="0"/>
          <w:divBdr>
            <w:top w:val="none" w:sz="0" w:space="0" w:color="auto"/>
            <w:left w:val="none" w:sz="0" w:space="0" w:color="auto"/>
            <w:bottom w:val="none" w:sz="0" w:space="0" w:color="auto"/>
            <w:right w:val="none" w:sz="0" w:space="0" w:color="auto"/>
          </w:divBdr>
        </w:div>
        <w:div w:id="435366622">
          <w:marLeft w:val="0"/>
          <w:marRight w:val="0"/>
          <w:marTop w:val="0"/>
          <w:marBottom w:val="0"/>
          <w:divBdr>
            <w:top w:val="none" w:sz="0" w:space="0" w:color="auto"/>
            <w:left w:val="none" w:sz="0" w:space="0" w:color="auto"/>
            <w:bottom w:val="none" w:sz="0" w:space="0" w:color="auto"/>
            <w:right w:val="none" w:sz="0" w:space="0" w:color="auto"/>
          </w:divBdr>
        </w:div>
        <w:div w:id="389156834">
          <w:marLeft w:val="0"/>
          <w:marRight w:val="0"/>
          <w:marTop w:val="0"/>
          <w:marBottom w:val="0"/>
          <w:divBdr>
            <w:top w:val="none" w:sz="0" w:space="0" w:color="auto"/>
            <w:left w:val="none" w:sz="0" w:space="0" w:color="auto"/>
            <w:bottom w:val="none" w:sz="0" w:space="0" w:color="auto"/>
            <w:right w:val="none" w:sz="0" w:space="0" w:color="auto"/>
          </w:divBdr>
        </w:div>
        <w:div w:id="1617830839">
          <w:marLeft w:val="0"/>
          <w:marRight w:val="0"/>
          <w:marTop w:val="0"/>
          <w:marBottom w:val="0"/>
          <w:divBdr>
            <w:top w:val="none" w:sz="0" w:space="0" w:color="auto"/>
            <w:left w:val="none" w:sz="0" w:space="0" w:color="auto"/>
            <w:bottom w:val="none" w:sz="0" w:space="0" w:color="auto"/>
            <w:right w:val="none" w:sz="0" w:space="0" w:color="auto"/>
          </w:divBdr>
        </w:div>
        <w:div w:id="1170410276">
          <w:marLeft w:val="0"/>
          <w:marRight w:val="0"/>
          <w:marTop w:val="0"/>
          <w:marBottom w:val="0"/>
          <w:divBdr>
            <w:top w:val="none" w:sz="0" w:space="0" w:color="auto"/>
            <w:left w:val="none" w:sz="0" w:space="0" w:color="auto"/>
            <w:bottom w:val="none" w:sz="0" w:space="0" w:color="auto"/>
            <w:right w:val="none" w:sz="0" w:space="0" w:color="auto"/>
          </w:divBdr>
        </w:div>
      </w:divsChild>
    </w:div>
    <w:div w:id="1543253726">
      <w:marLeft w:val="0"/>
      <w:marRight w:val="0"/>
      <w:marTop w:val="100"/>
      <w:marBottom w:val="0"/>
      <w:divBdr>
        <w:top w:val="none" w:sz="0" w:space="0" w:color="auto"/>
        <w:left w:val="none" w:sz="0" w:space="0" w:color="auto"/>
        <w:bottom w:val="none" w:sz="0" w:space="0" w:color="auto"/>
        <w:right w:val="none" w:sz="0" w:space="0" w:color="auto"/>
      </w:divBdr>
    </w:div>
    <w:div w:id="1569220156">
      <w:marLeft w:val="0"/>
      <w:marRight w:val="0"/>
      <w:marTop w:val="0"/>
      <w:marBottom w:val="0"/>
      <w:divBdr>
        <w:top w:val="none" w:sz="0" w:space="0" w:color="auto"/>
        <w:left w:val="none" w:sz="0" w:space="0" w:color="auto"/>
        <w:bottom w:val="none" w:sz="0" w:space="0" w:color="auto"/>
        <w:right w:val="none" w:sz="0" w:space="0" w:color="auto"/>
      </w:divBdr>
    </w:div>
    <w:div w:id="1572886581">
      <w:marLeft w:val="0"/>
      <w:marRight w:val="0"/>
      <w:marTop w:val="0"/>
      <w:marBottom w:val="0"/>
      <w:divBdr>
        <w:top w:val="none" w:sz="0" w:space="0" w:color="auto"/>
        <w:left w:val="none" w:sz="0" w:space="0" w:color="auto"/>
        <w:bottom w:val="none" w:sz="0" w:space="0" w:color="auto"/>
        <w:right w:val="none" w:sz="0" w:space="0" w:color="auto"/>
      </w:divBdr>
      <w:divsChild>
        <w:div w:id="2043431663">
          <w:marLeft w:val="0"/>
          <w:marRight w:val="0"/>
          <w:marTop w:val="0"/>
          <w:marBottom w:val="0"/>
          <w:divBdr>
            <w:top w:val="none" w:sz="0" w:space="0" w:color="auto"/>
            <w:left w:val="none" w:sz="0" w:space="0" w:color="auto"/>
            <w:bottom w:val="none" w:sz="0" w:space="0" w:color="auto"/>
            <w:right w:val="none" w:sz="0" w:space="0" w:color="auto"/>
          </w:divBdr>
        </w:div>
      </w:divsChild>
    </w:div>
    <w:div w:id="1573004285">
      <w:marLeft w:val="0"/>
      <w:marRight w:val="0"/>
      <w:marTop w:val="0"/>
      <w:marBottom w:val="0"/>
      <w:divBdr>
        <w:top w:val="none" w:sz="0" w:space="0" w:color="auto"/>
        <w:left w:val="none" w:sz="0" w:space="0" w:color="auto"/>
        <w:bottom w:val="none" w:sz="0" w:space="0" w:color="auto"/>
        <w:right w:val="none" w:sz="0" w:space="0" w:color="auto"/>
      </w:divBdr>
    </w:div>
    <w:div w:id="1574703012">
      <w:marLeft w:val="0"/>
      <w:marRight w:val="0"/>
      <w:marTop w:val="0"/>
      <w:marBottom w:val="200"/>
      <w:divBdr>
        <w:top w:val="none" w:sz="0" w:space="0" w:color="auto"/>
        <w:left w:val="none" w:sz="0" w:space="0" w:color="auto"/>
        <w:bottom w:val="none" w:sz="0" w:space="0" w:color="auto"/>
        <w:right w:val="none" w:sz="0" w:space="0" w:color="auto"/>
      </w:divBdr>
    </w:div>
    <w:div w:id="1587031913">
      <w:marLeft w:val="0"/>
      <w:marRight w:val="0"/>
      <w:marTop w:val="0"/>
      <w:marBottom w:val="0"/>
      <w:divBdr>
        <w:top w:val="none" w:sz="0" w:space="0" w:color="auto"/>
        <w:left w:val="none" w:sz="0" w:space="0" w:color="auto"/>
        <w:bottom w:val="none" w:sz="0" w:space="0" w:color="auto"/>
        <w:right w:val="none" w:sz="0" w:space="0" w:color="auto"/>
      </w:divBdr>
      <w:divsChild>
        <w:div w:id="804782652">
          <w:marLeft w:val="0"/>
          <w:marRight w:val="0"/>
          <w:marTop w:val="0"/>
          <w:marBottom w:val="0"/>
          <w:divBdr>
            <w:top w:val="none" w:sz="0" w:space="0" w:color="auto"/>
            <w:left w:val="none" w:sz="0" w:space="0" w:color="auto"/>
            <w:bottom w:val="none" w:sz="0" w:space="0" w:color="auto"/>
            <w:right w:val="none" w:sz="0" w:space="0" w:color="auto"/>
          </w:divBdr>
        </w:div>
        <w:div w:id="804393457">
          <w:marLeft w:val="0"/>
          <w:marRight w:val="0"/>
          <w:marTop w:val="180"/>
          <w:marBottom w:val="0"/>
          <w:divBdr>
            <w:top w:val="none" w:sz="0" w:space="0" w:color="auto"/>
            <w:left w:val="none" w:sz="0" w:space="0" w:color="auto"/>
            <w:bottom w:val="none" w:sz="0" w:space="0" w:color="auto"/>
            <w:right w:val="none" w:sz="0" w:space="0" w:color="auto"/>
          </w:divBdr>
        </w:div>
      </w:divsChild>
    </w:div>
    <w:div w:id="1597472441">
      <w:marLeft w:val="0"/>
      <w:marRight w:val="0"/>
      <w:marTop w:val="0"/>
      <w:marBottom w:val="0"/>
      <w:divBdr>
        <w:top w:val="none" w:sz="0" w:space="0" w:color="auto"/>
        <w:left w:val="none" w:sz="0" w:space="0" w:color="auto"/>
        <w:bottom w:val="none" w:sz="0" w:space="0" w:color="auto"/>
        <w:right w:val="none" w:sz="0" w:space="0" w:color="auto"/>
      </w:divBdr>
    </w:div>
    <w:div w:id="1598445350">
      <w:marLeft w:val="0"/>
      <w:marRight w:val="0"/>
      <w:marTop w:val="0"/>
      <w:marBottom w:val="0"/>
      <w:divBdr>
        <w:top w:val="none" w:sz="0" w:space="0" w:color="auto"/>
        <w:left w:val="none" w:sz="0" w:space="0" w:color="auto"/>
        <w:bottom w:val="none" w:sz="0" w:space="0" w:color="auto"/>
        <w:right w:val="none" w:sz="0" w:space="0" w:color="auto"/>
      </w:divBdr>
      <w:divsChild>
        <w:div w:id="700519177">
          <w:marLeft w:val="0"/>
          <w:marRight w:val="0"/>
          <w:marTop w:val="0"/>
          <w:marBottom w:val="0"/>
          <w:divBdr>
            <w:top w:val="none" w:sz="0" w:space="0" w:color="auto"/>
            <w:left w:val="none" w:sz="0" w:space="0" w:color="auto"/>
            <w:bottom w:val="none" w:sz="0" w:space="0" w:color="auto"/>
            <w:right w:val="none" w:sz="0" w:space="0" w:color="auto"/>
          </w:divBdr>
        </w:div>
      </w:divsChild>
    </w:div>
    <w:div w:id="1599484449">
      <w:marLeft w:val="0"/>
      <w:marRight w:val="0"/>
      <w:marTop w:val="0"/>
      <w:marBottom w:val="0"/>
      <w:divBdr>
        <w:top w:val="none" w:sz="0" w:space="0" w:color="auto"/>
        <w:left w:val="none" w:sz="0" w:space="0" w:color="auto"/>
        <w:bottom w:val="none" w:sz="0" w:space="0" w:color="auto"/>
        <w:right w:val="none" w:sz="0" w:space="0" w:color="auto"/>
      </w:divBdr>
      <w:divsChild>
        <w:div w:id="1113280343">
          <w:marLeft w:val="0"/>
          <w:marRight w:val="0"/>
          <w:marTop w:val="0"/>
          <w:marBottom w:val="0"/>
          <w:divBdr>
            <w:top w:val="none" w:sz="0" w:space="0" w:color="auto"/>
            <w:left w:val="none" w:sz="0" w:space="0" w:color="auto"/>
            <w:bottom w:val="none" w:sz="0" w:space="0" w:color="auto"/>
            <w:right w:val="none" w:sz="0" w:space="0" w:color="auto"/>
          </w:divBdr>
        </w:div>
      </w:divsChild>
    </w:div>
    <w:div w:id="1599631180">
      <w:marLeft w:val="0"/>
      <w:marRight w:val="0"/>
      <w:marTop w:val="0"/>
      <w:marBottom w:val="0"/>
      <w:divBdr>
        <w:top w:val="none" w:sz="0" w:space="0" w:color="auto"/>
        <w:left w:val="none" w:sz="0" w:space="0" w:color="auto"/>
        <w:bottom w:val="none" w:sz="0" w:space="0" w:color="auto"/>
        <w:right w:val="none" w:sz="0" w:space="0" w:color="auto"/>
      </w:divBdr>
      <w:divsChild>
        <w:div w:id="266233082">
          <w:marLeft w:val="0"/>
          <w:marRight w:val="0"/>
          <w:marTop w:val="0"/>
          <w:marBottom w:val="0"/>
          <w:divBdr>
            <w:top w:val="none" w:sz="0" w:space="0" w:color="auto"/>
            <w:left w:val="none" w:sz="0" w:space="0" w:color="auto"/>
            <w:bottom w:val="none" w:sz="0" w:space="0" w:color="auto"/>
            <w:right w:val="none" w:sz="0" w:space="0" w:color="auto"/>
          </w:divBdr>
        </w:div>
        <w:div w:id="1718968993">
          <w:marLeft w:val="0"/>
          <w:marRight w:val="0"/>
          <w:marTop w:val="0"/>
          <w:marBottom w:val="0"/>
          <w:divBdr>
            <w:top w:val="none" w:sz="0" w:space="0" w:color="auto"/>
            <w:left w:val="none" w:sz="0" w:space="0" w:color="auto"/>
            <w:bottom w:val="none" w:sz="0" w:space="0" w:color="auto"/>
            <w:right w:val="none" w:sz="0" w:space="0" w:color="auto"/>
          </w:divBdr>
        </w:div>
      </w:divsChild>
    </w:div>
    <w:div w:id="1606424468">
      <w:marLeft w:val="0"/>
      <w:marRight w:val="0"/>
      <w:marTop w:val="0"/>
      <w:marBottom w:val="200"/>
      <w:divBdr>
        <w:top w:val="none" w:sz="0" w:space="0" w:color="auto"/>
        <w:left w:val="none" w:sz="0" w:space="0" w:color="auto"/>
        <w:bottom w:val="none" w:sz="0" w:space="0" w:color="auto"/>
        <w:right w:val="none" w:sz="0" w:space="0" w:color="auto"/>
      </w:divBdr>
    </w:div>
    <w:div w:id="1607035591">
      <w:marLeft w:val="0"/>
      <w:marRight w:val="0"/>
      <w:marTop w:val="0"/>
      <w:marBottom w:val="0"/>
      <w:divBdr>
        <w:top w:val="none" w:sz="0" w:space="0" w:color="auto"/>
        <w:left w:val="none" w:sz="0" w:space="0" w:color="auto"/>
        <w:bottom w:val="none" w:sz="0" w:space="0" w:color="auto"/>
        <w:right w:val="none" w:sz="0" w:space="0" w:color="auto"/>
      </w:divBdr>
    </w:div>
    <w:div w:id="1609122311">
      <w:marLeft w:val="0"/>
      <w:marRight w:val="0"/>
      <w:marTop w:val="0"/>
      <w:marBottom w:val="0"/>
      <w:divBdr>
        <w:top w:val="none" w:sz="0" w:space="0" w:color="auto"/>
        <w:left w:val="none" w:sz="0" w:space="0" w:color="auto"/>
        <w:bottom w:val="none" w:sz="0" w:space="0" w:color="auto"/>
        <w:right w:val="none" w:sz="0" w:space="0" w:color="auto"/>
      </w:divBdr>
      <w:divsChild>
        <w:div w:id="2007905062">
          <w:marLeft w:val="0"/>
          <w:marRight w:val="0"/>
          <w:marTop w:val="0"/>
          <w:marBottom w:val="0"/>
          <w:divBdr>
            <w:top w:val="none" w:sz="0" w:space="0" w:color="auto"/>
            <w:left w:val="none" w:sz="0" w:space="0" w:color="auto"/>
            <w:bottom w:val="none" w:sz="0" w:space="0" w:color="auto"/>
            <w:right w:val="none" w:sz="0" w:space="0" w:color="auto"/>
          </w:divBdr>
        </w:div>
      </w:divsChild>
    </w:div>
    <w:div w:id="1610311597">
      <w:marLeft w:val="0"/>
      <w:marRight w:val="0"/>
      <w:marTop w:val="0"/>
      <w:marBottom w:val="200"/>
      <w:divBdr>
        <w:top w:val="none" w:sz="0" w:space="0" w:color="auto"/>
        <w:left w:val="none" w:sz="0" w:space="0" w:color="auto"/>
        <w:bottom w:val="none" w:sz="0" w:space="0" w:color="auto"/>
        <w:right w:val="none" w:sz="0" w:space="0" w:color="auto"/>
      </w:divBdr>
    </w:div>
    <w:div w:id="1611621947">
      <w:marLeft w:val="0"/>
      <w:marRight w:val="0"/>
      <w:marTop w:val="0"/>
      <w:marBottom w:val="200"/>
      <w:divBdr>
        <w:top w:val="none" w:sz="0" w:space="0" w:color="auto"/>
        <w:left w:val="none" w:sz="0" w:space="0" w:color="auto"/>
        <w:bottom w:val="none" w:sz="0" w:space="0" w:color="auto"/>
        <w:right w:val="none" w:sz="0" w:space="0" w:color="auto"/>
      </w:divBdr>
    </w:div>
    <w:div w:id="1613440264">
      <w:marLeft w:val="0"/>
      <w:marRight w:val="0"/>
      <w:marTop w:val="100"/>
      <w:marBottom w:val="0"/>
      <w:divBdr>
        <w:top w:val="none" w:sz="0" w:space="0" w:color="auto"/>
        <w:left w:val="none" w:sz="0" w:space="0" w:color="auto"/>
        <w:bottom w:val="none" w:sz="0" w:space="0" w:color="auto"/>
        <w:right w:val="none" w:sz="0" w:space="0" w:color="auto"/>
      </w:divBdr>
      <w:divsChild>
        <w:div w:id="900025131">
          <w:marLeft w:val="0"/>
          <w:marRight w:val="0"/>
          <w:marTop w:val="0"/>
          <w:marBottom w:val="0"/>
          <w:divBdr>
            <w:top w:val="none" w:sz="0" w:space="0" w:color="auto"/>
            <w:left w:val="none" w:sz="0" w:space="0" w:color="auto"/>
            <w:bottom w:val="none" w:sz="0" w:space="0" w:color="auto"/>
            <w:right w:val="none" w:sz="0" w:space="0" w:color="auto"/>
          </w:divBdr>
        </w:div>
      </w:divsChild>
    </w:div>
    <w:div w:id="1633630106">
      <w:marLeft w:val="0"/>
      <w:marRight w:val="0"/>
      <w:marTop w:val="0"/>
      <w:marBottom w:val="200"/>
      <w:divBdr>
        <w:top w:val="none" w:sz="0" w:space="0" w:color="auto"/>
        <w:left w:val="none" w:sz="0" w:space="0" w:color="auto"/>
        <w:bottom w:val="none" w:sz="0" w:space="0" w:color="auto"/>
        <w:right w:val="none" w:sz="0" w:space="0" w:color="auto"/>
      </w:divBdr>
    </w:div>
    <w:div w:id="1642269033">
      <w:marLeft w:val="0"/>
      <w:marRight w:val="0"/>
      <w:marTop w:val="0"/>
      <w:marBottom w:val="0"/>
      <w:divBdr>
        <w:top w:val="none" w:sz="0" w:space="0" w:color="auto"/>
        <w:left w:val="none" w:sz="0" w:space="0" w:color="auto"/>
        <w:bottom w:val="none" w:sz="0" w:space="0" w:color="auto"/>
        <w:right w:val="none" w:sz="0" w:space="0" w:color="auto"/>
      </w:divBdr>
      <w:divsChild>
        <w:div w:id="80413895">
          <w:marLeft w:val="0"/>
          <w:marRight w:val="0"/>
          <w:marTop w:val="0"/>
          <w:marBottom w:val="0"/>
          <w:divBdr>
            <w:top w:val="none" w:sz="0" w:space="0" w:color="auto"/>
            <w:left w:val="none" w:sz="0" w:space="0" w:color="auto"/>
            <w:bottom w:val="none" w:sz="0" w:space="0" w:color="auto"/>
            <w:right w:val="none" w:sz="0" w:space="0" w:color="auto"/>
          </w:divBdr>
        </w:div>
      </w:divsChild>
    </w:div>
    <w:div w:id="1643540955">
      <w:marLeft w:val="0"/>
      <w:marRight w:val="0"/>
      <w:marTop w:val="0"/>
      <w:marBottom w:val="0"/>
      <w:divBdr>
        <w:top w:val="none" w:sz="0" w:space="0" w:color="auto"/>
        <w:left w:val="none" w:sz="0" w:space="0" w:color="auto"/>
        <w:bottom w:val="none" w:sz="0" w:space="0" w:color="auto"/>
        <w:right w:val="none" w:sz="0" w:space="0" w:color="auto"/>
      </w:divBdr>
      <w:divsChild>
        <w:div w:id="467431077">
          <w:marLeft w:val="0"/>
          <w:marRight w:val="0"/>
          <w:marTop w:val="0"/>
          <w:marBottom w:val="0"/>
          <w:divBdr>
            <w:top w:val="none" w:sz="0" w:space="0" w:color="auto"/>
            <w:left w:val="none" w:sz="0" w:space="0" w:color="auto"/>
            <w:bottom w:val="none" w:sz="0" w:space="0" w:color="auto"/>
            <w:right w:val="none" w:sz="0" w:space="0" w:color="auto"/>
          </w:divBdr>
        </w:div>
      </w:divsChild>
    </w:div>
    <w:div w:id="1644775568">
      <w:marLeft w:val="0"/>
      <w:marRight w:val="0"/>
      <w:marTop w:val="0"/>
      <w:marBottom w:val="60"/>
      <w:divBdr>
        <w:top w:val="none" w:sz="0" w:space="0" w:color="auto"/>
        <w:left w:val="none" w:sz="0" w:space="0" w:color="auto"/>
        <w:bottom w:val="none" w:sz="0" w:space="0" w:color="auto"/>
        <w:right w:val="none" w:sz="0" w:space="0" w:color="auto"/>
      </w:divBdr>
    </w:div>
    <w:div w:id="1647515404">
      <w:marLeft w:val="0"/>
      <w:marRight w:val="0"/>
      <w:marTop w:val="0"/>
      <w:marBottom w:val="0"/>
      <w:divBdr>
        <w:top w:val="none" w:sz="0" w:space="0" w:color="auto"/>
        <w:left w:val="none" w:sz="0" w:space="0" w:color="auto"/>
        <w:bottom w:val="none" w:sz="0" w:space="0" w:color="auto"/>
        <w:right w:val="none" w:sz="0" w:space="0" w:color="auto"/>
      </w:divBdr>
      <w:divsChild>
        <w:div w:id="303123777">
          <w:marLeft w:val="0"/>
          <w:marRight w:val="0"/>
          <w:marTop w:val="0"/>
          <w:marBottom w:val="0"/>
          <w:divBdr>
            <w:top w:val="none" w:sz="0" w:space="0" w:color="auto"/>
            <w:left w:val="none" w:sz="0" w:space="0" w:color="auto"/>
            <w:bottom w:val="none" w:sz="0" w:space="0" w:color="auto"/>
            <w:right w:val="none" w:sz="0" w:space="0" w:color="auto"/>
          </w:divBdr>
        </w:div>
      </w:divsChild>
    </w:div>
    <w:div w:id="1658342662">
      <w:marLeft w:val="0"/>
      <w:marRight w:val="0"/>
      <w:marTop w:val="0"/>
      <w:marBottom w:val="200"/>
      <w:divBdr>
        <w:top w:val="none" w:sz="0" w:space="0" w:color="auto"/>
        <w:left w:val="none" w:sz="0" w:space="0" w:color="auto"/>
        <w:bottom w:val="none" w:sz="0" w:space="0" w:color="auto"/>
        <w:right w:val="none" w:sz="0" w:space="0" w:color="auto"/>
      </w:divBdr>
    </w:div>
    <w:div w:id="1673097830">
      <w:marLeft w:val="0"/>
      <w:marRight w:val="0"/>
      <w:marTop w:val="0"/>
      <w:marBottom w:val="0"/>
      <w:divBdr>
        <w:top w:val="none" w:sz="0" w:space="0" w:color="auto"/>
        <w:left w:val="none" w:sz="0" w:space="0" w:color="auto"/>
        <w:bottom w:val="none" w:sz="0" w:space="0" w:color="auto"/>
        <w:right w:val="none" w:sz="0" w:space="0" w:color="auto"/>
      </w:divBdr>
      <w:divsChild>
        <w:div w:id="426586251">
          <w:marLeft w:val="0"/>
          <w:marRight w:val="0"/>
          <w:marTop w:val="0"/>
          <w:marBottom w:val="0"/>
          <w:divBdr>
            <w:top w:val="none" w:sz="0" w:space="0" w:color="auto"/>
            <w:left w:val="none" w:sz="0" w:space="0" w:color="auto"/>
            <w:bottom w:val="none" w:sz="0" w:space="0" w:color="auto"/>
            <w:right w:val="none" w:sz="0" w:space="0" w:color="auto"/>
          </w:divBdr>
        </w:div>
      </w:divsChild>
    </w:div>
    <w:div w:id="1676767718">
      <w:marLeft w:val="0"/>
      <w:marRight w:val="0"/>
      <w:marTop w:val="0"/>
      <w:marBottom w:val="200"/>
      <w:divBdr>
        <w:top w:val="none" w:sz="0" w:space="0" w:color="auto"/>
        <w:left w:val="none" w:sz="0" w:space="0" w:color="auto"/>
        <w:bottom w:val="none" w:sz="0" w:space="0" w:color="auto"/>
        <w:right w:val="none" w:sz="0" w:space="0" w:color="auto"/>
      </w:divBdr>
    </w:div>
    <w:div w:id="1687830916">
      <w:marLeft w:val="0"/>
      <w:marRight w:val="0"/>
      <w:marTop w:val="0"/>
      <w:marBottom w:val="200"/>
      <w:divBdr>
        <w:top w:val="none" w:sz="0" w:space="0" w:color="auto"/>
        <w:left w:val="none" w:sz="0" w:space="0" w:color="auto"/>
        <w:bottom w:val="none" w:sz="0" w:space="0" w:color="auto"/>
        <w:right w:val="none" w:sz="0" w:space="0" w:color="auto"/>
      </w:divBdr>
    </w:div>
    <w:div w:id="1691564962">
      <w:marLeft w:val="0"/>
      <w:marRight w:val="0"/>
      <w:marTop w:val="0"/>
      <w:marBottom w:val="240"/>
      <w:divBdr>
        <w:top w:val="none" w:sz="0" w:space="0" w:color="auto"/>
        <w:left w:val="none" w:sz="0" w:space="0" w:color="auto"/>
        <w:bottom w:val="none" w:sz="0" w:space="0" w:color="auto"/>
        <w:right w:val="none" w:sz="0" w:space="0" w:color="auto"/>
      </w:divBdr>
    </w:div>
    <w:div w:id="1708867766">
      <w:marLeft w:val="0"/>
      <w:marRight w:val="0"/>
      <w:marTop w:val="0"/>
      <w:marBottom w:val="0"/>
      <w:divBdr>
        <w:top w:val="none" w:sz="0" w:space="0" w:color="auto"/>
        <w:left w:val="none" w:sz="0" w:space="0" w:color="auto"/>
        <w:bottom w:val="none" w:sz="0" w:space="0" w:color="auto"/>
        <w:right w:val="none" w:sz="0" w:space="0" w:color="auto"/>
      </w:divBdr>
    </w:div>
    <w:div w:id="1710839335">
      <w:marLeft w:val="0"/>
      <w:marRight w:val="0"/>
      <w:marTop w:val="0"/>
      <w:marBottom w:val="200"/>
      <w:divBdr>
        <w:top w:val="none" w:sz="0" w:space="0" w:color="auto"/>
        <w:left w:val="none" w:sz="0" w:space="0" w:color="auto"/>
        <w:bottom w:val="none" w:sz="0" w:space="0" w:color="auto"/>
        <w:right w:val="none" w:sz="0" w:space="0" w:color="auto"/>
      </w:divBdr>
    </w:div>
    <w:div w:id="1722947555">
      <w:marLeft w:val="0"/>
      <w:marRight w:val="0"/>
      <w:marTop w:val="0"/>
      <w:marBottom w:val="200"/>
      <w:divBdr>
        <w:top w:val="none" w:sz="0" w:space="0" w:color="auto"/>
        <w:left w:val="none" w:sz="0" w:space="0" w:color="auto"/>
        <w:bottom w:val="none" w:sz="0" w:space="0" w:color="auto"/>
        <w:right w:val="none" w:sz="0" w:space="0" w:color="auto"/>
      </w:divBdr>
    </w:div>
    <w:div w:id="1730230737">
      <w:marLeft w:val="0"/>
      <w:marRight w:val="0"/>
      <w:marTop w:val="0"/>
      <w:marBottom w:val="0"/>
      <w:divBdr>
        <w:top w:val="none" w:sz="0" w:space="0" w:color="auto"/>
        <w:left w:val="none" w:sz="0" w:space="0" w:color="auto"/>
        <w:bottom w:val="none" w:sz="0" w:space="0" w:color="auto"/>
        <w:right w:val="none" w:sz="0" w:space="0" w:color="auto"/>
      </w:divBdr>
    </w:div>
    <w:div w:id="1740857274">
      <w:marLeft w:val="0"/>
      <w:marRight w:val="0"/>
      <w:marTop w:val="100"/>
      <w:marBottom w:val="0"/>
      <w:divBdr>
        <w:top w:val="none" w:sz="0" w:space="0" w:color="auto"/>
        <w:left w:val="none" w:sz="0" w:space="0" w:color="auto"/>
        <w:bottom w:val="none" w:sz="0" w:space="0" w:color="auto"/>
        <w:right w:val="none" w:sz="0" w:space="0" w:color="auto"/>
      </w:divBdr>
    </w:div>
    <w:div w:id="1745254883">
      <w:marLeft w:val="0"/>
      <w:marRight w:val="0"/>
      <w:marTop w:val="0"/>
      <w:marBottom w:val="200"/>
      <w:divBdr>
        <w:top w:val="none" w:sz="0" w:space="0" w:color="auto"/>
        <w:left w:val="none" w:sz="0" w:space="0" w:color="auto"/>
        <w:bottom w:val="none" w:sz="0" w:space="0" w:color="auto"/>
        <w:right w:val="none" w:sz="0" w:space="0" w:color="auto"/>
      </w:divBdr>
    </w:div>
    <w:div w:id="1747418905">
      <w:marLeft w:val="0"/>
      <w:marRight w:val="0"/>
      <w:marTop w:val="0"/>
      <w:marBottom w:val="200"/>
      <w:divBdr>
        <w:top w:val="none" w:sz="0" w:space="0" w:color="auto"/>
        <w:left w:val="none" w:sz="0" w:space="0" w:color="auto"/>
        <w:bottom w:val="none" w:sz="0" w:space="0" w:color="auto"/>
        <w:right w:val="none" w:sz="0" w:space="0" w:color="auto"/>
      </w:divBdr>
    </w:div>
    <w:div w:id="1765034774">
      <w:marLeft w:val="0"/>
      <w:marRight w:val="0"/>
      <w:marTop w:val="0"/>
      <w:marBottom w:val="0"/>
      <w:divBdr>
        <w:top w:val="none" w:sz="0" w:space="0" w:color="auto"/>
        <w:left w:val="none" w:sz="0" w:space="0" w:color="auto"/>
        <w:bottom w:val="none" w:sz="0" w:space="0" w:color="auto"/>
        <w:right w:val="none" w:sz="0" w:space="0" w:color="auto"/>
      </w:divBdr>
      <w:divsChild>
        <w:div w:id="1779136196">
          <w:marLeft w:val="0"/>
          <w:marRight w:val="0"/>
          <w:marTop w:val="0"/>
          <w:marBottom w:val="0"/>
          <w:divBdr>
            <w:top w:val="none" w:sz="0" w:space="0" w:color="auto"/>
            <w:left w:val="none" w:sz="0" w:space="0" w:color="auto"/>
            <w:bottom w:val="none" w:sz="0" w:space="0" w:color="auto"/>
            <w:right w:val="none" w:sz="0" w:space="0" w:color="auto"/>
          </w:divBdr>
        </w:div>
      </w:divsChild>
    </w:div>
    <w:div w:id="1768037367">
      <w:marLeft w:val="0"/>
      <w:marRight w:val="0"/>
      <w:marTop w:val="0"/>
      <w:marBottom w:val="0"/>
      <w:divBdr>
        <w:top w:val="none" w:sz="0" w:space="0" w:color="auto"/>
        <w:left w:val="none" w:sz="0" w:space="0" w:color="auto"/>
        <w:bottom w:val="none" w:sz="0" w:space="0" w:color="auto"/>
        <w:right w:val="none" w:sz="0" w:space="0" w:color="auto"/>
      </w:divBdr>
      <w:divsChild>
        <w:div w:id="1168323667">
          <w:marLeft w:val="0"/>
          <w:marRight w:val="0"/>
          <w:marTop w:val="0"/>
          <w:marBottom w:val="0"/>
          <w:divBdr>
            <w:top w:val="none" w:sz="0" w:space="0" w:color="auto"/>
            <w:left w:val="none" w:sz="0" w:space="0" w:color="auto"/>
            <w:bottom w:val="none" w:sz="0" w:space="0" w:color="auto"/>
            <w:right w:val="none" w:sz="0" w:space="0" w:color="auto"/>
          </w:divBdr>
        </w:div>
      </w:divsChild>
    </w:div>
    <w:div w:id="1774469842">
      <w:marLeft w:val="0"/>
      <w:marRight w:val="0"/>
      <w:marTop w:val="0"/>
      <w:marBottom w:val="200"/>
      <w:divBdr>
        <w:top w:val="none" w:sz="0" w:space="0" w:color="auto"/>
        <w:left w:val="none" w:sz="0" w:space="0" w:color="auto"/>
        <w:bottom w:val="none" w:sz="0" w:space="0" w:color="auto"/>
        <w:right w:val="none" w:sz="0" w:space="0" w:color="auto"/>
      </w:divBdr>
    </w:div>
    <w:div w:id="1774740117">
      <w:marLeft w:val="0"/>
      <w:marRight w:val="0"/>
      <w:marTop w:val="0"/>
      <w:marBottom w:val="0"/>
      <w:divBdr>
        <w:top w:val="none" w:sz="0" w:space="0" w:color="auto"/>
        <w:left w:val="none" w:sz="0" w:space="0" w:color="auto"/>
        <w:bottom w:val="none" w:sz="0" w:space="0" w:color="auto"/>
        <w:right w:val="none" w:sz="0" w:space="0" w:color="auto"/>
      </w:divBdr>
      <w:divsChild>
        <w:div w:id="1234507887">
          <w:marLeft w:val="0"/>
          <w:marRight w:val="0"/>
          <w:marTop w:val="0"/>
          <w:marBottom w:val="0"/>
          <w:divBdr>
            <w:top w:val="none" w:sz="0" w:space="0" w:color="auto"/>
            <w:left w:val="none" w:sz="0" w:space="0" w:color="auto"/>
            <w:bottom w:val="none" w:sz="0" w:space="0" w:color="auto"/>
            <w:right w:val="none" w:sz="0" w:space="0" w:color="auto"/>
          </w:divBdr>
        </w:div>
      </w:divsChild>
    </w:div>
    <w:div w:id="1785269213">
      <w:marLeft w:val="0"/>
      <w:marRight w:val="0"/>
      <w:marTop w:val="0"/>
      <w:marBottom w:val="0"/>
      <w:divBdr>
        <w:top w:val="none" w:sz="0" w:space="0" w:color="auto"/>
        <w:left w:val="none" w:sz="0" w:space="0" w:color="auto"/>
        <w:bottom w:val="none" w:sz="0" w:space="0" w:color="auto"/>
        <w:right w:val="none" w:sz="0" w:space="0" w:color="auto"/>
      </w:divBdr>
      <w:divsChild>
        <w:div w:id="1754274474">
          <w:marLeft w:val="0"/>
          <w:marRight w:val="0"/>
          <w:marTop w:val="0"/>
          <w:marBottom w:val="0"/>
          <w:divBdr>
            <w:top w:val="none" w:sz="0" w:space="0" w:color="auto"/>
            <w:left w:val="none" w:sz="0" w:space="0" w:color="auto"/>
            <w:bottom w:val="none" w:sz="0" w:space="0" w:color="auto"/>
            <w:right w:val="none" w:sz="0" w:space="0" w:color="auto"/>
          </w:divBdr>
        </w:div>
      </w:divsChild>
    </w:div>
    <w:div w:id="1789815259">
      <w:marLeft w:val="0"/>
      <w:marRight w:val="0"/>
      <w:marTop w:val="0"/>
      <w:marBottom w:val="0"/>
      <w:divBdr>
        <w:top w:val="none" w:sz="0" w:space="0" w:color="auto"/>
        <w:left w:val="none" w:sz="0" w:space="0" w:color="auto"/>
        <w:bottom w:val="none" w:sz="0" w:space="0" w:color="auto"/>
        <w:right w:val="none" w:sz="0" w:space="0" w:color="auto"/>
      </w:divBdr>
    </w:div>
    <w:div w:id="1793941932">
      <w:marLeft w:val="0"/>
      <w:marRight w:val="0"/>
      <w:marTop w:val="0"/>
      <w:marBottom w:val="0"/>
      <w:divBdr>
        <w:top w:val="none" w:sz="0" w:space="0" w:color="auto"/>
        <w:left w:val="none" w:sz="0" w:space="0" w:color="auto"/>
        <w:bottom w:val="none" w:sz="0" w:space="0" w:color="auto"/>
        <w:right w:val="none" w:sz="0" w:space="0" w:color="auto"/>
      </w:divBdr>
      <w:divsChild>
        <w:div w:id="1230798716">
          <w:marLeft w:val="0"/>
          <w:marRight w:val="0"/>
          <w:marTop w:val="0"/>
          <w:marBottom w:val="0"/>
          <w:divBdr>
            <w:top w:val="none" w:sz="0" w:space="0" w:color="auto"/>
            <w:left w:val="none" w:sz="0" w:space="0" w:color="auto"/>
            <w:bottom w:val="none" w:sz="0" w:space="0" w:color="auto"/>
            <w:right w:val="none" w:sz="0" w:space="0" w:color="auto"/>
          </w:divBdr>
        </w:div>
      </w:divsChild>
    </w:div>
    <w:div w:id="1806463856">
      <w:marLeft w:val="0"/>
      <w:marRight w:val="0"/>
      <w:marTop w:val="0"/>
      <w:marBottom w:val="0"/>
      <w:divBdr>
        <w:top w:val="none" w:sz="0" w:space="0" w:color="auto"/>
        <w:left w:val="none" w:sz="0" w:space="0" w:color="auto"/>
        <w:bottom w:val="none" w:sz="0" w:space="0" w:color="auto"/>
        <w:right w:val="none" w:sz="0" w:space="0" w:color="auto"/>
      </w:divBdr>
      <w:divsChild>
        <w:div w:id="736634722">
          <w:marLeft w:val="0"/>
          <w:marRight w:val="0"/>
          <w:marTop w:val="0"/>
          <w:marBottom w:val="0"/>
          <w:divBdr>
            <w:top w:val="none" w:sz="0" w:space="0" w:color="auto"/>
            <w:left w:val="none" w:sz="0" w:space="0" w:color="auto"/>
            <w:bottom w:val="none" w:sz="0" w:space="0" w:color="auto"/>
            <w:right w:val="none" w:sz="0" w:space="0" w:color="auto"/>
          </w:divBdr>
        </w:div>
      </w:divsChild>
    </w:div>
    <w:div w:id="1808088122">
      <w:marLeft w:val="0"/>
      <w:marRight w:val="0"/>
      <w:marTop w:val="180"/>
      <w:marBottom w:val="0"/>
      <w:divBdr>
        <w:top w:val="none" w:sz="0" w:space="0" w:color="auto"/>
        <w:left w:val="none" w:sz="0" w:space="0" w:color="auto"/>
        <w:bottom w:val="none" w:sz="0" w:space="0" w:color="auto"/>
        <w:right w:val="none" w:sz="0" w:space="0" w:color="auto"/>
      </w:divBdr>
    </w:div>
    <w:div w:id="1811942991">
      <w:marLeft w:val="0"/>
      <w:marRight w:val="0"/>
      <w:marTop w:val="0"/>
      <w:marBottom w:val="0"/>
      <w:divBdr>
        <w:top w:val="none" w:sz="0" w:space="0" w:color="auto"/>
        <w:left w:val="none" w:sz="0" w:space="0" w:color="auto"/>
        <w:bottom w:val="none" w:sz="0" w:space="0" w:color="auto"/>
        <w:right w:val="none" w:sz="0" w:space="0" w:color="auto"/>
      </w:divBdr>
      <w:divsChild>
        <w:div w:id="1169906293">
          <w:marLeft w:val="0"/>
          <w:marRight w:val="0"/>
          <w:marTop w:val="0"/>
          <w:marBottom w:val="0"/>
          <w:divBdr>
            <w:top w:val="none" w:sz="0" w:space="0" w:color="auto"/>
            <w:left w:val="none" w:sz="0" w:space="0" w:color="auto"/>
            <w:bottom w:val="none" w:sz="0" w:space="0" w:color="auto"/>
            <w:right w:val="none" w:sz="0" w:space="0" w:color="auto"/>
          </w:divBdr>
        </w:div>
      </w:divsChild>
    </w:div>
    <w:div w:id="1816532389">
      <w:marLeft w:val="0"/>
      <w:marRight w:val="0"/>
      <w:marTop w:val="0"/>
      <w:marBottom w:val="200"/>
      <w:divBdr>
        <w:top w:val="none" w:sz="0" w:space="0" w:color="auto"/>
        <w:left w:val="none" w:sz="0" w:space="0" w:color="auto"/>
        <w:bottom w:val="none" w:sz="0" w:space="0" w:color="auto"/>
        <w:right w:val="none" w:sz="0" w:space="0" w:color="auto"/>
      </w:divBdr>
    </w:div>
    <w:div w:id="1819345456">
      <w:marLeft w:val="0"/>
      <w:marRight w:val="0"/>
      <w:marTop w:val="200"/>
      <w:marBottom w:val="0"/>
      <w:divBdr>
        <w:top w:val="none" w:sz="0" w:space="0" w:color="auto"/>
        <w:left w:val="none" w:sz="0" w:space="0" w:color="auto"/>
        <w:bottom w:val="none" w:sz="0" w:space="0" w:color="auto"/>
        <w:right w:val="none" w:sz="0" w:space="0" w:color="auto"/>
      </w:divBdr>
    </w:div>
    <w:div w:id="1820154026">
      <w:marLeft w:val="0"/>
      <w:marRight w:val="0"/>
      <w:marTop w:val="0"/>
      <w:marBottom w:val="0"/>
      <w:divBdr>
        <w:top w:val="none" w:sz="0" w:space="0" w:color="auto"/>
        <w:left w:val="none" w:sz="0" w:space="0" w:color="auto"/>
        <w:bottom w:val="none" w:sz="0" w:space="0" w:color="auto"/>
        <w:right w:val="none" w:sz="0" w:space="0" w:color="auto"/>
      </w:divBdr>
      <w:divsChild>
        <w:div w:id="1698310280">
          <w:marLeft w:val="0"/>
          <w:marRight w:val="0"/>
          <w:marTop w:val="0"/>
          <w:marBottom w:val="0"/>
          <w:divBdr>
            <w:top w:val="none" w:sz="0" w:space="0" w:color="auto"/>
            <w:left w:val="none" w:sz="0" w:space="0" w:color="auto"/>
            <w:bottom w:val="none" w:sz="0" w:space="0" w:color="auto"/>
            <w:right w:val="none" w:sz="0" w:space="0" w:color="auto"/>
          </w:divBdr>
        </w:div>
      </w:divsChild>
    </w:div>
    <w:div w:id="1834712432">
      <w:marLeft w:val="0"/>
      <w:marRight w:val="0"/>
      <w:marTop w:val="0"/>
      <w:marBottom w:val="200"/>
      <w:divBdr>
        <w:top w:val="none" w:sz="0" w:space="0" w:color="auto"/>
        <w:left w:val="none" w:sz="0" w:space="0" w:color="auto"/>
        <w:bottom w:val="none" w:sz="0" w:space="0" w:color="auto"/>
        <w:right w:val="none" w:sz="0" w:space="0" w:color="auto"/>
      </w:divBdr>
    </w:div>
    <w:div w:id="1837065162">
      <w:marLeft w:val="0"/>
      <w:marRight w:val="0"/>
      <w:marTop w:val="0"/>
      <w:marBottom w:val="200"/>
      <w:divBdr>
        <w:top w:val="none" w:sz="0" w:space="0" w:color="auto"/>
        <w:left w:val="none" w:sz="0" w:space="0" w:color="auto"/>
        <w:bottom w:val="none" w:sz="0" w:space="0" w:color="auto"/>
        <w:right w:val="none" w:sz="0" w:space="0" w:color="auto"/>
      </w:divBdr>
    </w:div>
    <w:div w:id="1844125029">
      <w:marLeft w:val="0"/>
      <w:marRight w:val="0"/>
      <w:marTop w:val="0"/>
      <w:marBottom w:val="200"/>
      <w:divBdr>
        <w:top w:val="none" w:sz="0" w:space="0" w:color="auto"/>
        <w:left w:val="none" w:sz="0" w:space="0" w:color="auto"/>
        <w:bottom w:val="none" w:sz="0" w:space="0" w:color="auto"/>
        <w:right w:val="none" w:sz="0" w:space="0" w:color="auto"/>
      </w:divBdr>
    </w:div>
    <w:div w:id="1844588886">
      <w:marLeft w:val="0"/>
      <w:marRight w:val="0"/>
      <w:marTop w:val="0"/>
      <w:marBottom w:val="0"/>
      <w:divBdr>
        <w:top w:val="none" w:sz="0" w:space="0" w:color="auto"/>
        <w:left w:val="none" w:sz="0" w:space="0" w:color="auto"/>
        <w:bottom w:val="none" w:sz="0" w:space="0" w:color="auto"/>
        <w:right w:val="none" w:sz="0" w:space="0" w:color="auto"/>
      </w:divBdr>
      <w:divsChild>
        <w:div w:id="1745955374">
          <w:marLeft w:val="0"/>
          <w:marRight w:val="0"/>
          <w:marTop w:val="0"/>
          <w:marBottom w:val="0"/>
          <w:divBdr>
            <w:top w:val="none" w:sz="0" w:space="0" w:color="auto"/>
            <w:left w:val="none" w:sz="0" w:space="0" w:color="auto"/>
            <w:bottom w:val="none" w:sz="0" w:space="0" w:color="auto"/>
            <w:right w:val="none" w:sz="0" w:space="0" w:color="auto"/>
          </w:divBdr>
        </w:div>
        <w:div w:id="1313682108">
          <w:marLeft w:val="0"/>
          <w:marRight w:val="0"/>
          <w:marTop w:val="0"/>
          <w:marBottom w:val="0"/>
          <w:divBdr>
            <w:top w:val="none" w:sz="0" w:space="0" w:color="auto"/>
            <w:left w:val="none" w:sz="0" w:space="0" w:color="auto"/>
            <w:bottom w:val="none" w:sz="0" w:space="0" w:color="auto"/>
            <w:right w:val="none" w:sz="0" w:space="0" w:color="auto"/>
          </w:divBdr>
        </w:div>
      </w:divsChild>
    </w:div>
    <w:div w:id="1845778727">
      <w:marLeft w:val="0"/>
      <w:marRight w:val="0"/>
      <w:marTop w:val="0"/>
      <w:marBottom w:val="200"/>
      <w:divBdr>
        <w:top w:val="none" w:sz="0" w:space="0" w:color="auto"/>
        <w:left w:val="none" w:sz="0" w:space="0" w:color="auto"/>
        <w:bottom w:val="none" w:sz="0" w:space="0" w:color="auto"/>
        <w:right w:val="none" w:sz="0" w:space="0" w:color="auto"/>
      </w:divBdr>
    </w:div>
    <w:div w:id="1853227064">
      <w:marLeft w:val="0"/>
      <w:marRight w:val="0"/>
      <w:marTop w:val="0"/>
      <w:marBottom w:val="0"/>
      <w:divBdr>
        <w:top w:val="none" w:sz="0" w:space="0" w:color="auto"/>
        <w:left w:val="none" w:sz="0" w:space="0" w:color="auto"/>
        <w:bottom w:val="none" w:sz="0" w:space="0" w:color="auto"/>
        <w:right w:val="none" w:sz="0" w:space="0" w:color="auto"/>
      </w:divBdr>
    </w:div>
    <w:div w:id="1858693598">
      <w:marLeft w:val="0"/>
      <w:marRight w:val="0"/>
      <w:marTop w:val="0"/>
      <w:marBottom w:val="0"/>
      <w:divBdr>
        <w:top w:val="none" w:sz="0" w:space="0" w:color="auto"/>
        <w:left w:val="none" w:sz="0" w:space="0" w:color="auto"/>
        <w:bottom w:val="none" w:sz="0" w:space="0" w:color="auto"/>
        <w:right w:val="none" w:sz="0" w:space="0" w:color="auto"/>
      </w:divBdr>
      <w:divsChild>
        <w:div w:id="1760710224">
          <w:marLeft w:val="0"/>
          <w:marRight w:val="0"/>
          <w:marTop w:val="0"/>
          <w:marBottom w:val="0"/>
          <w:divBdr>
            <w:top w:val="none" w:sz="0" w:space="0" w:color="auto"/>
            <w:left w:val="none" w:sz="0" w:space="0" w:color="auto"/>
            <w:bottom w:val="none" w:sz="0" w:space="0" w:color="auto"/>
            <w:right w:val="none" w:sz="0" w:space="0" w:color="auto"/>
          </w:divBdr>
        </w:div>
      </w:divsChild>
    </w:div>
    <w:div w:id="1860392797">
      <w:marLeft w:val="0"/>
      <w:marRight w:val="0"/>
      <w:marTop w:val="0"/>
      <w:marBottom w:val="0"/>
      <w:divBdr>
        <w:top w:val="none" w:sz="0" w:space="0" w:color="auto"/>
        <w:left w:val="none" w:sz="0" w:space="0" w:color="auto"/>
        <w:bottom w:val="none" w:sz="0" w:space="0" w:color="auto"/>
        <w:right w:val="none" w:sz="0" w:space="0" w:color="auto"/>
      </w:divBdr>
    </w:div>
    <w:div w:id="1866092219">
      <w:marLeft w:val="0"/>
      <w:marRight w:val="0"/>
      <w:marTop w:val="100"/>
      <w:marBottom w:val="0"/>
      <w:divBdr>
        <w:top w:val="none" w:sz="0" w:space="0" w:color="auto"/>
        <w:left w:val="none" w:sz="0" w:space="0" w:color="auto"/>
        <w:bottom w:val="none" w:sz="0" w:space="0" w:color="auto"/>
        <w:right w:val="none" w:sz="0" w:space="0" w:color="auto"/>
      </w:divBdr>
      <w:divsChild>
        <w:div w:id="1012730681">
          <w:marLeft w:val="0"/>
          <w:marRight w:val="0"/>
          <w:marTop w:val="0"/>
          <w:marBottom w:val="0"/>
          <w:divBdr>
            <w:top w:val="none" w:sz="0" w:space="0" w:color="auto"/>
            <w:left w:val="none" w:sz="0" w:space="0" w:color="auto"/>
            <w:bottom w:val="none" w:sz="0" w:space="0" w:color="auto"/>
            <w:right w:val="none" w:sz="0" w:space="0" w:color="auto"/>
          </w:divBdr>
        </w:div>
        <w:div w:id="248081900">
          <w:marLeft w:val="0"/>
          <w:marRight w:val="0"/>
          <w:marTop w:val="0"/>
          <w:marBottom w:val="0"/>
          <w:divBdr>
            <w:top w:val="none" w:sz="0" w:space="0" w:color="auto"/>
            <w:left w:val="none" w:sz="0" w:space="0" w:color="auto"/>
            <w:bottom w:val="none" w:sz="0" w:space="0" w:color="auto"/>
            <w:right w:val="none" w:sz="0" w:space="0" w:color="auto"/>
          </w:divBdr>
        </w:div>
        <w:div w:id="374621867">
          <w:marLeft w:val="0"/>
          <w:marRight w:val="0"/>
          <w:marTop w:val="0"/>
          <w:marBottom w:val="0"/>
          <w:divBdr>
            <w:top w:val="none" w:sz="0" w:space="0" w:color="auto"/>
            <w:left w:val="none" w:sz="0" w:space="0" w:color="auto"/>
            <w:bottom w:val="none" w:sz="0" w:space="0" w:color="auto"/>
            <w:right w:val="none" w:sz="0" w:space="0" w:color="auto"/>
          </w:divBdr>
        </w:div>
        <w:div w:id="765346579">
          <w:marLeft w:val="0"/>
          <w:marRight w:val="0"/>
          <w:marTop w:val="0"/>
          <w:marBottom w:val="0"/>
          <w:divBdr>
            <w:top w:val="none" w:sz="0" w:space="0" w:color="auto"/>
            <w:left w:val="none" w:sz="0" w:space="0" w:color="auto"/>
            <w:bottom w:val="none" w:sz="0" w:space="0" w:color="auto"/>
            <w:right w:val="none" w:sz="0" w:space="0" w:color="auto"/>
          </w:divBdr>
        </w:div>
      </w:divsChild>
    </w:div>
    <w:div w:id="1866946921">
      <w:marLeft w:val="0"/>
      <w:marRight w:val="0"/>
      <w:marTop w:val="0"/>
      <w:marBottom w:val="0"/>
      <w:divBdr>
        <w:top w:val="none" w:sz="0" w:space="0" w:color="auto"/>
        <w:left w:val="none" w:sz="0" w:space="0" w:color="auto"/>
        <w:bottom w:val="none" w:sz="0" w:space="0" w:color="auto"/>
        <w:right w:val="none" w:sz="0" w:space="0" w:color="auto"/>
      </w:divBdr>
      <w:divsChild>
        <w:div w:id="1206210919">
          <w:marLeft w:val="0"/>
          <w:marRight w:val="0"/>
          <w:marTop w:val="0"/>
          <w:marBottom w:val="0"/>
          <w:divBdr>
            <w:top w:val="none" w:sz="0" w:space="0" w:color="auto"/>
            <w:left w:val="none" w:sz="0" w:space="0" w:color="auto"/>
            <w:bottom w:val="none" w:sz="0" w:space="0" w:color="auto"/>
            <w:right w:val="none" w:sz="0" w:space="0" w:color="auto"/>
          </w:divBdr>
        </w:div>
      </w:divsChild>
    </w:div>
    <w:div w:id="1871800907">
      <w:marLeft w:val="0"/>
      <w:marRight w:val="0"/>
      <w:marTop w:val="0"/>
      <w:marBottom w:val="0"/>
      <w:divBdr>
        <w:top w:val="none" w:sz="0" w:space="0" w:color="auto"/>
        <w:left w:val="none" w:sz="0" w:space="0" w:color="auto"/>
        <w:bottom w:val="none" w:sz="0" w:space="0" w:color="auto"/>
        <w:right w:val="none" w:sz="0" w:space="0" w:color="auto"/>
      </w:divBdr>
    </w:div>
    <w:div w:id="1874031302">
      <w:marLeft w:val="0"/>
      <w:marRight w:val="0"/>
      <w:marTop w:val="0"/>
      <w:marBottom w:val="0"/>
      <w:divBdr>
        <w:top w:val="none" w:sz="0" w:space="0" w:color="auto"/>
        <w:left w:val="none" w:sz="0" w:space="0" w:color="auto"/>
        <w:bottom w:val="none" w:sz="0" w:space="0" w:color="auto"/>
        <w:right w:val="none" w:sz="0" w:space="0" w:color="auto"/>
      </w:divBdr>
    </w:div>
    <w:div w:id="1877815789">
      <w:marLeft w:val="0"/>
      <w:marRight w:val="0"/>
      <w:marTop w:val="0"/>
      <w:marBottom w:val="200"/>
      <w:divBdr>
        <w:top w:val="none" w:sz="0" w:space="0" w:color="auto"/>
        <w:left w:val="none" w:sz="0" w:space="0" w:color="auto"/>
        <w:bottom w:val="none" w:sz="0" w:space="0" w:color="auto"/>
        <w:right w:val="none" w:sz="0" w:space="0" w:color="auto"/>
      </w:divBdr>
    </w:div>
    <w:div w:id="1885098360">
      <w:marLeft w:val="0"/>
      <w:marRight w:val="0"/>
      <w:marTop w:val="0"/>
      <w:marBottom w:val="0"/>
      <w:divBdr>
        <w:top w:val="none" w:sz="0" w:space="0" w:color="auto"/>
        <w:left w:val="none" w:sz="0" w:space="0" w:color="auto"/>
        <w:bottom w:val="none" w:sz="0" w:space="0" w:color="auto"/>
        <w:right w:val="none" w:sz="0" w:space="0" w:color="auto"/>
      </w:divBdr>
      <w:divsChild>
        <w:div w:id="1798453528">
          <w:marLeft w:val="0"/>
          <w:marRight w:val="0"/>
          <w:marTop w:val="0"/>
          <w:marBottom w:val="0"/>
          <w:divBdr>
            <w:top w:val="none" w:sz="0" w:space="0" w:color="auto"/>
            <w:left w:val="none" w:sz="0" w:space="0" w:color="auto"/>
            <w:bottom w:val="none" w:sz="0" w:space="0" w:color="auto"/>
            <w:right w:val="none" w:sz="0" w:space="0" w:color="auto"/>
          </w:divBdr>
        </w:div>
      </w:divsChild>
    </w:div>
    <w:div w:id="1885167103">
      <w:marLeft w:val="0"/>
      <w:marRight w:val="0"/>
      <w:marTop w:val="200"/>
      <w:marBottom w:val="0"/>
      <w:divBdr>
        <w:top w:val="none" w:sz="0" w:space="0" w:color="auto"/>
        <w:left w:val="none" w:sz="0" w:space="0" w:color="auto"/>
        <w:bottom w:val="none" w:sz="0" w:space="0" w:color="auto"/>
        <w:right w:val="none" w:sz="0" w:space="0" w:color="auto"/>
      </w:divBdr>
    </w:div>
    <w:div w:id="1894073863">
      <w:marLeft w:val="0"/>
      <w:marRight w:val="0"/>
      <w:marTop w:val="0"/>
      <w:marBottom w:val="0"/>
      <w:divBdr>
        <w:top w:val="none" w:sz="0" w:space="0" w:color="auto"/>
        <w:left w:val="none" w:sz="0" w:space="0" w:color="auto"/>
        <w:bottom w:val="none" w:sz="0" w:space="0" w:color="auto"/>
        <w:right w:val="none" w:sz="0" w:space="0" w:color="auto"/>
      </w:divBdr>
      <w:divsChild>
        <w:div w:id="1566061591">
          <w:marLeft w:val="0"/>
          <w:marRight w:val="0"/>
          <w:marTop w:val="0"/>
          <w:marBottom w:val="0"/>
          <w:divBdr>
            <w:top w:val="none" w:sz="0" w:space="0" w:color="auto"/>
            <w:left w:val="none" w:sz="0" w:space="0" w:color="auto"/>
            <w:bottom w:val="none" w:sz="0" w:space="0" w:color="auto"/>
            <w:right w:val="none" w:sz="0" w:space="0" w:color="auto"/>
          </w:divBdr>
        </w:div>
      </w:divsChild>
    </w:div>
    <w:div w:id="1901359317">
      <w:marLeft w:val="0"/>
      <w:marRight w:val="0"/>
      <w:marTop w:val="0"/>
      <w:marBottom w:val="200"/>
      <w:divBdr>
        <w:top w:val="none" w:sz="0" w:space="0" w:color="auto"/>
        <w:left w:val="none" w:sz="0" w:space="0" w:color="auto"/>
        <w:bottom w:val="none" w:sz="0" w:space="0" w:color="auto"/>
        <w:right w:val="none" w:sz="0" w:space="0" w:color="auto"/>
      </w:divBdr>
    </w:div>
    <w:div w:id="1902784475">
      <w:marLeft w:val="0"/>
      <w:marRight w:val="0"/>
      <w:marTop w:val="0"/>
      <w:marBottom w:val="0"/>
      <w:divBdr>
        <w:top w:val="none" w:sz="0" w:space="0" w:color="auto"/>
        <w:left w:val="none" w:sz="0" w:space="0" w:color="auto"/>
        <w:bottom w:val="none" w:sz="0" w:space="0" w:color="auto"/>
        <w:right w:val="none" w:sz="0" w:space="0" w:color="auto"/>
      </w:divBdr>
    </w:div>
    <w:div w:id="1907376966">
      <w:marLeft w:val="0"/>
      <w:marRight w:val="0"/>
      <w:marTop w:val="0"/>
      <w:marBottom w:val="0"/>
      <w:divBdr>
        <w:top w:val="none" w:sz="0" w:space="0" w:color="auto"/>
        <w:left w:val="none" w:sz="0" w:space="0" w:color="auto"/>
        <w:bottom w:val="none" w:sz="0" w:space="0" w:color="auto"/>
        <w:right w:val="none" w:sz="0" w:space="0" w:color="auto"/>
      </w:divBdr>
      <w:divsChild>
        <w:div w:id="1462074323">
          <w:marLeft w:val="0"/>
          <w:marRight w:val="0"/>
          <w:marTop w:val="0"/>
          <w:marBottom w:val="0"/>
          <w:divBdr>
            <w:top w:val="none" w:sz="0" w:space="0" w:color="auto"/>
            <w:left w:val="none" w:sz="0" w:space="0" w:color="auto"/>
            <w:bottom w:val="none" w:sz="0" w:space="0" w:color="auto"/>
            <w:right w:val="none" w:sz="0" w:space="0" w:color="auto"/>
          </w:divBdr>
        </w:div>
      </w:divsChild>
    </w:div>
    <w:div w:id="1918202801">
      <w:marLeft w:val="0"/>
      <w:marRight w:val="0"/>
      <w:marTop w:val="0"/>
      <w:marBottom w:val="0"/>
      <w:divBdr>
        <w:top w:val="none" w:sz="0" w:space="0" w:color="auto"/>
        <w:left w:val="none" w:sz="0" w:space="0" w:color="auto"/>
        <w:bottom w:val="none" w:sz="0" w:space="0" w:color="auto"/>
        <w:right w:val="none" w:sz="0" w:space="0" w:color="auto"/>
      </w:divBdr>
      <w:divsChild>
        <w:div w:id="837422147">
          <w:marLeft w:val="0"/>
          <w:marRight w:val="0"/>
          <w:marTop w:val="0"/>
          <w:marBottom w:val="0"/>
          <w:divBdr>
            <w:top w:val="none" w:sz="0" w:space="0" w:color="auto"/>
            <w:left w:val="none" w:sz="0" w:space="0" w:color="auto"/>
            <w:bottom w:val="none" w:sz="0" w:space="0" w:color="auto"/>
            <w:right w:val="none" w:sz="0" w:space="0" w:color="auto"/>
          </w:divBdr>
        </w:div>
      </w:divsChild>
    </w:div>
    <w:div w:id="1920403052">
      <w:marLeft w:val="0"/>
      <w:marRight w:val="0"/>
      <w:marTop w:val="0"/>
      <w:marBottom w:val="200"/>
      <w:divBdr>
        <w:top w:val="none" w:sz="0" w:space="0" w:color="auto"/>
        <w:left w:val="none" w:sz="0" w:space="0" w:color="auto"/>
        <w:bottom w:val="none" w:sz="0" w:space="0" w:color="auto"/>
        <w:right w:val="none" w:sz="0" w:space="0" w:color="auto"/>
      </w:divBdr>
    </w:div>
    <w:div w:id="1924294265">
      <w:marLeft w:val="0"/>
      <w:marRight w:val="0"/>
      <w:marTop w:val="0"/>
      <w:marBottom w:val="200"/>
      <w:divBdr>
        <w:top w:val="none" w:sz="0" w:space="0" w:color="auto"/>
        <w:left w:val="none" w:sz="0" w:space="0" w:color="auto"/>
        <w:bottom w:val="none" w:sz="0" w:space="0" w:color="auto"/>
        <w:right w:val="none" w:sz="0" w:space="0" w:color="auto"/>
      </w:divBdr>
    </w:div>
    <w:div w:id="1933778911">
      <w:marLeft w:val="0"/>
      <w:marRight w:val="0"/>
      <w:marTop w:val="100"/>
      <w:marBottom w:val="0"/>
      <w:divBdr>
        <w:top w:val="none" w:sz="0" w:space="0" w:color="auto"/>
        <w:left w:val="none" w:sz="0" w:space="0" w:color="auto"/>
        <w:bottom w:val="none" w:sz="0" w:space="0" w:color="auto"/>
        <w:right w:val="none" w:sz="0" w:space="0" w:color="auto"/>
      </w:divBdr>
    </w:div>
    <w:div w:id="1943151156">
      <w:marLeft w:val="0"/>
      <w:marRight w:val="0"/>
      <w:marTop w:val="200"/>
      <w:marBottom w:val="0"/>
      <w:divBdr>
        <w:top w:val="none" w:sz="0" w:space="0" w:color="auto"/>
        <w:left w:val="none" w:sz="0" w:space="0" w:color="auto"/>
        <w:bottom w:val="none" w:sz="0" w:space="0" w:color="auto"/>
        <w:right w:val="none" w:sz="0" w:space="0" w:color="auto"/>
      </w:divBdr>
    </w:div>
    <w:div w:id="1945722316">
      <w:marLeft w:val="0"/>
      <w:marRight w:val="0"/>
      <w:marTop w:val="0"/>
      <w:marBottom w:val="0"/>
      <w:divBdr>
        <w:top w:val="none" w:sz="0" w:space="0" w:color="auto"/>
        <w:left w:val="none" w:sz="0" w:space="0" w:color="auto"/>
        <w:bottom w:val="none" w:sz="0" w:space="0" w:color="auto"/>
        <w:right w:val="none" w:sz="0" w:space="0" w:color="auto"/>
      </w:divBdr>
      <w:divsChild>
        <w:div w:id="279721670">
          <w:marLeft w:val="0"/>
          <w:marRight w:val="0"/>
          <w:marTop w:val="0"/>
          <w:marBottom w:val="0"/>
          <w:divBdr>
            <w:top w:val="none" w:sz="0" w:space="0" w:color="auto"/>
            <w:left w:val="none" w:sz="0" w:space="0" w:color="auto"/>
            <w:bottom w:val="none" w:sz="0" w:space="0" w:color="auto"/>
            <w:right w:val="none" w:sz="0" w:space="0" w:color="auto"/>
          </w:divBdr>
        </w:div>
      </w:divsChild>
    </w:div>
    <w:div w:id="1946493718">
      <w:marLeft w:val="0"/>
      <w:marRight w:val="0"/>
      <w:marTop w:val="0"/>
      <w:marBottom w:val="0"/>
      <w:divBdr>
        <w:top w:val="none" w:sz="0" w:space="0" w:color="auto"/>
        <w:left w:val="none" w:sz="0" w:space="0" w:color="auto"/>
        <w:bottom w:val="none" w:sz="0" w:space="0" w:color="auto"/>
        <w:right w:val="none" w:sz="0" w:space="0" w:color="auto"/>
      </w:divBdr>
    </w:div>
    <w:div w:id="1947080417">
      <w:marLeft w:val="0"/>
      <w:marRight w:val="0"/>
      <w:marTop w:val="0"/>
      <w:marBottom w:val="200"/>
      <w:divBdr>
        <w:top w:val="none" w:sz="0" w:space="0" w:color="auto"/>
        <w:left w:val="none" w:sz="0" w:space="0" w:color="auto"/>
        <w:bottom w:val="none" w:sz="0" w:space="0" w:color="auto"/>
        <w:right w:val="none" w:sz="0" w:space="0" w:color="auto"/>
      </w:divBdr>
    </w:div>
    <w:div w:id="1948123549">
      <w:marLeft w:val="0"/>
      <w:marRight w:val="0"/>
      <w:marTop w:val="280"/>
      <w:marBottom w:val="0"/>
      <w:divBdr>
        <w:top w:val="none" w:sz="0" w:space="0" w:color="auto"/>
        <w:left w:val="none" w:sz="0" w:space="0" w:color="auto"/>
        <w:bottom w:val="none" w:sz="0" w:space="0" w:color="auto"/>
        <w:right w:val="none" w:sz="0" w:space="0" w:color="auto"/>
      </w:divBdr>
    </w:div>
    <w:div w:id="1953248662">
      <w:marLeft w:val="0"/>
      <w:marRight w:val="0"/>
      <w:marTop w:val="0"/>
      <w:marBottom w:val="0"/>
      <w:divBdr>
        <w:top w:val="none" w:sz="0" w:space="0" w:color="auto"/>
        <w:left w:val="none" w:sz="0" w:space="0" w:color="auto"/>
        <w:bottom w:val="none" w:sz="0" w:space="0" w:color="auto"/>
        <w:right w:val="none" w:sz="0" w:space="0" w:color="auto"/>
      </w:divBdr>
      <w:divsChild>
        <w:div w:id="635573451">
          <w:marLeft w:val="0"/>
          <w:marRight w:val="0"/>
          <w:marTop w:val="0"/>
          <w:marBottom w:val="0"/>
          <w:divBdr>
            <w:top w:val="none" w:sz="0" w:space="0" w:color="auto"/>
            <w:left w:val="none" w:sz="0" w:space="0" w:color="auto"/>
            <w:bottom w:val="none" w:sz="0" w:space="0" w:color="auto"/>
            <w:right w:val="none" w:sz="0" w:space="0" w:color="auto"/>
          </w:divBdr>
        </w:div>
        <w:div w:id="1127161427">
          <w:marLeft w:val="0"/>
          <w:marRight w:val="0"/>
          <w:marTop w:val="180"/>
          <w:marBottom w:val="0"/>
          <w:divBdr>
            <w:top w:val="none" w:sz="0" w:space="0" w:color="auto"/>
            <w:left w:val="none" w:sz="0" w:space="0" w:color="auto"/>
            <w:bottom w:val="none" w:sz="0" w:space="0" w:color="auto"/>
            <w:right w:val="none" w:sz="0" w:space="0" w:color="auto"/>
          </w:divBdr>
        </w:div>
      </w:divsChild>
    </w:div>
    <w:div w:id="1965843141">
      <w:marLeft w:val="0"/>
      <w:marRight w:val="0"/>
      <w:marTop w:val="0"/>
      <w:marBottom w:val="200"/>
      <w:divBdr>
        <w:top w:val="none" w:sz="0" w:space="0" w:color="auto"/>
        <w:left w:val="none" w:sz="0" w:space="0" w:color="auto"/>
        <w:bottom w:val="none" w:sz="0" w:space="0" w:color="auto"/>
        <w:right w:val="none" w:sz="0" w:space="0" w:color="auto"/>
      </w:divBdr>
    </w:div>
    <w:div w:id="1972322707">
      <w:marLeft w:val="0"/>
      <w:marRight w:val="0"/>
      <w:marTop w:val="0"/>
      <w:marBottom w:val="0"/>
      <w:divBdr>
        <w:top w:val="none" w:sz="0" w:space="0" w:color="auto"/>
        <w:left w:val="none" w:sz="0" w:space="0" w:color="auto"/>
        <w:bottom w:val="none" w:sz="0" w:space="0" w:color="auto"/>
        <w:right w:val="none" w:sz="0" w:space="0" w:color="auto"/>
      </w:divBdr>
      <w:divsChild>
        <w:div w:id="653144327">
          <w:marLeft w:val="0"/>
          <w:marRight w:val="0"/>
          <w:marTop w:val="0"/>
          <w:marBottom w:val="0"/>
          <w:divBdr>
            <w:top w:val="none" w:sz="0" w:space="0" w:color="auto"/>
            <w:left w:val="none" w:sz="0" w:space="0" w:color="auto"/>
            <w:bottom w:val="none" w:sz="0" w:space="0" w:color="auto"/>
            <w:right w:val="none" w:sz="0" w:space="0" w:color="auto"/>
          </w:divBdr>
        </w:div>
      </w:divsChild>
    </w:div>
    <w:div w:id="1974216844">
      <w:marLeft w:val="0"/>
      <w:marRight w:val="0"/>
      <w:marTop w:val="0"/>
      <w:marBottom w:val="200"/>
      <w:divBdr>
        <w:top w:val="none" w:sz="0" w:space="0" w:color="auto"/>
        <w:left w:val="none" w:sz="0" w:space="0" w:color="auto"/>
        <w:bottom w:val="none" w:sz="0" w:space="0" w:color="auto"/>
        <w:right w:val="none" w:sz="0" w:space="0" w:color="auto"/>
      </w:divBdr>
    </w:div>
    <w:div w:id="1974821926">
      <w:marLeft w:val="0"/>
      <w:marRight w:val="0"/>
      <w:marTop w:val="0"/>
      <w:marBottom w:val="0"/>
      <w:divBdr>
        <w:top w:val="none" w:sz="0" w:space="0" w:color="auto"/>
        <w:left w:val="none" w:sz="0" w:space="0" w:color="auto"/>
        <w:bottom w:val="none" w:sz="0" w:space="0" w:color="auto"/>
        <w:right w:val="none" w:sz="0" w:space="0" w:color="auto"/>
      </w:divBdr>
      <w:divsChild>
        <w:div w:id="614336385">
          <w:marLeft w:val="0"/>
          <w:marRight w:val="0"/>
          <w:marTop w:val="0"/>
          <w:marBottom w:val="0"/>
          <w:divBdr>
            <w:top w:val="none" w:sz="0" w:space="0" w:color="auto"/>
            <w:left w:val="none" w:sz="0" w:space="0" w:color="auto"/>
            <w:bottom w:val="none" w:sz="0" w:space="0" w:color="auto"/>
            <w:right w:val="none" w:sz="0" w:space="0" w:color="auto"/>
          </w:divBdr>
        </w:div>
      </w:divsChild>
    </w:div>
    <w:div w:id="1975938335">
      <w:marLeft w:val="0"/>
      <w:marRight w:val="0"/>
      <w:marTop w:val="0"/>
      <w:marBottom w:val="0"/>
      <w:divBdr>
        <w:top w:val="none" w:sz="0" w:space="0" w:color="auto"/>
        <w:left w:val="none" w:sz="0" w:space="0" w:color="auto"/>
        <w:bottom w:val="none" w:sz="0" w:space="0" w:color="auto"/>
        <w:right w:val="none" w:sz="0" w:space="0" w:color="auto"/>
      </w:divBdr>
      <w:divsChild>
        <w:div w:id="1460685592">
          <w:marLeft w:val="0"/>
          <w:marRight w:val="0"/>
          <w:marTop w:val="0"/>
          <w:marBottom w:val="0"/>
          <w:divBdr>
            <w:top w:val="none" w:sz="0" w:space="0" w:color="auto"/>
            <w:left w:val="none" w:sz="0" w:space="0" w:color="auto"/>
            <w:bottom w:val="none" w:sz="0" w:space="0" w:color="auto"/>
            <w:right w:val="none" w:sz="0" w:space="0" w:color="auto"/>
          </w:divBdr>
        </w:div>
      </w:divsChild>
    </w:div>
    <w:div w:id="1978367451">
      <w:marLeft w:val="0"/>
      <w:marRight w:val="0"/>
      <w:marTop w:val="0"/>
      <w:marBottom w:val="0"/>
      <w:divBdr>
        <w:top w:val="none" w:sz="0" w:space="0" w:color="auto"/>
        <w:left w:val="none" w:sz="0" w:space="0" w:color="auto"/>
        <w:bottom w:val="none" w:sz="0" w:space="0" w:color="auto"/>
        <w:right w:val="none" w:sz="0" w:space="0" w:color="auto"/>
      </w:divBdr>
    </w:div>
    <w:div w:id="1992172513">
      <w:marLeft w:val="0"/>
      <w:marRight w:val="0"/>
      <w:marTop w:val="0"/>
      <w:marBottom w:val="0"/>
      <w:divBdr>
        <w:top w:val="none" w:sz="0" w:space="0" w:color="auto"/>
        <w:left w:val="none" w:sz="0" w:space="0" w:color="auto"/>
        <w:bottom w:val="none" w:sz="0" w:space="0" w:color="auto"/>
        <w:right w:val="none" w:sz="0" w:space="0" w:color="auto"/>
      </w:divBdr>
      <w:divsChild>
        <w:div w:id="109323342">
          <w:marLeft w:val="0"/>
          <w:marRight w:val="0"/>
          <w:marTop w:val="0"/>
          <w:marBottom w:val="0"/>
          <w:divBdr>
            <w:top w:val="none" w:sz="0" w:space="0" w:color="auto"/>
            <w:left w:val="none" w:sz="0" w:space="0" w:color="auto"/>
            <w:bottom w:val="none" w:sz="0" w:space="0" w:color="auto"/>
            <w:right w:val="none" w:sz="0" w:space="0" w:color="auto"/>
          </w:divBdr>
        </w:div>
        <w:div w:id="1428185555">
          <w:marLeft w:val="0"/>
          <w:marRight w:val="0"/>
          <w:marTop w:val="180"/>
          <w:marBottom w:val="0"/>
          <w:divBdr>
            <w:top w:val="none" w:sz="0" w:space="0" w:color="auto"/>
            <w:left w:val="none" w:sz="0" w:space="0" w:color="auto"/>
            <w:bottom w:val="none" w:sz="0" w:space="0" w:color="auto"/>
            <w:right w:val="none" w:sz="0" w:space="0" w:color="auto"/>
          </w:divBdr>
        </w:div>
      </w:divsChild>
    </w:div>
    <w:div w:id="1993440135">
      <w:marLeft w:val="0"/>
      <w:marRight w:val="0"/>
      <w:marTop w:val="0"/>
      <w:marBottom w:val="0"/>
      <w:divBdr>
        <w:top w:val="none" w:sz="0" w:space="0" w:color="auto"/>
        <w:left w:val="none" w:sz="0" w:space="0" w:color="auto"/>
        <w:bottom w:val="none" w:sz="0" w:space="0" w:color="auto"/>
        <w:right w:val="none" w:sz="0" w:space="0" w:color="auto"/>
      </w:divBdr>
      <w:divsChild>
        <w:div w:id="2088384322">
          <w:marLeft w:val="0"/>
          <w:marRight w:val="0"/>
          <w:marTop w:val="0"/>
          <w:marBottom w:val="0"/>
          <w:divBdr>
            <w:top w:val="none" w:sz="0" w:space="0" w:color="auto"/>
            <w:left w:val="none" w:sz="0" w:space="0" w:color="auto"/>
            <w:bottom w:val="none" w:sz="0" w:space="0" w:color="auto"/>
            <w:right w:val="none" w:sz="0" w:space="0" w:color="auto"/>
          </w:divBdr>
        </w:div>
      </w:divsChild>
    </w:div>
    <w:div w:id="2010059495">
      <w:marLeft w:val="0"/>
      <w:marRight w:val="0"/>
      <w:marTop w:val="0"/>
      <w:marBottom w:val="0"/>
      <w:divBdr>
        <w:top w:val="none" w:sz="0" w:space="0" w:color="auto"/>
        <w:left w:val="none" w:sz="0" w:space="0" w:color="auto"/>
        <w:bottom w:val="none" w:sz="0" w:space="0" w:color="auto"/>
        <w:right w:val="none" w:sz="0" w:space="0" w:color="auto"/>
      </w:divBdr>
    </w:div>
    <w:div w:id="2012177284">
      <w:marLeft w:val="0"/>
      <w:marRight w:val="0"/>
      <w:marTop w:val="0"/>
      <w:marBottom w:val="0"/>
      <w:divBdr>
        <w:top w:val="none" w:sz="0" w:space="0" w:color="auto"/>
        <w:left w:val="none" w:sz="0" w:space="0" w:color="auto"/>
        <w:bottom w:val="none" w:sz="0" w:space="0" w:color="auto"/>
        <w:right w:val="none" w:sz="0" w:space="0" w:color="auto"/>
      </w:divBdr>
      <w:divsChild>
        <w:div w:id="1301883586">
          <w:marLeft w:val="0"/>
          <w:marRight w:val="0"/>
          <w:marTop w:val="0"/>
          <w:marBottom w:val="0"/>
          <w:divBdr>
            <w:top w:val="none" w:sz="0" w:space="0" w:color="auto"/>
            <w:left w:val="none" w:sz="0" w:space="0" w:color="auto"/>
            <w:bottom w:val="none" w:sz="0" w:space="0" w:color="auto"/>
            <w:right w:val="none" w:sz="0" w:space="0" w:color="auto"/>
          </w:divBdr>
        </w:div>
      </w:divsChild>
    </w:div>
    <w:div w:id="2023045413">
      <w:marLeft w:val="0"/>
      <w:marRight w:val="0"/>
      <w:marTop w:val="0"/>
      <w:marBottom w:val="0"/>
      <w:divBdr>
        <w:top w:val="none" w:sz="0" w:space="0" w:color="auto"/>
        <w:left w:val="none" w:sz="0" w:space="0" w:color="auto"/>
        <w:bottom w:val="none" w:sz="0" w:space="0" w:color="auto"/>
        <w:right w:val="none" w:sz="0" w:space="0" w:color="auto"/>
      </w:divBdr>
    </w:div>
    <w:div w:id="2028865237">
      <w:marLeft w:val="0"/>
      <w:marRight w:val="0"/>
      <w:marTop w:val="100"/>
      <w:marBottom w:val="0"/>
      <w:divBdr>
        <w:top w:val="none" w:sz="0" w:space="0" w:color="auto"/>
        <w:left w:val="none" w:sz="0" w:space="0" w:color="auto"/>
        <w:bottom w:val="none" w:sz="0" w:space="0" w:color="auto"/>
        <w:right w:val="none" w:sz="0" w:space="0" w:color="auto"/>
      </w:divBdr>
    </w:div>
    <w:div w:id="2051680437">
      <w:marLeft w:val="0"/>
      <w:marRight w:val="0"/>
      <w:marTop w:val="0"/>
      <w:marBottom w:val="0"/>
      <w:divBdr>
        <w:top w:val="none" w:sz="0" w:space="0" w:color="auto"/>
        <w:left w:val="none" w:sz="0" w:space="0" w:color="auto"/>
        <w:bottom w:val="none" w:sz="0" w:space="0" w:color="auto"/>
        <w:right w:val="none" w:sz="0" w:space="0" w:color="auto"/>
      </w:divBdr>
      <w:divsChild>
        <w:div w:id="1965041767">
          <w:marLeft w:val="0"/>
          <w:marRight w:val="0"/>
          <w:marTop w:val="0"/>
          <w:marBottom w:val="0"/>
          <w:divBdr>
            <w:top w:val="none" w:sz="0" w:space="0" w:color="auto"/>
            <w:left w:val="none" w:sz="0" w:space="0" w:color="auto"/>
            <w:bottom w:val="none" w:sz="0" w:space="0" w:color="auto"/>
            <w:right w:val="none" w:sz="0" w:space="0" w:color="auto"/>
          </w:divBdr>
        </w:div>
      </w:divsChild>
    </w:div>
    <w:div w:id="2053188825">
      <w:marLeft w:val="0"/>
      <w:marRight w:val="0"/>
      <w:marTop w:val="0"/>
      <w:marBottom w:val="0"/>
      <w:divBdr>
        <w:top w:val="none" w:sz="0" w:space="0" w:color="auto"/>
        <w:left w:val="none" w:sz="0" w:space="0" w:color="auto"/>
        <w:bottom w:val="none" w:sz="0" w:space="0" w:color="auto"/>
        <w:right w:val="none" w:sz="0" w:space="0" w:color="auto"/>
      </w:divBdr>
    </w:div>
    <w:div w:id="2056542210">
      <w:marLeft w:val="0"/>
      <w:marRight w:val="0"/>
      <w:marTop w:val="0"/>
      <w:marBottom w:val="0"/>
      <w:divBdr>
        <w:top w:val="none" w:sz="0" w:space="0" w:color="auto"/>
        <w:left w:val="none" w:sz="0" w:space="0" w:color="auto"/>
        <w:bottom w:val="none" w:sz="0" w:space="0" w:color="auto"/>
        <w:right w:val="none" w:sz="0" w:space="0" w:color="auto"/>
      </w:divBdr>
    </w:div>
    <w:div w:id="2059625448">
      <w:marLeft w:val="0"/>
      <w:marRight w:val="0"/>
      <w:marTop w:val="0"/>
      <w:marBottom w:val="0"/>
      <w:divBdr>
        <w:top w:val="none" w:sz="0" w:space="0" w:color="auto"/>
        <w:left w:val="none" w:sz="0" w:space="0" w:color="auto"/>
        <w:bottom w:val="none" w:sz="0" w:space="0" w:color="auto"/>
        <w:right w:val="none" w:sz="0" w:space="0" w:color="auto"/>
      </w:divBdr>
    </w:div>
    <w:div w:id="2070642382">
      <w:marLeft w:val="0"/>
      <w:marRight w:val="0"/>
      <w:marTop w:val="0"/>
      <w:marBottom w:val="200"/>
      <w:divBdr>
        <w:top w:val="none" w:sz="0" w:space="0" w:color="auto"/>
        <w:left w:val="none" w:sz="0" w:space="0" w:color="auto"/>
        <w:bottom w:val="none" w:sz="0" w:space="0" w:color="auto"/>
        <w:right w:val="none" w:sz="0" w:space="0" w:color="auto"/>
      </w:divBdr>
    </w:div>
    <w:div w:id="2077049603">
      <w:marLeft w:val="0"/>
      <w:marRight w:val="0"/>
      <w:marTop w:val="0"/>
      <w:marBottom w:val="0"/>
      <w:divBdr>
        <w:top w:val="none" w:sz="0" w:space="0" w:color="auto"/>
        <w:left w:val="none" w:sz="0" w:space="0" w:color="auto"/>
        <w:bottom w:val="none" w:sz="0" w:space="0" w:color="auto"/>
        <w:right w:val="none" w:sz="0" w:space="0" w:color="auto"/>
      </w:divBdr>
    </w:div>
    <w:div w:id="2091074017">
      <w:marLeft w:val="0"/>
      <w:marRight w:val="0"/>
      <w:marTop w:val="200"/>
      <w:marBottom w:val="0"/>
      <w:divBdr>
        <w:top w:val="none" w:sz="0" w:space="0" w:color="auto"/>
        <w:left w:val="none" w:sz="0" w:space="0" w:color="auto"/>
        <w:bottom w:val="none" w:sz="0" w:space="0" w:color="auto"/>
        <w:right w:val="none" w:sz="0" w:space="0" w:color="auto"/>
      </w:divBdr>
    </w:div>
    <w:div w:id="2095587916">
      <w:marLeft w:val="0"/>
      <w:marRight w:val="0"/>
      <w:marTop w:val="0"/>
      <w:marBottom w:val="200"/>
      <w:divBdr>
        <w:top w:val="none" w:sz="0" w:space="0" w:color="auto"/>
        <w:left w:val="none" w:sz="0" w:space="0" w:color="auto"/>
        <w:bottom w:val="none" w:sz="0" w:space="0" w:color="auto"/>
        <w:right w:val="none" w:sz="0" w:space="0" w:color="auto"/>
      </w:divBdr>
    </w:div>
    <w:div w:id="2109423119">
      <w:marLeft w:val="0"/>
      <w:marRight w:val="0"/>
      <w:marTop w:val="0"/>
      <w:marBottom w:val="200"/>
      <w:divBdr>
        <w:top w:val="none" w:sz="0" w:space="0" w:color="auto"/>
        <w:left w:val="none" w:sz="0" w:space="0" w:color="auto"/>
        <w:bottom w:val="none" w:sz="0" w:space="0" w:color="auto"/>
        <w:right w:val="none" w:sz="0" w:space="0" w:color="auto"/>
      </w:divBdr>
    </w:div>
    <w:div w:id="2116360127">
      <w:marLeft w:val="0"/>
      <w:marRight w:val="0"/>
      <w:marTop w:val="0"/>
      <w:marBottom w:val="200"/>
      <w:divBdr>
        <w:top w:val="none" w:sz="0" w:space="0" w:color="auto"/>
        <w:left w:val="none" w:sz="0" w:space="0" w:color="auto"/>
        <w:bottom w:val="none" w:sz="0" w:space="0" w:color="auto"/>
        <w:right w:val="none" w:sz="0" w:space="0" w:color="auto"/>
      </w:divBdr>
    </w:div>
    <w:div w:id="2118214628">
      <w:marLeft w:val="0"/>
      <w:marRight w:val="0"/>
      <w:marTop w:val="0"/>
      <w:marBottom w:val="0"/>
      <w:divBdr>
        <w:top w:val="none" w:sz="0" w:space="0" w:color="auto"/>
        <w:left w:val="none" w:sz="0" w:space="0" w:color="auto"/>
        <w:bottom w:val="none" w:sz="0" w:space="0" w:color="auto"/>
        <w:right w:val="none" w:sz="0" w:space="0" w:color="auto"/>
      </w:divBdr>
    </w:div>
    <w:div w:id="2121292055">
      <w:marLeft w:val="0"/>
      <w:marRight w:val="0"/>
      <w:marTop w:val="0"/>
      <w:marBottom w:val="0"/>
      <w:divBdr>
        <w:top w:val="none" w:sz="0" w:space="0" w:color="auto"/>
        <w:left w:val="none" w:sz="0" w:space="0" w:color="auto"/>
        <w:bottom w:val="none" w:sz="0" w:space="0" w:color="auto"/>
        <w:right w:val="none" w:sz="0" w:space="0" w:color="auto"/>
      </w:divBdr>
    </w:div>
    <w:div w:id="2121799842">
      <w:marLeft w:val="0"/>
      <w:marRight w:val="0"/>
      <w:marTop w:val="0"/>
      <w:marBottom w:val="0"/>
      <w:divBdr>
        <w:top w:val="none" w:sz="0" w:space="0" w:color="auto"/>
        <w:left w:val="none" w:sz="0" w:space="0" w:color="auto"/>
        <w:bottom w:val="none" w:sz="0" w:space="0" w:color="auto"/>
        <w:right w:val="none" w:sz="0" w:space="0" w:color="auto"/>
      </w:divBdr>
    </w:div>
    <w:div w:id="2122603101">
      <w:marLeft w:val="0"/>
      <w:marRight w:val="0"/>
      <w:marTop w:val="0"/>
      <w:marBottom w:val="0"/>
      <w:divBdr>
        <w:top w:val="none" w:sz="0" w:space="0" w:color="auto"/>
        <w:left w:val="none" w:sz="0" w:space="0" w:color="auto"/>
        <w:bottom w:val="none" w:sz="0" w:space="0" w:color="auto"/>
        <w:right w:val="none" w:sz="0" w:space="0" w:color="auto"/>
      </w:divBdr>
      <w:divsChild>
        <w:div w:id="616136659">
          <w:marLeft w:val="0"/>
          <w:marRight w:val="0"/>
          <w:marTop w:val="0"/>
          <w:marBottom w:val="0"/>
          <w:divBdr>
            <w:top w:val="none" w:sz="0" w:space="0" w:color="auto"/>
            <w:left w:val="none" w:sz="0" w:space="0" w:color="auto"/>
            <w:bottom w:val="none" w:sz="0" w:space="0" w:color="auto"/>
            <w:right w:val="none" w:sz="0" w:space="0" w:color="auto"/>
          </w:divBdr>
        </w:div>
      </w:divsChild>
    </w:div>
    <w:div w:id="2123645136">
      <w:marLeft w:val="0"/>
      <w:marRight w:val="0"/>
      <w:marTop w:val="0"/>
      <w:marBottom w:val="0"/>
      <w:divBdr>
        <w:top w:val="none" w:sz="0" w:space="0" w:color="auto"/>
        <w:left w:val="none" w:sz="0" w:space="0" w:color="auto"/>
        <w:bottom w:val="none" w:sz="0" w:space="0" w:color="auto"/>
        <w:right w:val="none" w:sz="0" w:space="0" w:color="auto"/>
      </w:divBdr>
    </w:div>
    <w:div w:id="2130082079">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gicorpq36302022ex312.ht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ugicorpq36302022ex311.htm" TargetMode="External"/><Relationship Id="rId12" Type="http://schemas.openxmlformats.org/officeDocument/2006/relationships/hyperlink" Target="ugicorpq36302022ex3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884614/000088461422000037/ex10.htm" TargetMode="External"/><Relationship Id="rId11" Type="http://schemas.openxmlformats.org/officeDocument/2006/relationships/hyperlink" Target="ugicorpq36302022ex312.htm" TargetMode="External"/><Relationship Id="rId5" Type="http://schemas.openxmlformats.org/officeDocument/2006/relationships/hyperlink" Target="https://www.sec.gov/Archives/edgar/data/884614/000088461422000035/mountainnpaexhibit.htm" TargetMode="External"/><Relationship Id="rId10" Type="http://schemas.openxmlformats.org/officeDocument/2006/relationships/hyperlink" Target="ugicorpq36302022ex311.htm" TargetMode="External"/><Relationship Id="rId4" Type="http://schemas.openxmlformats.org/officeDocument/2006/relationships/hyperlink" Target="https://www.sec.gov/Archives/edgar/data/884614/000088461422000035/uginpaexhibit.htm" TargetMode="External"/><Relationship Id="rId9" Type="http://schemas.openxmlformats.org/officeDocument/2006/relationships/hyperlink" Target="ugicorpq36302022ex32.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43453</Words>
  <Characters>247685</Characters>
  <Application>Microsoft Office Word</Application>
  <DocSecurity>0</DocSecurity>
  <Lines>2064</Lines>
  <Paragraphs>581</Paragraphs>
  <ScaleCrop>false</ScaleCrop>
  <Company/>
  <LinksUpToDate>false</LinksUpToDate>
  <CharactersWithSpaces>290557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ugi-20220630</dc:title>
  <dc:subject/>
  <dc:creator>Chongjian.Yue</dc:creator>
  <cp:keywords/>
  <dc:description/>
  <cp:lastModifiedBy>Yue Chongjian</cp:lastModifiedBy>
  <cp:revision>1</cp:revision>
  <dcterms:created xsi:type="dcterms:W3CDTF">2024-01-04T16:03:00Z</dcterms:created>
  <dcterms:modified xsi:type="dcterms:W3CDTF">2024-01-04T16:03:00Z</dcterms:modified>
</cp:coreProperties>
</file>